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915DD" w14:textId="77777777" w:rsidR="00E00DF2" w:rsidRDefault="00607E92" w:rsidP="00E00DF2">
      <w:pPr>
        <w:jc w:val="center"/>
        <w:rPr>
          <w:rFonts w:ascii="Arial" w:hAnsi="Arial" w:cs="Arial"/>
          <w:b/>
          <w:sz w:val="28"/>
          <w:szCs w:val="28"/>
        </w:rPr>
      </w:pPr>
      <w:r w:rsidRPr="00E91032">
        <w:rPr>
          <w:rFonts w:ascii="Arial" w:hAnsi="Arial" w:cs="Arial"/>
          <w:b/>
          <w:bCs/>
          <w:noProof/>
          <w:sz w:val="22"/>
          <w:szCs w:val="22"/>
          <w:lang w:eastAsia="cs-CZ"/>
        </w:rPr>
        <w:drawing>
          <wp:anchor distT="0" distB="0" distL="114300" distR="114300" simplePos="0" relativeHeight="251662336" behindDoc="0" locked="0" layoutInCell="1" allowOverlap="1" wp14:anchorId="00D91929" wp14:editId="00D9192A">
            <wp:simplePos x="3577590" y="914400"/>
            <wp:positionH relativeFrom="margin">
              <wp:align>center</wp:align>
            </wp:positionH>
            <wp:positionV relativeFrom="margin">
              <wp:align>top</wp:align>
            </wp:positionV>
            <wp:extent cx="791210" cy="561975"/>
            <wp:effectExtent l="0" t="0" r="8890" b="9525"/>
            <wp:wrapSquare wrapText="bothSides"/>
            <wp:docPr id="1" name="obrázek 18"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NKU_LOGO 1"/>
                    <pic:cNvPicPr>
                      <a:picLocks noChangeAspect="1" noChangeArrowheads="1"/>
                    </pic:cNvPicPr>
                  </pic:nvPicPr>
                  <pic:blipFill>
                    <a:blip r:embed="rId12" cstate="print"/>
                    <a:srcRect/>
                    <a:stretch>
                      <a:fillRect/>
                    </a:stretch>
                  </pic:blipFill>
                  <pic:spPr bwMode="auto">
                    <a:xfrm>
                      <a:off x="0" y="0"/>
                      <a:ext cx="791210" cy="561975"/>
                    </a:xfrm>
                    <a:prstGeom prst="rect">
                      <a:avLst/>
                    </a:prstGeom>
                    <a:noFill/>
                    <a:ln w="9525">
                      <a:noFill/>
                      <a:miter lim="800000"/>
                      <a:headEnd/>
                      <a:tailEnd/>
                    </a:ln>
                  </pic:spPr>
                </pic:pic>
              </a:graphicData>
            </a:graphic>
          </wp:anchor>
        </w:drawing>
      </w:r>
    </w:p>
    <w:p w14:paraId="00D915DE" w14:textId="77777777" w:rsidR="00E00DF2" w:rsidRDefault="00E00DF2" w:rsidP="00E00DF2">
      <w:pPr>
        <w:jc w:val="center"/>
        <w:rPr>
          <w:rFonts w:ascii="Arial" w:hAnsi="Arial" w:cs="Arial"/>
          <w:b/>
          <w:sz w:val="28"/>
          <w:szCs w:val="28"/>
        </w:rPr>
      </w:pPr>
    </w:p>
    <w:p w14:paraId="00D915DF" w14:textId="77777777" w:rsidR="00E00DF2" w:rsidRPr="00E91032" w:rsidRDefault="00E00DF2" w:rsidP="00E00DF2">
      <w:pPr>
        <w:jc w:val="center"/>
        <w:rPr>
          <w:rFonts w:ascii="Arial" w:hAnsi="Arial" w:cs="Arial"/>
          <w:b/>
          <w:sz w:val="28"/>
          <w:szCs w:val="28"/>
        </w:rPr>
      </w:pPr>
    </w:p>
    <w:p w14:paraId="00D915E0" w14:textId="77777777" w:rsidR="00607E92" w:rsidRDefault="00607E92" w:rsidP="00E00DF2">
      <w:pPr>
        <w:jc w:val="center"/>
        <w:rPr>
          <w:rFonts w:ascii="Arial" w:hAnsi="Arial" w:cs="Arial"/>
          <w:b/>
          <w:sz w:val="28"/>
          <w:szCs w:val="28"/>
        </w:rPr>
      </w:pPr>
    </w:p>
    <w:p w14:paraId="00D915E1" w14:textId="77777777" w:rsidR="00E00DF2" w:rsidRDefault="00607E92" w:rsidP="00E00DF2">
      <w:pPr>
        <w:jc w:val="center"/>
        <w:rPr>
          <w:rFonts w:ascii="Arial" w:hAnsi="Arial" w:cs="Arial"/>
          <w:b/>
          <w:sz w:val="22"/>
          <w:szCs w:val="22"/>
          <w:highlight w:val="lightGray"/>
        </w:rPr>
      </w:pPr>
      <w:r w:rsidRPr="00E91032">
        <w:rPr>
          <w:rFonts w:ascii="Arial" w:hAnsi="Arial" w:cs="Arial"/>
          <w:b/>
          <w:sz w:val="28"/>
          <w:szCs w:val="28"/>
        </w:rPr>
        <w:t>Kontrolní závěr z kontrolní akce</w:t>
      </w:r>
    </w:p>
    <w:p w14:paraId="00D915E2" w14:textId="77777777" w:rsidR="00607E92" w:rsidRPr="00607E92" w:rsidRDefault="00607E92" w:rsidP="00E00DF2">
      <w:pPr>
        <w:jc w:val="center"/>
        <w:rPr>
          <w:rFonts w:ascii="Arial" w:hAnsi="Arial" w:cs="Arial"/>
          <w:b/>
          <w:sz w:val="28"/>
          <w:szCs w:val="28"/>
          <w:highlight w:val="lightGray"/>
        </w:rPr>
      </w:pPr>
    </w:p>
    <w:p w14:paraId="00D915E3" w14:textId="77777777" w:rsidR="00E00DF2" w:rsidRPr="0015047E" w:rsidRDefault="00E00DF2" w:rsidP="00E00DF2">
      <w:pPr>
        <w:jc w:val="center"/>
        <w:rPr>
          <w:rFonts w:ascii="Arial" w:hAnsi="Arial" w:cs="Arial"/>
          <w:b/>
          <w:sz w:val="28"/>
          <w:szCs w:val="28"/>
        </w:rPr>
      </w:pPr>
      <w:r w:rsidRPr="0015047E">
        <w:rPr>
          <w:rFonts w:ascii="Arial" w:hAnsi="Arial" w:cs="Arial"/>
          <w:b/>
          <w:sz w:val="28"/>
          <w:szCs w:val="28"/>
        </w:rPr>
        <w:t>1</w:t>
      </w:r>
      <w:r>
        <w:rPr>
          <w:rFonts w:ascii="Arial" w:hAnsi="Arial" w:cs="Arial"/>
          <w:b/>
          <w:sz w:val="28"/>
          <w:szCs w:val="28"/>
        </w:rPr>
        <w:t>3</w:t>
      </w:r>
      <w:r w:rsidRPr="0015047E">
        <w:rPr>
          <w:rFonts w:ascii="Arial" w:hAnsi="Arial" w:cs="Arial"/>
          <w:b/>
          <w:sz w:val="28"/>
          <w:szCs w:val="28"/>
        </w:rPr>
        <w:t>/</w:t>
      </w:r>
      <w:r>
        <w:rPr>
          <w:rFonts w:ascii="Arial" w:hAnsi="Arial" w:cs="Arial"/>
          <w:b/>
          <w:sz w:val="28"/>
          <w:szCs w:val="28"/>
        </w:rPr>
        <w:t>11</w:t>
      </w:r>
    </w:p>
    <w:p w14:paraId="00D915E4" w14:textId="77777777" w:rsidR="00E00DF2" w:rsidRPr="00607E92" w:rsidRDefault="00E00DF2" w:rsidP="00E00DF2">
      <w:pPr>
        <w:jc w:val="center"/>
        <w:rPr>
          <w:rFonts w:ascii="Arial" w:hAnsi="Arial" w:cs="Arial"/>
          <w:b/>
          <w:sz w:val="28"/>
          <w:szCs w:val="28"/>
          <w:highlight w:val="green"/>
        </w:rPr>
      </w:pPr>
    </w:p>
    <w:p w14:paraId="00D915E5" w14:textId="77777777" w:rsidR="00E00DF2" w:rsidRDefault="00E00DF2" w:rsidP="00E00DF2">
      <w:pPr>
        <w:jc w:val="center"/>
        <w:rPr>
          <w:rFonts w:ascii="Arial" w:hAnsi="Arial" w:cs="Arial"/>
          <w:b/>
          <w:bCs/>
          <w:color w:val="000000"/>
          <w:sz w:val="28"/>
          <w:szCs w:val="28"/>
        </w:rPr>
      </w:pPr>
      <w:r w:rsidRPr="00752BA3">
        <w:rPr>
          <w:rFonts w:ascii="Arial" w:hAnsi="Arial" w:cs="Arial"/>
          <w:b/>
          <w:bCs/>
          <w:color w:val="000000"/>
          <w:sz w:val="28"/>
          <w:szCs w:val="28"/>
        </w:rPr>
        <w:t xml:space="preserve">Údaje pro účely monitorování a řízení veřejných financí </w:t>
      </w:r>
    </w:p>
    <w:p w14:paraId="00D915E6" w14:textId="77777777" w:rsidR="00E00DF2" w:rsidRDefault="00E00DF2" w:rsidP="00E00DF2">
      <w:pPr>
        <w:jc w:val="center"/>
        <w:rPr>
          <w:rFonts w:ascii="Arial" w:hAnsi="Arial" w:cs="Arial"/>
          <w:b/>
          <w:bCs/>
          <w:color w:val="000000"/>
          <w:sz w:val="28"/>
          <w:szCs w:val="28"/>
        </w:rPr>
      </w:pPr>
      <w:r w:rsidRPr="00752BA3">
        <w:rPr>
          <w:rFonts w:ascii="Arial" w:hAnsi="Arial" w:cs="Arial"/>
          <w:b/>
          <w:bCs/>
          <w:color w:val="000000"/>
          <w:sz w:val="28"/>
          <w:szCs w:val="28"/>
        </w:rPr>
        <w:t xml:space="preserve">předávané Ministerstvem průmyslu a obchodu k 31. 12. 2012 </w:t>
      </w:r>
    </w:p>
    <w:p w14:paraId="00D915E7" w14:textId="77777777" w:rsidR="00E00DF2" w:rsidRPr="00752BA3" w:rsidRDefault="00E00DF2" w:rsidP="00E00DF2">
      <w:pPr>
        <w:jc w:val="center"/>
        <w:rPr>
          <w:rFonts w:ascii="Arial" w:hAnsi="Arial" w:cs="Arial"/>
          <w:sz w:val="28"/>
          <w:szCs w:val="28"/>
          <w:highlight w:val="green"/>
        </w:rPr>
      </w:pPr>
      <w:r w:rsidRPr="00752BA3">
        <w:rPr>
          <w:rFonts w:ascii="Arial" w:hAnsi="Arial" w:cs="Arial"/>
          <w:b/>
          <w:bCs/>
          <w:color w:val="000000"/>
          <w:sz w:val="28"/>
          <w:szCs w:val="28"/>
        </w:rPr>
        <w:t>ve formě pomocného analytického přehledu prostřednictvím centrálního systému účetních informací státu</w:t>
      </w:r>
    </w:p>
    <w:p w14:paraId="00D915E8" w14:textId="77777777" w:rsidR="00E00DF2" w:rsidRDefault="00E00DF2" w:rsidP="00E00DF2">
      <w:pPr>
        <w:jc w:val="center"/>
        <w:rPr>
          <w:rFonts w:ascii="Arial" w:hAnsi="Arial" w:cs="Arial"/>
          <w:sz w:val="28"/>
          <w:szCs w:val="28"/>
          <w:highlight w:val="green"/>
        </w:rPr>
      </w:pPr>
    </w:p>
    <w:p w14:paraId="00D915E9" w14:textId="77777777" w:rsidR="00852230" w:rsidRPr="00752BA3" w:rsidRDefault="00852230" w:rsidP="00E00DF2">
      <w:pPr>
        <w:jc w:val="center"/>
        <w:rPr>
          <w:rFonts w:ascii="Arial" w:hAnsi="Arial" w:cs="Arial"/>
          <w:sz w:val="28"/>
          <w:szCs w:val="28"/>
          <w:highlight w:val="green"/>
        </w:rPr>
      </w:pPr>
    </w:p>
    <w:p w14:paraId="00D915EA" w14:textId="77777777" w:rsidR="00E00DF2" w:rsidRPr="0015047E" w:rsidRDefault="00E00DF2" w:rsidP="00E00DF2">
      <w:pPr>
        <w:jc w:val="both"/>
        <w:rPr>
          <w:rFonts w:ascii="Arial" w:hAnsi="Arial" w:cs="Arial"/>
          <w:sz w:val="22"/>
          <w:szCs w:val="22"/>
        </w:rPr>
      </w:pPr>
      <w:r w:rsidRPr="0015047E">
        <w:rPr>
          <w:rFonts w:ascii="Arial" w:hAnsi="Arial" w:cs="Arial"/>
          <w:sz w:val="22"/>
          <w:szCs w:val="22"/>
        </w:rPr>
        <w:t>Kontrolní akce byla zařazena do plánu kontrolní činnosti Nejvyššího kontrolního úřadu (dále jen „NKÚ“) na rok 201</w:t>
      </w:r>
      <w:r>
        <w:rPr>
          <w:rFonts w:ascii="Arial" w:hAnsi="Arial" w:cs="Arial"/>
          <w:sz w:val="22"/>
          <w:szCs w:val="22"/>
        </w:rPr>
        <w:t>3</w:t>
      </w:r>
      <w:r w:rsidRPr="0015047E">
        <w:rPr>
          <w:rFonts w:ascii="Arial" w:hAnsi="Arial" w:cs="Arial"/>
          <w:sz w:val="22"/>
          <w:szCs w:val="22"/>
        </w:rPr>
        <w:t xml:space="preserve"> pod číslem 1</w:t>
      </w:r>
      <w:r>
        <w:rPr>
          <w:rFonts w:ascii="Arial" w:hAnsi="Arial" w:cs="Arial"/>
          <w:sz w:val="22"/>
          <w:szCs w:val="22"/>
        </w:rPr>
        <w:t>3</w:t>
      </w:r>
      <w:r w:rsidRPr="0015047E">
        <w:rPr>
          <w:rFonts w:ascii="Arial" w:hAnsi="Arial" w:cs="Arial"/>
          <w:sz w:val="22"/>
          <w:szCs w:val="22"/>
        </w:rPr>
        <w:t>/</w:t>
      </w:r>
      <w:r>
        <w:rPr>
          <w:rFonts w:ascii="Arial" w:hAnsi="Arial" w:cs="Arial"/>
          <w:sz w:val="22"/>
          <w:szCs w:val="22"/>
        </w:rPr>
        <w:t>11</w:t>
      </w:r>
      <w:r w:rsidRPr="0015047E">
        <w:rPr>
          <w:rFonts w:ascii="Arial" w:hAnsi="Arial" w:cs="Arial"/>
          <w:sz w:val="22"/>
          <w:szCs w:val="22"/>
        </w:rPr>
        <w:t>. Kontrolní akci řídila a kontrolní závěr vypracovala členka NKÚ Ing. Jaromíra Steidlová.</w:t>
      </w:r>
    </w:p>
    <w:p w14:paraId="00D915EB" w14:textId="77777777" w:rsidR="00E00DF2" w:rsidRPr="0015047E" w:rsidRDefault="00E00DF2" w:rsidP="00E00DF2">
      <w:pPr>
        <w:jc w:val="both"/>
        <w:rPr>
          <w:rFonts w:ascii="Arial" w:hAnsi="Arial" w:cs="Arial"/>
          <w:sz w:val="22"/>
          <w:szCs w:val="22"/>
          <w:highlight w:val="green"/>
        </w:rPr>
      </w:pPr>
    </w:p>
    <w:p w14:paraId="00D915EC" w14:textId="77777777" w:rsidR="00E00DF2" w:rsidRPr="00752BA3" w:rsidRDefault="00E00DF2" w:rsidP="00A65627">
      <w:pPr>
        <w:jc w:val="both"/>
        <w:rPr>
          <w:rFonts w:ascii="Arial" w:hAnsi="Arial" w:cs="Arial"/>
          <w:sz w:val="22"/>
          <w:szCs w:val="22"/>
        </w:rPr>
      </w:pPr>
      <w:r w:rsidRPr="00752BA3">
        <w:rPr>
          <w:rFonts w:ascii="Arial" w:hAnsi="Arial" w:cs="Arial"/>
          <w:sz w:val="22"/>
          <w:szCs w:val="22"/>
        </w:rPr>
        <w:t>Cílem kontroly bylo prověřit, zda Ministerstvo průmyslu a obchodu při sestavení pomocného analytického přehledu a při vedení účetnictví a souvise</w:t>
      </w:r>
      <w:r w:rsidR="00A65627">
        <w:rPr>
          <w:rFonts w:ascii="Arial" w:hAnsi="Arial" w:cs="Arial"/>
          <w:sz w:val="22"/>
          <w:szCs w:val="22"/>
        </w:rPr>
        <w:t>jících zdrojů dat postupovalo v </w:t>
      </w:r>
      <w:r w:rsidRPr="00752BA3">
        <w:rPr>
          <w:rFonts w:ascii="Arial" w:hAnsi="Arial" w:cs="Arial"/>
          <w:sz w:val="22"/>
          <w:szCs w:val="22"/>
        </w:rPr>
        <w:t xml:space="preserve">souladu </w:t>
      </w:r>
      <w:r w:rsidR="009F047D">
        <w:rPr>
          <w:rFonts w:ascii="Arial" w:hAnsi="Arial" w:cs="Arial"/>
          <w:sz w:val="22"/>
          <w:szCs w:val="22"/>
        </w:rPr>
        <w:t>s </w:t>
      </w:r>
      <w:r w:rsidRPr="00752BA3">
        <w:rPr>
          <w:rFonts w:ascii="Arial" w:hAnsi="Arial" w:cs="Arial"/>
          <w:sz w:val="22"/>
          <w:szCs w:val="22"/>
        </w:rPr>
        <w:t>příslušnými právními předpisy.</w:t>
      </w:r>
    </w:p>
    <w:p w14:paraId="00D915ED" w14:textId="77777777" w:rsidR="00E00DF2" w:rsidRDefault="00E00DF2" w:rsidP="00E00DF2">
      <w:pPr>
        <w:jc w:val="both"/>
        <w:rPr>
          <w:rFonts w:ascii="Arial" w:hAnsi="Arial" w:cs="Arial"/>
          <w:sz w:val="22"/>
          <w:szCs w:val="22"/>
        </w:rPr>
      </w:pPr>
    </w:p>
    <w:p w14:paraId="00D915EE" w14:textId="77777777" w:rsidR="00E00DF2" w:rsidRPr="0015047E" w:rsidRDefault="00E00DF2" w:rsidP="00E00DF2">
      <w:pPr>
        <w:jc w:val="both"/>
        <w:rPr>
          <w:rFonts w:ascii="Arial" w:hAnsi="Arial" w:cs="Arial"/>
          <w:sz w:val="22"/>
          <w:szCs w:val="22"/>
        </w:rPr>
      </w:pPr>
      <w:r w:rsidRPr="0015047E">
        <w:rPr>
          <w:rFonts w:ascii="Arial" w:hAnsi="Arial" w:cs="Arial"/>
          <w:sz w:val="22"/>
          <w:szCs w:val="22"/>
        </w:rPr>
        <w:t xml:space="preserve">Kontrolovanou osobou bylo </w:t>
      </w:r>
      <w:r>
        <w:rPr>
          <w:rFonts w:ascii="Arial" w:hAnsi="Arial" w:cs="Arial"/>
          <w:sz w:val="22"/>
          <w:szCs w:val="22"/>
        </w:rPr>
        <w:t>Ministerstvo průmyslu a obchodu</w:t>
      </w:r>
      <w:r w:rsidRPr="0015047E">
        <w:rPr>
          <w:rFonts w:ascii="Arial" w:hAnsi="Arial" w:cs="Arial"/>
          <w:sz w:val="22"/>
          <w:szCs w:val="22"/>
        </w:rPr>
        <w:t xml:space="preserve"> (dále také „M</w:t>
      </w:r>
      <w:r>
        <w:rPr>
          <w:rFonts w:ascii="Arial" w:hAnsi="Arial" w:cs="Arial"/>
          <w:sz w:val="22"/>
          <w:szCs w:val="22"/>
        </w:rPr>
        <w:t>PO</w:t>
      </w:r>
      <w:r w:rsidRPr="0015047E">
        <w:rPr>
          <w:rFonts w:ascii="Arial" w:hAnsi="Arial" w:cs="Arial"/>
          <w:sz w:val="22"/>
          <w:szCs w:val="22"/>
        </w:rPr>
        <w:t>“).</w:t>
      </w:r>
    </w:p>
    <w:p w14:paraId="00D915EF" w14:textId="77777777" w:rsidR="00E00DF2" w:rsidRPr="0015047E" w:rsidRDefault="00E00DF2" w:rsidP="00E00DF2">
      <w:pPr>
        <w:jc w:val="both"/>
        <w:rPr>
          <w:rFonts w:ascii="Arial" w:hAnsi="Arial" w:cs="Arial"/>
          <w:sz w:val="22"/>
          <w:szCs w:val="22"/>
          <w:highlight w:val="green"/>
        </w:rPr>
      </w:pPr>
    </w:p>
    <w:p w14:paraId="00D915F0" w14:textId="77777777" w:rsidR="00E00DF2" w:rsidRPr="0015047E" w:rsidRDefault="00E00DF2" w:rsidP="00E00DF2">
      <w:pPr>
        <w:jc w:val="both"/>
        <w:rPr>
          <w:rFonts w:ascii="Arial" w:hAnsi="Arial" w:cs="Arial"/>
          <w:sz w:val="22"/>
          <w:szCs w:val="22"/>
        </w:rPr>
      </w:pPr>
      <w:r w:rsidRPr="0015047E">
        <w:rPr>
          <w:rFonts w:ascii="Arial" w:hAnsi="Arial" w:cs="Arial"/>
          <w:sz w:val="22"/>
          <w:szCs w:val="22"/>
        </w:rPr>
        <w:t>Kontrolovaným obdobím byl rok 2012</w:t>
      </w:r>
      <w:r w:rsidR="00AD1162">
        <w:rPr>
          <w:rFonts w:ascii="Arial" w:hAnsi="Arial" w:cs="Arial"/>
          <w:sz w:val="22"/>
          <w:szCs w:val="22"/>
        </w:rPr>
        <w:t xml:space="preserve">, v případě věcných souvislostí i období předchozí a následné. </w:t>
      </w:r>
    </w:p>
    <w:p w14:paraId="00D915F1" w14:textId="77777777" w:rsidR="00E00DF2" w:rsidRPr="0015047E" w:rsidRDefault="00E00DF2" w:rsidP="00E00DF2">
      <w:pPr>
        <w:jc w:val="both"/>
        <w:rPr>
          <w:rFonts w:ascii="Arial" w:hAnsi="Arial" w:cs="Arial"/>
          <w:sz w:val="22"/>
          <w:szCs w:val="22"/>
          <w:highlight w:val="green"/>
        </w:rPr>
      </w:pPr>
    </w:p>
    <w:p w14:paraId="00D915F2" w14:textId="77777777" w:rsidR="00E00DF2" w:rsidRPr="0015047E" w:rsidRDefault="00E00DF2" w:rsidP="00E00DF2">
      <w:pPr>
        <w:jc w:val="both"/>
        <w:rPr>
          <w:rFonts w:ascii="Arial" w:hAnsi="Arial" w:cs="Arial"/>
          <w:sz w:val="22"/>
          <w:szCs w:val="22"/>
        </w:rPr>
      </w:pPr>
      <w:r w:rsidRPr="0015047E">
        <w:rPr>
          <w:rFonts w:ascii="Arial" w:hAnsi="Arial" w:cs="Arial"/>
          <w:sz w:val="22"/>
          <w:szCs w:val="22"/>
        </w:rPr>
        <w:t xml:space="preserve">Kontrola byla prováděna </w:t>
      </w:r>
      <w:r w:rsidR="009F047D">
        <w:rPr>
          <w:rFonts w:ascii="Arial" w:hAnsi="Arial" w:cs="Arial"/>
          <w:sz w:val="22"/>
          <w:szCs w:val="22"/>
        </w:rPr>
        <w:t>v </w:t>
      </w:r>
      <w:r w:rsidRPr="0015047E">
        <w:rPr>
          <w:rFonts w:ascii="Arial" w:hAnsi="Arial" w:cs="Arial"/>
          <w:sz w:val="22"/>
          <w:szCs w:val="22"/>
        </w:rPr>
        <w:t xml:space="preserve">době od </w:t>
      </w:r>
      <w:r>
        <w:rPr>
          <w:rFonts w:ascii="Arial" w:hAnsi="Arial" w:cs="Arial"/>
          <w:sz w:val="22"/>
          <w:szCs w:val="22"/>
        </w:rPr>
        <w:t>března</w:t>
      </w:r>
      <w:r w:rsidRPr="0015047E">
        <w:rPr>
          <w:rFonts w:ascii="Arial" w:hAnsi="Arial" w:cs="Arial"/>
          <w:sz w:val="22"/>
          <w:szCs w:val="22"/>
        </w:rPr>
        <w:t xml:space="preserve"> do </w:t>
      </w:r>
      <w:r>
        <w:rPr>
          <w:rFonts w:ascii="Arial" w:hAnsi="Arial" w:cs="Arial"/>
          <w:sz w:val="22"/>
          <w:szCs w:val="22"/>
        </w:rPr>
        <w:t>srp</w:t>
      </w:r>
      <w:r w:rsidRPr="0015047E">
        <w:rPr>
          <w:rFonts w:ascii="Arial" w:hAnsi="Arial" w:cs="Arial"/>
          <w:sz w:val="22"/>
          <w:szCs w:val="22"/>
        </w:rPr>
        <w:t xml:space="preserve">na </w:t>
      </w:r>
      <w:r>
        <w:rPr>
          <w:rFonts w:ascii="Arial" w:hAnsi="Arial" w:cs="Arial"/>
          <w:sz w:val="22"/>
          <w:szCs w:val="22"/>
        </w:rPr>
        <w:t xml:space="preserve">roku </w:t>
      </w:r>
      <w:r w:rsidRPr="0015047E">
        <w:rPr>
          <w:rFonts w:ascii="Arial" w:hAnsi="Arial" w:cs="Arial"/>
          <w:sz w:val="22"/>
          <w:szCs w:val="22"/>
        </w:rPr>
        <w:t>2013.</w:t>
      </w:r>
    </w:p>
    <w:p w14:paraId="00D915F3" w14:textId="77777777" w:rsidR="00E00DF2" w:rsidRPr="0015047E" w:rsidRDefault="00E00DF2" w:rsidP="00E00DF2">
      <w:pPr>
        <w:jc w:val="both"/>
        <w:rPr>
          <w:rFonts w:ascii="Arial" w:hAnsi="Arial" w:cs="Arial"/>
          <w:sz w:val="22"/>
          <w:szCs w:val="22"/>
          <w:highlight w:val="green"/>
        </w:rPr>
      </w:pPr>
    </w:p>
    <w:p w14:paraId="00D915F4" w14:textId="77777777" w:rsidR="00E00DF2" w:rsidRPr="0015047E" w:rsidRDefault="00E00DF2" w:rsidP="00E00DF2">
      <w:pPr>
        <w:jc w:val="both"/>
        <w:rPr>
          <w:rFonts w:ascii="Arial" w:hAnsi="Arial" w:cs="Arial"/>
          <w:sz w:val="22"/>
          <w:szCs w:val="22"/>
          <w:highlight w:val="green"/>
        </w:rPr>
      </w:pPr>
      <w:r w:rsidRPr="0015047E">
        <w:rPr>
          <w:rFonts w:ascii="Arial" w:hAnsi="Arial" w:cs="Arial"/>
          <w:sz w:val="22"/>
          <w:szCs w:val="22"/>
        </w:rPr>
        <w:t>Námitky proti kontrolnímu protokolu</w:t>
      </w:r>
      <w:r>
        <w:rPr>
          <w:rFonts w:ascii="Arial" w:hAnsi="Arial" w:cs="Arial"/>
          <w:sz w:val="22"/>
          <w:szCs w:val="22"/>
        </w:rPr>
        <w:t xml:space="preserve"> </w:t>
      </w:r>
      <w:r w:rsidR="00AD1162">
        <w:rPr>
          <w:rFonts w:ascii="Arial" w:hAnsi="Arial" w:cs="Arial"/>
          <w:sz w:val="22"/>
          <w:szCs w:val="22"/>
        </w:rPr>
        <w:t>Ministerstvo průmyslu a obchodu</w:t>
      </w:r>
      <w:r>
        <w:rPr>
          <w:rFonts w:ascii="Arial" w:hAnsi="Arial" w:cs="Arial"/>
          <w:sz w:val="22"/>
          <w:szCs w:val="22"/>
        </w:rPr>
        <w:t xml:space="preserve"> nepodalo.</w:t>
      </w:r>
    </w:p>
    <w:p w14:paraId="00D915F5" w14:textId="77777777" w:rsidR="00E00DF2" w:rsidRPr="0015047E" w:rsidRDefault="00E00DF2" w:rsidP="00E00DF2">
      <w:pPr>
        <w:jc w:val="both"/>
        <w:rPr>
          <w:rFonts w:ascii="Arial" w:hAnsi="Arial" w:cs="Arial"/>
          <w:sz w:val="22"/>
          <w:szCs w:val="22"/>
          <w:highlight w:val="green"/>
        </w:rPr>
      </w:pPr>
    </w:p>
    <w:p w14:paraId="00D915F6" w14:textId="77777777" w:rsidR="00E00DF2" w:rsidRPr="0015047E" w:rsidRDefault="00E00DF2" w:rsidP="00E00DF2">
      <w:pPr>
        <w:jc w:val="both"/>
        <w:rPr>
          <w:rFonts w:ascii="Arial" w:hAnsi="Arial" w:cs="Arial"/>
          <w:sz w:val="22"/>
          <w:szCs w:val="22"/>
          <w:highlight w:val="green"/>
        </w:rPr>
      </w:pPr>
    </w:p>
    <w:p w14:paraId="00D915F7" w14:textId="77777777" w:rsidR="00E00DF2" w:rsidRPr="0015047E" w:rsidRDefault="00E00DF2" w:rsidP="00E00DF2">
      <w:pPr>
        <w:jc w:val="both"/>
        <w:rPr>
          <w:rFonts w:ascii="Arial" w:hAnsi="Arial" w:cs="Arial"/>
          <w:sz w:val="22"/>
          <w:szCs w:val="22"/>
          <w:highlight w:val="green"/>
        </w:rPr>
      </w:pPr>
      <w:r w:rsidRPr="0015047E">
        <w:rPr>
          <w:rFonts w:ascii="Arial" w:hAnsi="Arial" w:cs="Arial"/>
          <w:b/>
          <w:bCs/>
          <w:i/>
          <w:iCs/>
          <w:spacing w:val="60"/>
          <w:sz w:val="22"/>
          <w:szCs w:val="22"/>
        </w:rPr>
        <w:t>Kolegium</w:t>
      </w:r>
      <w:r w:rsidRPr="0015047E">
        <w:rPr>
          <w:rFonts w:ascii="Arial" w:hAnsi="Arial" w:cs="Arial"/>
          <w:b/>
          <w:bCs/>
          <w:i/>
          <w:iCs/>
          <w:sz w:val="22"/>
          <w:szCs w:val="22"/>
        </w:rPr>
        <w:t xml:space="preserve"> </w:t>
      </w:r>
      <w:r w:rsidRPr="0015047E">
        <w:rPr>
          <w:rFonts w:ascii="Arial" w:hAnsi="Arial" w:cs="Arial"/>
          <w:b/>
          <w:bCs/>
          <w:i/>
          <w:iCs/>
          <w:spacing w:val="60"/>
          <w:sz w:val="22"/>
          <w:szCs w:val="22"/>
        </w:rPr>
        <w:t>NKÚ</w:t>
      </w:r>
      <w:r w:rsidRPr="0015047E">
        <w:rPr>
          <w:rFonts w:ascii="Arial" w:hAnsi="Arial" w:cs="Arial"/>
          <w:sz w:val="22"/>
          <w:szCs w:val="22"/>
        </w:rPr>
        <w:t xml:space="preserve">   na svém </w:t>
      </w:r>
      <w:r w:rsidR="00852230">
        <w:rPr>
          <w:rFonts w:ascii="Arial" w:hAnsi="Arial" w:cs="Arial"/>
          <w:sz w:val="22"/>
          <w:szCs w:val="22"/>
        </w:rPr>
        <w:t>XIX.</w:t>
      </w:r>
      <w:r w:rsidR="00E03926">
        <w:rPr>
          <w:rFonts w:ascii="Arial" w:hAnsi="Arial" w:cs="Arial"/>
          <w:sz w:val="22"/>
          <w:szCs w:val="22"/>
        </w:rPr>
        <w:t xml:space="preserve"> </w:t>
      </w:r>
      <w:r w:rsidRPr="0015047E">
        <w:rPr>
          <w:rFonts w:ascii="Arial" w:hAnsi="Arial" w:cs="Arial"/>
          <w:sz w:val="22"/>
          <w:szCs w:val="22"/>
        </w:rPr>
        <w:t>zasedání, konaném dne</w:t>
      </w:r>
      <w:r w:rsidR="00852230">
        <w:rPr>
          <w:rFonts w:ascii="Arial" w:hAnsi="Arial" w:cs="Arial"/>
          <w:sz w:val="22"/>
          <w:szCs w:val="22"/>
        </w:rPr>
        <w:t xml:space="preserve"> 18. listopadu </w:t>
      </w:r>
      <w:r w:rsidRPr="0015047E">
        <w:rPr>
          <w:rFonts w:ascii="Arial" w:hAnsi="Arial" w:cs="Arial"/>
          <w:sz w:val="22"/>
          <w:szCs w:val="22"/>
        </w:rPr>
        <w:t>2013,</w:t>
      </w:r>
    </w:p>
    <w:p w14:paraId="00D915F8" w14:textId="77777777" w:rsidR="00E00DF2" w:rsidRPr="004C35C0" w:rsidRDefault="00E00DF2" w:rsidP="00E00DF2">
      <w:pPr>
        <w:jc w:val="both"/>
        <w:rPr>
          <w:rFonts w:ascii="Arial" w:hAnsi="Arial" w:cs="Arial"/>
          <w:sz w:val="22"/>
          <w:szCs w:val="22"/>
        </w:rPr>
      </w:pPr>
      <w:r w:rsidRPr="004C35C0">
        <w:rPr>
          <w:rFonts w:ascii="Arial" w:hAnsi="Arial" w:cs="Arial"/>
          <w:b/>
          <w:bCs/>
          <w:i/>
          <w:iCs/>
          <w:spacing w:val="60"/>
          <w:sz w:val="22"/>
          <w:szCs w:val="22"/>
        </w:rPr>
        <w:t>schválilo</w:t>
      </w:r>
      <w:r w:rsidRPr="004C35C0">
        <w:rPr>
          <w:rFonts w:ascii="Arial" w:hAnsi="Arial" w:cs="Arial"/>
          <w:sz w:val="22"/>
          <w:szCs w:val="22"/>
        </w:rPr>
        <w:t xml:space="preserve">   usnesením č. </w:t>
      </w:r>
      <w:r w:rsidR="0098655E">
        <w:rPr>
          <w:rFonts w:ascii="Arial" w:hAnsi="Arial" w:cs="Arial"/>
          <w:sz w:val="22"/>
          <w:szCs w:val="22"/>
        </w:rPr>
        <w:t>6</w:t>
      </w:r>
      <w:r w:rsidRPr="00A65627">
        <w:rPr>
          <w:rFonts w:ascii="Arial" w:hAnsi="Arial" w:cs="Arial"/>
          <w:sz w:val="22"/>
          <w:szCs w:val="22"/>
        </w:rPr>
        <w:t>/</w:t>
      </w:r>
      <w:r w:rsidR="00852230">
        <w:rPr>
          <w:rFonts w:ascii="Arial" w:hAnsi="Arial" w:cs="Arial"/>
          <w:sz w:val="22"/>
          <w:szCs w:val="22"/>
        </w:rPr>
        <w:t>XIX</w:t>
      </w:r>
      <w:r w:rsidRPr="004C35C0">
        <w:rPr>
          <w:rFonts w:ascii="Arial" w:hAnsi="Arial" w:cs="Arial"/>
          <w:sz w:val="22"/>
          <w:szCs w:val="22"/>
        </w:rPr>
        <w:t>/2013</w:t>
      </w:r>
    </w:p>
    <w:p w14:paraId="00D915F9" w14:textId="77777777" w:rsidR="00E00DF2" w:rsidRPr="004C35C0" w:rsidRDefault="00E00DF2" w:rsidP="00E00DF2">
      <w:pPr>
        <w:jc w:val="both"/>
        <w:rPr>
          <w:rFonts w:ascii="Arial" w:hAnsi="Arial" w:cs="Arial"/>
          <w:sz w:val="22"/>
          <w:szCs w:val="22"/>
        </w:rPr>
      </w:pPr>
      <w:r w:rsidRPr="004C35C0">
        <w:rPr>
          <w:rFonts w:ascii="Arial" w:hAnsi="Arial" w:cs="Arial"/>
          <w:b/>
          <w:bCs/>
          <w:i/>
          <w:iCs/>
          <w:spacing w:val="60"/>
          <w:sz w:val="22"/>
          <w:szCs w:val="22"/>
        </w:rPr>
        <w:t>kontrolní</w:t>
      </w:r>
      <w:r w:rsidRPr="004C35C0">
        <w:rPr>
          <w:rFonts w:ascii="Arial" w:hAnsi="Arial" w:cs="Arial"/>
          <w:b/>
          <w:bCs/>
          <w:i/>
          <w:iCs/>
          <w:sz w:val="22"/>
          <w:szCs w:val="22"/>
        </w:rPr>
        <w:t xml:space="preserve"> </w:t>
      </w:r>
      <w:r w:rsidRPr="004C35C0">
        <w:rPr>
          <w:rFonts w:ascii="Arial" w:hAnsi="Arial" w:cs="Arial"/>
          <w:b/>
          <w:bCs/>
          <w:i/>
          <w:iCs/>
          <w:spacing w:val="60"/>
          <w:sz w:val="22"/>
          <w:szCs w:val="22"/>
        </w:rPr>
        <w:t>závěr</w:t>
      </w:r>
      <w:r w:rsidRPr="004C35C0">
        <w:rPr>
          <w:rFonts w:ascii="Arial" w:hAnsi="Arial" w:cs="Arial"/>
          <w:sz w:val="22"/>
          <w:szCs w:val="22"/>
        </w:rPr>
        <w:t xml:space="preserve">   </w:t>
      </w:r>
      <w:r w:rsidR="009F047D">
        <w:rPr>
          <w:rFonts w:ascii="Arial" w:hAnsi="Arial" w:cs="Arial"/>
          <w:sz w:val="22"/>
          <w:szCs w:val="22"/>
        </w:rPr>
        <w:t>v </w:t>
      </w:r>
      <w:r w:rsidRPr="004C35C0">
        <w:rPr>
          <w:rFonts w:ascii="Arial" w:hAnsi="Arial" w:cs="Arial"/>
          <w:sz w:val="22"/>
          <w:szCs w:val="22"/>
        </w:rPr>
        <w:t>tomto znění:</w:t>
      </w:r>
    </w:p>
    <w:p w14:paraId="00D915FA" w14:textId="77777777" w:rsidR="00E00DF2" w:rsidRPr="0015047E" w:rsidRDefault="00E00DF2" w:rsidP="00E00DF2">
      <w:pPr>
        <w:jc w:val="both"/>
        <w:rPr>
          <w:rFonts w:ascii="Arial" w:hAnsi="Arial" w:cs="Arial"/>
          <w:sz w:val="22"/>
          <w:szCs w:val="22"/>
          <w:highlight w:val="green"/>
        </w:rPr>
      </w:pPr>
    </w:p>
    <w:p w14:paraId="00D915FB" w14:textId="77777777" w:rsidR="00E00DF2" w:rsidRPr="0015047E" w:rsidRDefault="00E00DF2" w:rsidP="00E00DF2">
      <w:pPr>
        <w:jc w:val="both"/>
        <w:rPr>
          <w:rFonts w:ascii="Arial" w:hAnsi="Arial" w:cs="Arial"/>
          <w:sz w:val="22"/>
          <w:szCs w:val="22"/>
          <w:highlight w:val="green"/>
        </w:rPr>
      </w:pPr>
    </w:p>
    <w:p w14:paraId="00D915FC" w14:textId="77777777" w:rsidR="00E00DF2" w:rsidRPr="004C35C0" w:rsidRDefault="00E00DF2" w:rsidP="00E00DF2">
      <w:pPr>
        <w:jc w:val="center"/>
        <w:rPr>
          <w:rFonts w:ascii="Arial" w:hAnsi="Arial" w:cs="Arial"/>
          <w:b/>
        </w:rPr>
      </w:pPr>
      <w:r w:rsidRPr="004C35C0">
        <w:rPr>
          <w:rFonts w:ascii="Arial" w:hAnsi="Arial" w:cs="Arial"/>
          <w:b/>
        </w:rPr>
        <w:t>I. Úvod</w:t>
      </w:r>
    </w:p>
    <w:p w14:paraId="00D915FD" w14:textId="77777777" w:rsidR="00E00DF2" w:rsidRPr="0015047E" w:rsidRDefault="00E00DF2" w:rsidP="00E00DF2">
      <w:pPr>
        <w:jc w:val="both"/>
        <w:rPr>
          <w:rFonts w:ascii="Arial" w:hAnsi="Arial" w:cs="Arial"/>
          <w:sz w:val="22"/>
          <w:szCs w:val="22"/>
          <w:highlight w:val="green"/>
        </w:rPr>
      </w:pPr>
    </w:p>
    <w:p w14:paraId="00D915FE" w14:textId="77777777" w:rsidR="00E00DF2" w:rsidRDefault="00E00DF2" w:rsidP="00E00DF2">
      <w:pPr>
        <w:jc w:val="both"/>
        <w:rPr>
          <w:rFonts w:ascii="Arial" w:hAnsi="Arial" w:cs="Arial"/>
          <w:sz w:val="22"/>
          <w:szCs w:val="22"/>
        </w:rPr>
      </w:pPr>
    </w:p>
    <w:p w14:paraId="00D915FF" w14:textId="77777777" w:rsidR="00E00DF2" w:rsidRPr="00885720" w:rsidRDefault="00E00DF2" w:rsidP="00E00DF2">
      <w:pPr>
        <w:jc w:val="both"/>
        <w:rPr>
          <w:rFonts w:ascii="Arial" w:hAnsi="Arial" w:cs="Arial"/>
          <w:sz w:val="22"/>
          <w:szCs w:val="22"/>
        </w:rPr>
      </w:pPr>
      <w:r w:rsidRPr="00885720">
        <w:rPr>
          <w:rFonts w:ascii="Arial" w:hAnsi="Arial" w:cs="Arial"/>
          <w:sz w:val="22"/>
          <w:szCs w:val="22"/>
        </w:rPr>
        <w:t xml:space="preserve">MPO bylo zřízeno zákonem č. 2/1969 Sb., o zřízení ministerstev a jiných ústředních orgánů státní správy České republiky, který vymezuje jeho působnost. Podle tohoto zákona má MPO postavení ústředního orgánu státní správy. MPO je organizační složkou státu (dále také „OSS“), správcem rozpočtové kapitoly 322 </w:t>
      </w:r>
      <w:r w:rsidR="00AD1162">
        <w:rPr>
          <w:rFonts w:ascii="Arial" w:hAnsi="Arial" w:cs="Arial"/>
          <w:sz w:val="22"/>
          <w:szCs w:val="22"/>
        </w:rPr>
        <w:t xml:space="preserve">– </w:t>
      </w:r>
      <w:r w:rsidRPr="00260B0C">
        <w:rPr>
          <w:rFonts w:ascii="Arial" w:hAnsi="Arial" w:cs="Arial"/>
          <w:i/>
          <w:sz w:val="22"/>
          <w:szCs w:val="22"/>
        </w:rPr>
        <w:t>Ministerstvo průmyslu a obchodu</w:t>
      </w:r>
      <w:r w:rsidR="00A65627">
        <w:rPr>
          <w:rFonts w:ascii="Arial" w:hAnsi="Arial" w:cs="Arial"/>
          <w:sz w:val="22"/>
          <w:szCs w:val="22"/>
        </w:rPr>
        <w:t xml:space="preserve"> a </w:t>
      </w:r>
      <w:r>
        <w:rPr>
          <w:rFonts w:ascii="Arial" w:hAnsi="Arial" w:cs="Arial"/>
          <w:sz w:val="22"/>
          <w:szCs w:val="22"/>
        </w:rPr>
        <w:t>samostatnou účetní jednotkou</w:t>
      </w:r>
      <w:r w:rsidRPr="00885720">
        <w:rPr>
          <w:rFonts w:ascii="Arial" w:hAnsi="Arial" w:cs="Arial"/>
          <w:sz w:val="22"/>
          <w:szCs w:val="22"/>
        </w:rPr>
        <w:t xml:space="preserve">. </w:t>
      </w:r>
    </w:p>
    <w:p w14:paraId="00D91600" w14:textId="77777777" w:rsidR="00E00DF2" w:rsidRDefault="00E00DF2" w:rsidP="00E00DF2">
      <w:pPr>
        <w:jc w:val="both"/>
        <w:rPr>
          <w:rFonts w:ascii="Arial" w:hAnsi="Arial" w:cs="Arial"/>
          <w:sz w:val="22"/>
          <w:szCs w:val="22"/>
          <w:highlight w:val="green"/>
        </w:rPr>
      </w:pPr>
    </w:p>
    <w:p w14:paraId="00D91601" w14:textId="77777777" w:rsidR="00E00DF2" w:rsidRDefault="00E00DF2" w:rsidP="00E00DF2">
      <w:pPr>
        <w:jc w:val="both"/>
        <w:rPr>
          <w:rFonts w:ascii="Arial" w:hAnsi="Arial" w:cs="Arial"/>
          <w:sz w:val="22"/>
          <w:szCs w:val="22"/>
        </w:rPr>
      </w:pPr>
      <w:r w:rsidRPr="008039AB">
        <w:rPr>
          <w:rFonts w:ascii="Arial" w:hAnsi="Arial" w:cs="Arial"/>
          <w:sz w:val="22"/>
          <w:szCs w:val="22"/>
        </w:rPr>
        <w:t>Ministerstvo průmyslu a obchodu</w:t>
      </w:r>
      <w:r w:rsidR="00AD1162">
        <w:rPr>
          <w:rFonts w:ascii="Arial" w:hAnsi="Arial" w:cs="Arial"/>
          <w:sz w:val="22"/>
          <w:szCs w:val="22"/>
        </w:rPr>
        <w:t xml:space="preserve"> má </w:t>
      </w:r>
      <w:r>
        <w:rPr>
          <w:rFonts w:ascii="Arial" w:hAnsi="Arial" w:cs="Arial"/>
          <w:sz w:val="22"/>
          <w:szCs w:val="22"/>
        </w:rPr>
        <w:t>jako účetní jednotka povinnost vést účetnictví, sestav</w:t>
      </w:r>
      <w:r w:rsidR="00AD1162">
        <w:rPr>
          <w:rFonts w:ascii="Arial" w:hAnsi="Arial" w:cs="Arial"/>
          <w:sz w:val="22"/>
          <w:szCs w:val="22"/>
        </w:rPr>
        <w:t>ovat</w:t>
      </w:r>
      <w:r>
        <w:rPr>
          <w:rFonts w:ascii="Arial" w:hAnsi="Arial" w:cs="Arial"/>
          <w:sz w:val="22"/>
          <w:szCs w:val="22"/>
        </w:rPr>
        <w:t xml:space="preserve"> účetní závěrk</w:t>
      </w:r>
      <w:r w:rsidR="00AD1162">
        <w:rPr>
          <w:rFonts w:ascii="Arial" w:hAnsi="Arial" w:cs="Arial"/>
          <w:sz w:val="22"/>
          <w:szCs w:val="22"/>
        </w:rPr>
        <w:t>y</w:t>
      </w:r>
      <w:r>
        <w:rPr>
          <w:rFonts w:ascii="Arial" w:hAnsi="Arial" w:cs="Arial"/>
          <w:sz w:val="22"/>
          <w:szCs w:val="22"/>
        </w:rPr>
        <w:t xml:space="preserve"> a od roku 2012 také před</w:t>
      </w:r>
      <w:r w:rsidR="00AD1162">
        <w:rPr>
          <w:rFonts w:ascii="Arial" w:hAnsi="Arial" w:cs="Arial"/>
          <w:sz w:val="22"/>
          <w:szCs w:val="22"/>
        </w:rPr>
        <w:t>ávat</w:t>
      </w:r>
      <w:r>
        <w:rPr>
          <w:rFonts w:ascii="Arial" w:hAnsi="Arial" w:cs="Arial"/>
          <w:sz w:val="22"/>
          <w:szCs w:val="22"/>
        </w:rPr>
        <w:t xml:space="preserve"> </w:t>
      </w:r>
      <w:r w:rsidR="00AD1162">
        <w:rPr>
          <w:rFonts w:ascii="Arial" w:hAnsi="Arial" w:cs="Arial"/>
          <w:sz w:val="22"/>
          <w:szCs w:val="22"/>
        </w:rPr>
        <w:t>p</w:t>
      </w:r>
      <w:r>
        <w:rPr>
          <w:rFonts w:ascii="Arial" w:hAnsi="Arial" w:cs="Arial"/>
          <w:sz w:val="22"/>
          <w:szCs w:val="22"/>
        </w:rPr>
        <w:t>omocn</w:t>
      </w:r>
      <w:r w:rsidR="00AD1162">
        <w:rPr>
          <w:rFonts w:ascii="Arial" w:hAnsi="Arial" w:cs="Arial"/>
          <w:sz w:val="22"/>
          <w:szCs w:val="22"/>
        </w:rPr>
        <w:t>é</w:t>
      </w:r>
      <w:r>
        <w:rPr>
          <w:rFonts w:ascii="Arial" w:hAnsi="Arial" w:cs="Arial"/>
          <w:sz w:val="22"/>
          <w:szCs w:val="22"/>
        </w:rPr>
        <w:t xml:space="preserve"> analytick</w:t>
      </w:r>
      <w:r w:rsidR="00AD1162">
        <w:rPr>
          <w:rFonts w:ascii="Arial" w:hAnsi="Arial" w:cs="Arial"/>
          <w:sz w:val="22"/>
          <w:szCs w:val="22"/>
        </w:rPr>
        <w:t>é</w:t>
      </w:r>
      <w:r>
        <w:rPr>
          <w:rFonts w:ascii="Arial" w:hAnsi="Arial" w:cs="Arial"/>
          <w:sz w:val="22"/>
          <w:szCs w:val="22"/>
        </w:rPr>
        <w:t xml:space="preserve"> přehled</w:t>
      </w:r>
      <w:r w:rsidR="00AD1162">
        <w:rPr>
          <w:rFonts w:ascii="Arial" w:hAnsi="Arial" w:cs="Arial"/>
          <w:sz w:val="22"/>
          <w:szCs w:val="22"/>
        </w:rPr>
        <w:t>y</w:t>
      </w:r>
      <w:r>
        <w:rPr>
          <w:rFonts w:ascii="Arial" w:hAnsi="Arial" w:cs="Arial"/>
          <w:sz w:val="22"/>
          <w:szCs w:val="22"/>
        </w:rPr>
        <w:t xml:space="preserve"> (dále také „PAP“) do </w:t>
      </w:r>
      <w:r w:rsidRPr="00CF1124">
        <w:rPr>
          <w:rFonts w:ascii="Arial" w:hAnsi="Arial" w:cs="Arial"/>
          <w:sz w:val="22"/>
          <w:szCs w:val="22"/>
        </w:rPr>
        <w:t>centrálního systému účetních informací státu (dále také „CSÚIS“)</w:t>
      </w:r>
      <w:r>
        <w:rPr>
          <w:rFonts w:ascii="Arial" w:hAnsi="Arial" w:cs="Arial"/>
          <w:sz w:val="22"/>
          <w:szCs w:val="22"/>
        </w:rPr>
        <w:t xml:space="preserve">. </w:t>
      </w:r>
    </w:p>
    <w:p w14:paraId="00D91602" w14:textId="77777777" w:rsidR="00E00DF2" w:rsidRDefault="00E00DF2" w:rsidP="00E00DF2">
      <w:pPr>
        <w:pStyle w:val="Default"/>
        <w:jc w:val="both"/>
        <w:rPr>
          <w:sz w:val="22"/>
          <w:szCs w:val="22"/>
        </w:rPr>
      </w:pPr>
    </w:p>
    <w:p w14:paraId="00D91603" w14:textId="77777777" w:rsidR="00E00DF2" w:rsidRDefault="00E00DF2" w:rsidP="00DA7D84">
      <w:pPr>
        <w:pStyle w:val="Default"/>
        <w:jc w:val="both"/>
        <w:rPr>
          <w:sz w:val="22"/>
          <w:szCs w:val="22"/>
        </w:rPr>
      </w:pPr>
      <w:r>
        <w:rPr>
          <w:sz w:val="22"/>
          <w:szCs w:val="22"/>
        </w:rPr>
        <w:lastRenderedPageBreak/>
        <w:t xml:space="preserve">Předávání PAP představuje pro </w:t>
      </w:r>
      <w:r w:rsidR="003135DB">
        <w:rPr>
          <w:sz w:val="22"/>
          <w:szCs w:val="22"/>
        </w:rPr>
        <w:t>vybrané</w:t>
      </w:r>
      <w:r>
        <w:rPr>
          <w:sz w:val="22"/>
          <w:szCs w:val="22"/>
        </w:rPr>
        <w:t xml:space="preserve"> účetní jednotky</w:t>
      </w:r>
      <w:r w:rsidR="003135DB">
        <w:rPr>
          <w:rStyle w:val="Znakapoznpodarou"/>
          <w:sz w:val="22"/>
          <w:szCs w:val="22"/>
        </w:rPr>
        <w:footnoteReference w:id="1"/>
      </w:r>
      <w:r>
        <w:rPr>
          <w:sz w:val="22"/>
          <w:szCs w:val="22"/>
        </w:rPr>
        <w:t xml:space="preserve"> novou povinnost, </w:t>
      </w:r>
      <w:r w:rsidR="00AD1162">
        <w:rPr>
          <w:sz w:val="22"/>
          <w:szCs w:val="22"/>
        </w:rPr>
        <w:t xml:space="preserve">jež byla </w:t>
      </w:r>
      <w:r>
        <w:rPr>
          <w:sz w:val="22"/>
          <w:szCs w:val="22"/>
        </w:rPr>
        <w:t>stanoven</w:t>
      </w:r>
      <w:r w:rsidR="00AD1162">
        <w:rPr>
          <w:sz w:val="22"/>
          <w:szCs w:val="22"/>
        </w:rPr>
        <w:t>a</w:t>
      </w:r>
      <w:r w:rsidR="00761CA8">
        <w:rPr>
          <w:sz w:val="22"/>
          <w:szCs w:val="22"/>
        </w:rPr>
        <w:t xml:space="preserve"> podzákonným právním předpisem</w:t>
      </w:r>
      <w:r w:rsidR="00D660F6">
        <w:rPr>
          <w:sz w:val="22"/>
          <w:szCs w:val="22"/>
        </w:rPr>
        <w:t>,</w:t>
      </w:r>
      <w:r w:rsidR="00761CA8">
        <w:rPr>
          <w:sz w:val="22"/>
          <w:szCs w:val="22"/>
        </w:rPr>
        <w:t xml:space="preserve"> a to</w:t>
      </w:r>
      <w:r>
        <w:rPr>
          <w:sz w:val="22"/>
          <w:szCs w:val="22"/>
        </w:rPr>
        <w:t xml:space="preserve"> vyhláškou č. 383/2009 Sb.</w:t>
      </w:r>
      <w:r>
        <w:rPr>
          <w:rStyle w:val="Znakapoznpodarou"/>
          <w:sz w:val="22"/>
          <w:szCs w:val="22"/>
        </w:rPr>
        <w:footnoteReference w:id="2"/>
      </w:r>
      <w:r>
        <w:rPr>
          <w:sz w:val="22"/>
          <w:szCs w:val="22"/>
        </w:rPr>
        <w:t>, která je prováděcím právním předpisem k </w:t>
      </w:r>
      <w:r w:rsidR="003135DB">
        <w:rPr>
          <w:sz w:val="22"/>
          <w:szCs w:val="22"/>
        </w:rPr>
        <w:t xml:space="preserve">§ 4 odst. 8 </w:t>
      </w:r>
      <w:r>
        <w:rPr>
          <w:sz w:val="22"/>
          <w:szCs w:val="22"/>
        </w:rPr>
        <w:t>zákon</w:t>
      </w:r>
      <w:r w:rsidR="003135DB">
        <w:rPr>
          <w:sz w:val="22"/>
          <w:szCs w:val="22"/>
        </w:rPr>
        <w:t>a</w:t>
      </w:r>
      <w:r>
        <w:rPr>
          <w:sz w:val="22"/>
          <w:szCs w:val="22"/>
        </w:rPr>
        <w:t xml:space="preserve"> č. 563/1991 Sb., o účetnictví</w:t>
      </w:r>
      <w:r w:rsidR="00AD1162">
        <w:rPr>
          <w:sz w:val="22"/>
          <w:szCs w:val="22"/>
        </w:rPr>
        <w:t>,</w:t>
      </w:r>
      <w:r>
        <w:rPr>
          <w:sz w:val="22"/>
          <w:szCs w:val="22"/>
        </w:rPr>
        <w:t xml:space="preserve"> a </w:t>
      </w:r>
      <w:r w:rsidR="009F047D">
        <w:rPr>
          <w:sz w:val="22"/>
          <w:szCs w:val="22"/>
        </w:rPr>
        <w:t>k </w:t>
      </w:r>
      <w:r w:rsidR="003135DB">
        <w:rPr>
          <w:sz w:val="22"/>
          <w:szCs w:val="22"/>
        </w:rPr>
        <w:t>§ 20 odst. 6</w:t>
      </w:r>
      <w:r>
        <w:rPr>
          <w:sz w:val="22"/>
          <w:szCs w:val="22"/>
        </w:rPr>
        <w:t> zákon</w:t>
      </w:r>
      <w:r w:rsidR="003135DB">
        <w:rPr>
          <w:sz w:val="22"/>
          <w:szCs w:val="22"/>
        </w:rPr>
        <w:t>a</w:t>
      </w:r>
      <w:r>
        <w:rPr>
          <w:sz w:val="22"/>
          <w:szCs w:val="22"/>
        </w:rPr>
        <w:t xml:space="preserve"> č. 218/2000 Sb., o rozpočtových pravidlech a o změně některých souvisejících zákonů (rozpočtová pravidla).</w:t>
      </w:r>
      <w:r w:rsidR="00AD1162">
        <w:rPr>
          <w:sz w:val="22"/>
          <w:szCs w:val="22"/>
        </w:rPr>
        <w:t xml:space="preserve"> </w:t>
      </w:r>
      <w:r>
        <w:rPr>
          <w:sz w:val="22"/>
          <w:szCs w:val="22"/>
        </w:rPr>
        <w:t>Údaje PAP jsou dle vyhlášky č. 383/2009 Sb. předávány</w:t>
      </w:r>
      <w:r w:rsidRPr="006952FF">
        <w:rPr>
          <w:sz w:val="22"/>
          <w:szCs w:val="22"/>
        </w:rPr>
        <w:t xml:space="preserve"> pro </w:t>
      </w:r>
      <w:r w:rsidR="003135DB">
        <w:rPr>
          <w:sz w:val="22"/>
          <w:szCs w:val="22"/>
        </w:rPr>
        <w:t>„…</w:t>
      </w:r>
      <w:r w:rsidR="00D660F6">
        <w:rPr>
          <w:sz w:val="22"/>
          <w:szCs w:val="22"/>
        </w:rPr>
        <w:t xml:space="preserve"> </w:t>
      </w:r>
      <w:r w:rsidRPr="00DA7D84">
        <w:rPr>
          <w:i/>
          <w:sz w:val="22"/>
          <w:szCs w:val="22"/>
        </w:rPr>
        <w:t>účely monitorování a řízení</w:t>
      </w:r>
      <w:r>
        <w:rPr>
          <w:sz w:val="22"/>
          <w:szCs w:val="22"/>
        </w:rPr>
        <w:t xml:space="preserve"> </w:t>
      </w:r>
      <w:r w:rsidRPr="00DA7D84">
        <w:rPr>
          <w:i/>
          <w:sz w:val="22"/>
          <w:szCs w:val="22"/>
        </w:rPr>
        <w:t>veřejných financí</w:t>
      </w:r>
      <w:r w:rsidR="00D660F6">
        <w:rPr>
          <w:i/>
          <w:sz w:val="22"/>
          <w:szCs w:val="22"/>
        </w:rPr>
        <w:t xml:space="preserve"> </w:t>
      </w:r>
      <w:r w:rsidR="00C46F4F">
        <w:rPr>
          <w:sz w:val="22"/>
          <w:szCs w:val="22"/>
        </w:rPr>
        <w:t>…</w:t>
      </w:r>
      <w:r w:rsidR="003135DB">
        <w:rPr>
          <w:sz w:val="22"/>
          <w:szCs w:val="22"/>
        </w:rPr>
        <w:t>“</w:t>
      </w:r>
    </w:p>
    <w:p w14:paraId="00D91604" w14:textId="77777777" w:rsidR="00AD1162" w:rsidRDefault="00AD1162" w:rsidP="00DA7D84">
      <w:pPr>
        <w:pStyle w:val="Default"/>
        <w:jc w:val="both"/>
        <w:rPr>
          <w:sz w:val="22"/>
          <w:szCs w:val="22"/>
        </w:rPr>
      </w:pPr>
    </w:p>
    <w:p w14:paraId="00D91605" w14:textId="77777777" w:rsidR="00E00DF2" w:rsidRPr="00AB1A64" w:rsidRDefault="00E00DF2" w:rsidP="00E00DF2">
      <w:pPr>
        <w:jc w:val="both"/>
        <w:rPr>
          <w:rFonts w:ascii="Arial" w:hAnsi="Arial" w:cs="Arial"/>
          <w:b/>
          <w:bCs/>
          <w:i/>
          <w:iCs/>
          <w:sz w:val="22"/>
          <w:szCs w:val="22"/>
        </w:rPr>
      </w:pPr>
      <w:r>
        <w:rPr>
          <w:rFonts w:ascii="Arial" w:hAnsi="Arial" w:cs="Arial"/>
          <w:sz w:val="22"/>
          <w:szCs w:val="22"/>
        </w:rPr>
        <w:t>Důvodová zpráv</w:t>
      </w:r>
      <w:r w:rsidR="003135DB">
        <w:rPr>
          <w:rFonts w:ascii="Arial" w:hAnsi="Arial" w:cs="Arial"/>
          <w:sz w:val="22"/>
          <w:szCs w:val="22"/>
        </w:rPr>
        <w:t>a</w:t>
      </w:r>
      <w:r>
        <w:rPr>
          <w:rFonts w:ascii="Arial" w:hAnsi="Arial" w:cs="Arial"/>
          <w:sz w:val="22"/>
          <w:szCs w:val="22"/>
        </w:rPr>
        <w:t xml:space="preserve"> </w:t>
      </w:r>
      <w:r w:rsidRPr="006952FF">
        <w:rPr>
          <w:rFonts w:ascii="Arial" w:hAnsi="Arial" w:cs="Arial"/>
          <w:sz w:val="22"/>
          <w:szCs w:val="22"/>
        </w:rPr>
        <w:t>k</w:t>
      </w:r>
      <w:r>
        <w:rPr>
          <w:rFonts w:ascii="Arial" w:hAnsi="Arial" w:cs="Arial"/>
          <w:sz w:val="22"/>
          <w:szCs w:val="22"/>
        </w:rPr>
        <w:t> </w:t>
      </w:r>
      <w:r w:rsidRPr="006952FF">
        <w:rPr>
          <w:rFonts w:ascii="Arial" w:hAnsi="Arial" w:cs="Arial"/>
          <w:sz w:val="22"/>
          <w:szCs w:val="22"/>
        </w:rPr>
        <w:t>návrhu</w:t>
      </w:r>
      <w:r>
        <w:rPr>
          <w:rFonts w:ascii="Arial" w:hAnsi="Arial" w:cs="Arial"/>
          <w:sz w:val="22"/>
          <w:szCs w:val="22"/>
        </w:rPr>
        <w:t xml:space="preserve"> novely</w:t>
      </w:r>
      <w:r w:rsidRPr="006952FF">
        <w:rPr>
          <w:rFonts w:ascii="Arial" w:hAnsi="Arial" w:cs="Arial"/>
          <w:sz w:val="22"/>
          <w:szCs w:val="22"/>
        </w:rPr>
        <w:t xml:space="preserve"> vyhlášky</w:t>
      </w:r>
      <w:r w:rsidR="001A0323">
        <w:rPr>
          <w:rStyle w:val="Znakapoznpodarou"/>
          <w:rFonts w:ascii="Arial" w:hAnsi="Arial" w:cs="Arial"/>
          <w:sz w:val="22"/>
          <w:szCs w:val="22"/>
        </w:rPr>
        <w:footnoteReference w:id="3"/>
      </w:r>
      <w:r w:rsidRPr="006952FF">
        <w:rPr>
          <w:rFonts w:ascii="Arial" w:hAnsi="Arial" w:cs="Arial"/>
          <w:sz w:val="22"/>
          <w:szCs w:val="22"/>
        </w:rPr>
        <w:t xml:space="preserve">, kterou byla povinnost předávat </w:t>
      </w:r>
      <w:r w:rsidRPr="006952FF">
        <w:rPr>
          <w:rFonts w:ascii="Arial" w:hAnsi="Arial" w:cs="Arial"/>
          <w:bCs/>
          <w:iCs/>
          <w:sz w:val="22"/>
          <w:szCs w:val="22"/>
        </w:rPr>
        <w:t>PAP</w:t>
      </w:r>
      <w:r>
        <w:rPr>
          <w:rFonts w:ascii="Arial" w:hAnsi="Arial" w:cs="Arial"/>
          <w:bCs/>
          <w:iCs/>
          <w:sz w:val="22"/>
          <w:szCs w:val="22"/>
        </w:rPr>
        <w:t xml:space="preserve"> stanovena, uvádí</w:t>
      </w:r>
      <w:r w:rsidRPr="006952FF">
        <w:rPr>
          <w:rFonts w:ascii="Arial" w:hAnsi="Arial" w:cs="Arial"/>
          <w:bCs/>
          <w:iCs/>
          <w:sz w:val="22"/>
          <w:szCs w:val="22"/>
        </w:rPr>
        <w:t>, že</w:t>
      </w:r>
      <w:r w:rsidRPr="00260B0C">
        <w:rPr>
          <w:rFonts w:ascii="Arial" w:hAnsi="Arial" w:cs="Arial"/>
          <w:bCs/>
          <w:iCs/>
          <w:sz w:val="22"/>
          <w:szCs w:val="22"/>
        </w:rPr>
        <w:t>:</w:t>
      </w:r>
      <w:r w:rsidR="00DF0462" w:rsidRPr="00260B0C">
        <w:rPr>
          <w:rFonts w:ascii="Arial" w:hAnsi="Arial" w:cs="Arial"/>
          <w:bCs/>
          <w:iCs/>
          <w:sz w:val="22"/>
          <w:szCs w:val="22"/>
        </w:rPr>
        <w:t xml:space="preserve"> „</w:t>
      </w:r>
      <w:r w:rsidRPr="00980EAB">
        <w:rPr>
          <w:rFonts w:ascii="Arial" w:hAnsi="Arial" w:cs="Arial"/>
          <w:bCs/>
          <w:i/>
          <w:iCs/>
          <w:sz w:val="22"/>
          <w:szCs w:val="22"/>
        </w:rPr>
        <w:t>…</w:t>
      </w:r>
      <w:r w:rsidR="00DF0462">
        <w:rPr>
          <w:rFonts w:ascii="Arial" w:hAnsi="Arial" w:cs="Arial"/>
          <w:bCs/>
          <w:i/>
          <w:iCs/>
          <w:sz w:val="22"/>
          <w:szCs w:val="22"/>
        </w:rPr>
        <w:t xml:space="preserve"> </w:t>
      </w:r>
      <w:r w:rsidRPr="00AB1A64">
        <w:rPr>
          <w:rFonts w:ascii="Arial" w:hAnsi="Arial" w:cs="Arial"/>
          <w:b/>
          <w:bCs/>
          <w:i/>
          <w:iCs/>
          <w:sz w:val="22"/>
          <w:szCs w:val="22"/>
        </w:rPr>
        <w:t xml:space="preserve">Pro potřeby plnění závazků České republiky vůči Evropské unii je nutné, aby dotčené vybrané účetní jednotky dodávaly údaje </w:t>
      </w:r>
      <w:r w:rsidRPr="002A5F9C">
        <w:rPr>
          <w:rFonts w:ascii="Arial" w:hAnsi="Arial" w:cs="Arial"/>
          <w:bCs/>
          <w:i/>
          <w:iCs/>
          <w:sz w:val="22"/>
          <w:szCs w:val="22"/>
        </w:rPr>
        <w:t>z administrativních zdrojů dat, za</w:t>
      </w:r>
      <w:r w:rsidRPr="00AB1A64">
        <w:rPr>
          <w:rFonts w:ascii="Arial" w:hAnsi="Arial" w:cs="Arial"/>
          <w:b/>
          <w:bCs/>
          <w:i/>
          <w:iCs/>
          <w:sz w:val="22"/>
          <w:szCs w:val="22"/>
        </w:rPr>
        <w:t xml:space="preserve"> </w:t>
      </w:r>
      <w:r w:rsidRPr="002A5F9C">
        <w:rPr>
          <w:rFonts w:ascii="Arial" w:hAnsi="Arial" w:cs="Arial"/>
          <w:bCs/>
          <w:i/>
          <w:iCs/>
          <w:sz w:val="22"/>
          <w:szCs w:val="22"/>
        </w:rPr>
        <w:t>která jsou považována</w:t>
      </w:r>
      <w:r w:rsidRPr="00AB1A64">
        <w:rPr>
          <w:rFonts w:ascii="Arial" w:hAnsi="Arial" w:cs="Arial"/>
          <w:b/>
          <w:bCs/>
          <w:i/>
          <w:iCs/>
          <w:sz w:val="22"/>
          <w:szCs w:val="22"/>
        </w:rPr>
        <w:t xml:space="preserve"> zejména údaje z účetnictví, a to ve stanovené struktuře a detailu tak, aby tyto údaje odpovídaly zásadě nestrannosti,</w:t>
      </w:r>
      <w:r w:rsidR="00DF0462">
        <w:rPr>
          <w:rFonts w:ascii="Arial" w:hAnsi="Arial" w:cs="Arial"/>
          <w:b/>
          <w:bCs/>
          <w:i/>
          <w:iCs/>
          <w:sz w:val="22"/>
          <w:szCs w:val="22"/>
        </w:rPr>
        <w:t xml:space="preserve"> spolehlivosti, relevantnosti a </w:t>
      </w:r>
      <w:r w:rsidRPr="00AB1A64">
        <w:rPr>
          <w:rFonts w:ascii="Arial" w:hAnsi="Arial" w:cs="Arial"/>
          <w:b/>
          <w:bCs/>
          <w:i/>
          <w:iCs/>
          <w:sz w:val="22"/>
          <w:szCs w:val="22"/>
        </w:rPr>
        <w:t>transparentnosti.</w:t>
      </w:r>
    </w:p>
    <w:p w14:paraId="00D91606" w14:textId="77777777" w:rsidR="00E00DF2" w:rsidRDefault="00E00DF2" w:rsidP="00E00DF2">
      <w:pPr>
        <w:jc w:val="both"/>
        <w:rPr>
          <w:rFonts w:ascii="Arial" w:hAnsi="Arial" w:cs="Arial"/>
          <w:b/>
          <w:bCs/>
          <w:i/>
          <w:iCs/>
          <w:sz w:val="22"/>
          <w:szCs w:val="22"/>
        </w:rPr>
      </w:pPr>
      <w:r w:rsidRPr="00AB1A64">
        <w:rPr>
          <w:rFonts w:ascii="Arial" w:hAnsi="Arial" w:cs="Arial"/>
          <w:b/>
          <w:bCs/>
          <w:i/>
          <w:iCs/>
          <w:sz w:val="22"/>
          <w:szCs w:val="22"/>
        </w:rPr>
        <w:t>Kvalitní údaje jsou základem pro predikce vládního deficitu a dluhu, které sestavuje Ministerstvo financí</w:t>
      </w:r>
      <w:r>
        <w:rPr>
          <w:rFonts w:ascii="Arial" w:hAnsi="Arial" w:cs="Arial"/>
          <w:bCs/>
          <w:i/>
          <w:iCs/>
          <w:sz w:val="22"/>
          <w:szCs w:val="22"/>
        </w:rPr>
        <w:t xml:space="preserve"> (dále jen „ministerstvo“). Nutnost zajištění administrativních zdrojů dat pro účely monitorování a řízení veřejných financí (viz příloha předkládací zprávy</w:t>
      </w:r>
      <w:r w:rsidRPr="00D660F6">
        <w:rPr>
          <w:rFonts w:ascii="Arial" w:hAnsi="Arial" w:cs="Arial"/>
          <w:bCs/>
          <w:i/>
          <w:iCs/>
          <w:sz w:val="22"/>
          <w:szCs w:val="22"/>
        </w:rPr>
        <w:t>)</w:t>
      </w:r>
      <w:r w:rsidRPr="00AB1A64">
        <w:rPr>
          <w:rFonts w:ascii="Arial" w:hAnsi="Arial" w:cs="Arial"/>
          <w:b/>
          <w:bCs/>
          <w:i/>
          <w:iCs/>
          <w:sz w:val="22"/>
          <w:szCs w:val="22"/>
        </w:rPr>
        <w:t xml:space="preserve"> vyplývá ze</w:t>
      </w:r>
      <w:r>
        <w:rPr>
          <w:rFonts w:ascii="Arial" w:hAnsi="Arial" w:cs="Arial"/>
          <w:bCs/>
          <w:i/>
          <w:iCs/>
          <w:sz w:val="22"/>
          <w:szCs w:val="22"/>
        </w:rPr>
        <w:t xml:space="preserve"> </w:t>
      </w:r>
      <w:r w:rsidRPr="00AB1A64">
        <w:rPr>
          <w:rFonts w:ascii="Arial" w:hAnsi="Arial" w:cs="Arial"/>
          <w:b/>
          <w:bCs/>
          <w:i/>
          <w:iCs/>
          <w:sz w:val="22"/>
          <w:szCs w:val="22"/>
        </w:rPr>
        <w:t xml:space="preserve">závěrů zahraničních misí z Evropské komise </w:t>
      </w:r>
      <w:r>
        <w:rPr>
          <w:rFonts w:ascii="Arial" w:hAnsi="Arial" w:cs="Arial"/>
          <w:bCs/>
          <w:i/>
          <w:iCs/>
          <w:sz w:val="22"/>
          <w:szCs w:val="22"/>
        </w:rPr>
        <w:t>(dále jen „Komise“)</w:t>
      </w:r>
      <w:r w:rsidR="0098655E">
        <w:rPr>
          <w:rFonts w:ascii="Arial" w:hAnsi="Arial" w:cs="Arial"/>
          <w:bCs/>
          <w:i/>
          <w:iCs/>
          <w:sz w:val="22"/>
          <w:szCs w:val="22"/>
        </w:rPr>
        <w:t>,</w:t>
      </w:r>
      <w:r w:rsidRPr="00980EAB">
        <w:rPr>
          <w:rFonts w:ascii="Arial" w:hAnsi="Arial" w:cs="Arial"/>
          <w:bCs/>
          <w:i/>
          <w:iCs/>
          <w:sz w:val="22"/>
          <w:szCs w:val="22"/>
        </w:rPr>
        <w:t xml:space="preserve"> </w:t>
      </w:r>
      <w:r>
        <w:rPr>
          <w:rFonts w:ascii="Arial" w:hAnsi="Arial" w:cs="Arial"/>
          <w:bCs/>
          <w:i/>
          <w:iCs/>
          <w:sz w:val="22"/>
          <w:szCs w:val="22"/>
        </w:rPr>
        <w:t>Evropské centrální banky a</w:t>
      </w:r>
      <w:r w:rsidR="007476F7">
        <w:rPr>
          <w:rFonts w:ascii="Arial" w:hAnsi="Arial" w:cs="Arial"/>
          <w:bCs/>
          <w:i/>
          <w:iCs/>
          <w:sz w:val="22"/>
          <w:szCs w:val="22"/>
        </w:rPr>
        <w:t xml:space="preserve"> Eurostatu</w:t>
      </w:r>
      <w:r w:rsidR="00C46F4F">
        <w:rPr>
          <w:rFonts w:ascii="Arial" w:hAnsi="Arial" w:cs="Arial"/>
          <w:bCs/>
          <w:i/>
          <w:iCs/>
          <w:sz w:val="22"/>
          <w:szCs w:val="22"/>
        </w:rPr>
        <w:t xml:space="preserve">… </w:t>
      </w:r>
      <w:r>
        <w:rPr>
          <w:rFonts w:ascii="Arial" w:hAnsi="Arial" w:cs="Arial"/>
          <w:bCs/>
          <w:i/>
          <w:iCs/>
          <w:sz w:val="22"/>
          <w:szCs w:val="22"/>
        </w:rPr>
        <w:t>Cílem návrhů vyhlášek je stanovit takové požadavky, aby vybrané účetní jednotky dodávaly údaje z účetnictví ve stanovené struktuře a v takovém detailu, aby z výkazů zasílaných do CSÚIS mohli čerpat nejen pracovníci Českého statistického úřadu (dále jen „</w:t>
      </w:r>
      <w:r w:rsidRPr="00AB1A64">
        <w:rPr>
          <w:rFonts w:ascii="Arial" w:hAnsi="Arial" w:cs="Arial"/>
          <w:b/>
          <w:bCs/>
          <w:i/>
          <w:iCs/>
          <w:sz w:val="22"/>
          <w:szCs w:val="22"/>
        </w:rPr>
        <w:t>ČSÚ“</w:t>
      </w:r>
      <w:r>
        <w:rPr>
          <w:rFonts w:ascii="Arial" w:hAnsi="Arial" w:cs="Arial"/>
          <w:bCs/>
          <w:i/>
          <w:iCs/>
          <w:sz w:val="22"/>
          <w:szCs w:val="22"/>
        </w:rPr>
        <w:t>), ministerstva a České národní banky (dále jen „</w:t>
      </w:r>
      <w:r w:rsidRPr="00AB1A64">
        <w:rPr>
          <w:rFonts w:ascii="Arial" w:hAnsi="Arial" w:cs="Arial"/>
          <w:b/>
          <w:bCs/>
          <w:i/>
          <w:iCs/>
          <w:sz w:val="22"/>
          <w:szCs w:val="22"/>
        </w:rPr>
        <w:t>ČNB</w:t>
      </w:r>
      <w:r>
        <w:rPr>
          <w:rFonts w:ascii="Arial" w:hAnsi="Arial" w:cs="Arial"/>
          <w:bCs/>
          <w:i/>
          <w:iCs/>
          <w:sz w:val="22"/>
          <w:szCs w:val="22"/>
        </w:rPr>
        <w:t xml:space="preserve">“) </w:t>
      </w:r>
      <w:r w:rsidRPr="00AB1A64">
        <w:rPr>
          <w:rFonts w:ascii="Arial" w:hAnsi="Arial" w:cs="Arial"/>
          <w:b/>
          <w:bCs/>
          <w:i/>
          <w:iCs/>
          <w:sz w:val="22"/>
          <w:szCs w:val="22"/>
        </w:rPr>
        <w:t>při plnění vykazovacích povinností České republiky v oblasti vládní finanční statistiky vůči mezinárodním institucím (zejména Komisi zastoupené Eurostatem),</w:t>
      </w:r>
      <w:r>
        <w:rPr>
          <w:rFonts w:ascii="Arial" w:hAnsi="Arial" w:cs="Arial"/>
          <w:bCs/>
          <w:i/>
          <w:iCs/>
          <w:sz w:val="22"/>
          <w:szCs w:val="22"/>
        </w:rPr>
        <w:t xml:space="preserve"> ale i ministerstvo při popisu a hodnocení minulého vývoje vládních (veřejných) financí a jejich </w:t>
      </w:r>
      <w:r w:rsidRPr="00AB1A64">
        <w:rPr>
          <w:rFonts w:ascii="Arial" w:hAnsi="Arial" w:cs="Arial"/>
          <w:b/>
          <w:bCs/>
          <w:i/>
          <w:iCs/>
          <w:sz w:val="22"/>
          <w:szCs w:val="22"/>
        </w:rPr>
        <w:t>řízení za účelem dosahování vládních deficitů deklarovaných v Konvergenčním programu v rámci Procedury při nadměrném schodku (EDP), v níž se Česká republika nachází</w:t>
      </w:r>
      <w:r w:rsidR="00DF0462">
        <w:rPr>
          <w:rFonts w:ascii="Arial" w:hAnsi="Arial" w:cs="Arial"/>
          <w:b/>
          <w:bCs/>
          <w:i/>
          <w:iCs/>
          <w:sz w:val="22"/>
          <w:szCs w:val="22"/>
        </w:rPr>
        <w:t> </w:t>
      </w:r>
      <w:r w:rsidRPr="00AB1A64">
        <w:rPr>
          <w:rFonts w:ascii="Arial" w:hAnsi="Arial" w:cs="Arial"/>
          <w:b/>
          <w:bCs/>
          <w:i/>
          <w:iCs/>
          <w:sz w:val="22"/>
          <w:szCs w:val="22"/>
        </w:rPr>
        <w:t>…</w:t>
      </w:r>
      <w:r w:rsidRPr="00260B0C">
        <w:rPr>
          <w:rFonts w:ascii="Arial" w:hAnsi="Arial" w:cs="Arial"/>
          <w:b/>
          <w:bCs/>
          <w:iCs/>
          <w:sz w:val="22"/>
          <w:szCs w:val="22"/>
        </w:rPr>
        <w:t>“</w:t>
      </w:r>
    </w:p>
    <w:p w14:paraId="00D91607" w14:textId="77777777" w:rsidR="00761CA8" w:rsidRDefault="00761CA8" w:rsidP="00E00DF2">
      <w:pPr>
        <w:jc w:val="both"/>
        <w:rPr>
          <w:rFonts w:ascii="Arial" w:hAnsi="Arial" w:cs="Arial"/>
          <w:b/>
          <w:bCs/>
          <w:i/>
          <w:iCs/>
          <w:sz w:val="22"/>
          <w:szCs w:val="22"/>
        </w:rPr>
      </w:pPr>
    </w:p>
    <w:p w14:paraId="00D91608" w14:textId="77777777" w:rsidR="003135DB" w:rsidRDefault="00761CA8" w:rsidP="00E00DF2">
      <w:pPr>
        <w:jc w:val="both"/>
        <w:rPr>
          <w:rFonts w:ascii="Arial" w:hAnsi="Arial" w:cs="Arial"/>
          <w:b/>
          <w:bCs/>
          <w:iCs/>
          <w:sz w:val="22"/>
          <w:szCs w:val="22"/>
        </w:rPr>
      </w:pPr>
      <w:r>
        <w:rPr>
          <w:rFonts w:ascii="Arial" w:hAnsi="Arial" w:cs="Arial"/>
          <w:b/>
          <w:bCs/>
          <w:iCs/>
          <w:sz w:val="22"/>
          <w:szCs w:val="22"/>
        </w:rPr>
        <w:t xml:space="preserve">Z obsahu důvodové zprávy vyplývá, že jde o úpravu tak závažných skutečností, že mohou vznikat pochybnosti o tom, zda je </w:t>
      </w:r>
      <w:r w:rsidR="006F2537">
        <w:rPr>
          <w:rFonts w:ascii="Arial" w:hAnsi="Arial" w:cs="Arial"/>
          <w:b/>
          <w:bCs/>
          <w:iCs/>
          <w:sz w:val="22"/>
          <w:szCs w:val="22"/>
        </w:rPr>
        <w:t>dostačující</w:t>
      </w:r>
      <w:r>
        <w:rPr>
          <w:rFonts w:ascii="Arial" w:hAnsi="Arial" w:cs="Arial"/>
          <w:b/>
          <w:bCs/>
          <w:iCs/>
          <w:sz w:val="22"/>
          <w:szCs w:val="22"/>
        </w:rPr>
        <w:t>, aby byly upraveny pouze podzákonným právním předpisem.</w:t>
      </w:r>
    </w:p>
    <w:p w14:paraId="00D91609" w14:textId="77777777" w:rsidR="00761CA8" w:rsidRPr="00AB1A64" w:rsidRDefault="00761CA8" w:rsidP="00E00DF2">
      <w:pPr>
        <w:jc w:val="both"/>
        <w:rPr>
          <w:rFonts w:ascii="Arial" w:hAnsi="Arial" w:cs="Arial"/>
          <w:b/>
          <w:bCs/>
          <w:iCs/>
          <w:sz w:val="22"/>
          <w:szCs w:val="22"/>
        </w:rPr>
      </w:pPr>
    </w:p>
    <w:p w14:paraId="00D9160A" w14:textId="77777777" w:rsidR="003135DB" w:rsidRDefault="003135DB" w:rsidP="003135DB">
      <w:pPr>
        <w:pStyle w:val="Default"/>
        <w:jc w:val="both"/>
        <w:rPr>
          <w:sz w:val="22"/>
          <w:szCs w:val="22"/>
        </w:rPr>
      </w:pPr>
      <w:r>
        <w:rPr>
          <w:sz w:val="22"/>
          <w:szCs w:val="22"/>
        </w:rPr>
        <w:t xml:space="preserve">Novela této vyhlášky </w:t>
      </w:r>
      <w:r w:rsidRPr="006952FF">
        <w:rPr>
          <w:sz w:val="22"/>
          <w:szCs w:val="22"/>
        </w:rPr>
        <w:t>byla schválena</w:t>
      </w:r>
      <w:r>
        <w:rPr>
          <w:sz w:val="22"/>
          <w:szCs w:val="22"/>
        </w:rPr>
        <w:t xml:space="preserve"> </w:t>
      </w:r>
      <w:r w:rsidRPr="006952FF">
        <w:rPr>
          <w:sz w:val="22"/>
          <w:szCs w:val="22"/>
        </w:rPr>
        <w:t xml:space="preserve">13. </w:t>
      </w:r>
      <w:r>
        <w:rPr>
          <w:sz w:val="22"/>
          <w:szCs w:val="22"/>
        </w:rPr>
        <w:t>prosince</w:t>
      </w:r>
      <w:r w:rsidRPr="006952FF">
        <w:rPr>
          <w:sz w:val="22"/>
          <w:szCs w:val="22"/>
        </w:rPr>
        <w:t xml:space="preserve"> 2011</w:t>
      </w:r>
      <w:r>
        <w:rPr>
          <w:sz w:val="22"/>
          <w:szCs w:val="22"/>
        </w:rPr>
        <w:t xml:space="preserve">, platnosti </w:t>
      </w:r>
      <w:r w:rsidRPr="006952FF">
        <w:rPr>
          <w:sz w:val="22"/>
          <w:szCs w:val="22"/>
        </w:rPr>
        <w:t>na</w:t>
      </w:r>
      <w:r>
        <w:rPr>
          <w:sz w:val="22"/>
          <w:szCs w:val="22"/>
        </w:rPr>
        <w:t>byla 28. prosince</w:t>
      </w:r>
      <w:r w:rsidRPr="006952FF">
        <w:rPr>
          <w:sz w:val="22"/>
          <w:szCs w:val="22"/>
        </w:rPr>
        <w:t xml:space="preserve"> 2011 a</w:t>
      </w:r>
      <w:r w:rsidR="00852230">
        <w:rPr>
          <w:sz w:val="22"/>
          <w:szCs w:val="22"/>
        </w:rPr>
        <w:t> </w:t>
      </w:r>
      <w:r w:rsidRPr="006952FF">
        <w:rPr>
          <w:sz w:val="22"/>
          <w:szCs w:val="22"/>
        </w:rPr>
        <w:t>účinnost</w:t>
      </w:r>
      <w:r>
        <w:rPr>
          <w:sz w:val="22"/>
          <w:szCs w:val="22"/>
        </w:rPr>
        <w:t>i</w:t>
      </w:r>
      <w:r w:rsidRPr="006952FF">
        <w:rPr>
          <w:sz w:val="22"/>
          <w:szCs w:val="22"/>
        </w:rPr>
        <w:t xml:space="preserve"> 1. </w:t>
      </w:r>
      <w:r>
        <w:rPr>
          <w:sz w:val="22"/>
          <w:szCs w:val="22"/>
        </w:rPr>
        <w:t>ledna</w:t>
      </w:r>
      <w:r w:rsidRPr="006952FF">
        <w:rPr>
          <w:sz w:val="22"/>
          <w:szCs w:val="22"/>
        </w:rPr>
        <w:t xml:space="preserve"> 2012. </w:t>
      </w:r>
      <w:r>
        <w:rPr>
          <w:sz w:val="22"/>
          <w:szCs w:val="22"/>
        </w:rPr>
        <w:t>Doba legisvakance tak byla poslední čtyři dny roku 2011.</w:t>
      </w:r>
      <w:r w:rsidRPr="006952FF">
        <w:rPr>
          <w:sz w:val="22"/>
          <w:szCs w:val="22"/>
        </w:rPr>
        <w:t xml:space="preserve"> </w:t>
      </w:r>
    </w:p>
    <w:p w14:paraId="00D9160B" w14:textId="77777777" w:rsidR="00EB2C59" w:rsidRDefault="00EB2C59" w:rsidP="00E00DF2">
      <w:pPr>
        <w:jc w:val="both"/>
        <w:rPr>
          <w:rFonts w:ascii="Arial" w:hAnsi="Arial" w:cs="Arial"/>
          <w:sz w:val="22"/>
          <w:szCs w:val="22"/>
        </w:rPr>
      </w:pPr>
    </w:p>
    <w:p w14:paraId="00D9160C" w14:textId="77777777" w:rsidR="00E00DF2" w:rsidRDefault="00E00DF2" w:rsidP="00E00DF2">
      <w:pPr>
        <w:jc w:val="both"/>
        <w:rPr>
          <w:rFonts w:ascii="Arial" w:hAnsi="Arial" w:cs="Arial"/>
          <w:bCs/>
          <w:iCs/>
          <w:sz w:val="22"/>
          <w:szCs w:val="22"/>
        </w:rPr>
      </w:pPr>
      <w:r w:rsidRPr="00A23694">
        <w:rPr>
          <w:rFonts w:ascii="Arial" w:hAnsi="Arial" w:cs="Arial"/>
          <w:sz w:val="22"/>
          <w:szCs w:val="22"/>
        </w:rPr>
        <w:t>MPO vykázalo celkové náklady v účetní závěrce i PAP ve výši více než 33 mld. Kč, výnosy více než 13 mld. Kč a aktiva</w:t>
      </w:r>
      <w:r>
        <w:rPr>
          <w:rFonts w:ascii="Arial" w:hAnsi="Arial" w:cs="Arial"/>
          <w:sz w:val="22"/>
          <w:szCs w:val="22"/>
        </w:rPr>
        <w:t>/pasiva</w:t>
      </w:r>
      <w:r w:rsidRPr="00A23694">
        <w:rPr>
          <w:rFonts w:ascii="Arial" w:hAnsi="Arial" w:cs="Arial"/>
          <w:sz w:val="22"/>
          <w:szCs w:val="22"/>
        </w:rPr>
        <w:t xml:space="preserve"> ve výši více než 16 mld. Kč</w:t>
      </w:r>
      <w:r>
        <w:rPr>
          <w:rFonts w:ascii="Arial" w:hAnsi="Arial" w:cs="Arial"/>
          <w:sz w:val="22"/>
          <w:szCs w:val="22"/>
        </w:rPr>
        <w:t>.</w:t>
      </w:r>
      <w:r w:rsidRPr="00A23694">
        <w:rPr>
          <w:rFonts w:ascii="Arial" w:hAnsi="Arial" w:cs="Arial"/>
          <w:sz w:val="22"/>
          <w:szCs w:val="22"/>
        </w:rPr>
        <w:t xml:space="preserve"> </w:t>
      </w:r>
      <w:r w:rsidR="00FC1C99">
        <w:rPr>
          <w:rFonts w:ascii="Arial" w:hAnsi="Arial" w:cs="Arial"/>
          <w:sz w:val="22"/>
          <w:szCs w:val="22"/>
        </w:rPr>
        <w:t>S</w:t>
      </w:r>
      <w:r w:rsidRPr="00A23694">
        <w:rPr>
          <w:rFonts w:ascii="Arial" w:hAnsi="Arial" w:cs="Arial"/>
          <w:sz w:val="22"/>
          <w:szCs w:val="22"/>
        </w:rPr>
        <w:t>truktur</w:t>
      </w:r>
      <w:r>
        <w:rPr>
          <w:rFonts w:ascii="Arial" w:hAnsi="Arial" w:cs="Arial"/>
          <w:sz w:val="22"/>
          <w:szCs w:val="22"/>
        </w:rPr>
        <w:t>a</w:t>
      </w:r>
      <w:r w:rsidRPr="00A23694">
        <w:rPr>
          <w:rFonts w:ascii="Arial" w:hAnsi="Arial" w:cs="Arial"/>
          <w:sz w:val="22"/>
          <w:szCs w:val="22"/>
        </w:rPr>
        <w:t xml:space="preserve"> údajů a transakcí</w:t>
      </w:r>
      <w:r>
        <w:rPr>
          <w:rFonts w:ascii="Arial" w:hAnsi="Arial" w:cs="Arial"/>
          <w:sz w:val="22"/>
          <w:szCs w:val="22"/>
        </w:rPr>
        <w:t xml:space="preserve"> </w:t>
      </w:r>
      <w:r w:rsidR="0055686E">
        <w:rPr>
          <w:rFonts w:ascii="Arial" w:hAnsi="Arial" w:cs="Arial"/>
          <w:sz w:val="22"/>
          <w:szCs w:val="22"/>
        </w:rPr>
        <w:t xml:space="preserve">MPO </w:t>
      </w:r>
      <w:r w:rsidRPr="00A23694">
        <w:rPr>
          <w:rFonts w:ascii="Arial" w:hAnsi="Arial" w:cs="Arial"/>
          <w:sz w:val="22"/>
          <w:szCs w:val="22"/>
        </w:rPr>
        <w:t>umožňuj</w:t>
      </w:r>
      <w:r>
        <w:rPr>
          <w:rFonts w:ascii="Arial" w:hAnsi="Arial" w:cs="Arial"/>
          <w:sz w:val="22"/>
          <w:szCs w:val="22"/>
        </w:rPr>
        <w:t>e</w:t>
      </w:r>
      <w:r w:rsidRPr="00A23694">
        <w:rPr>
          <w:rFonts w:ascii="Arial" w:hAnsi="Arial" w:cs="Arial"/>
          <w:sz w:val="22"/>
          <w:szCs w:val="22"/>
        </w:rPr>
        <w:t xml:space="preserve"> identifikaci a vyhodnocení množství různých rizik s potenciálně významným dopadem.</w:t>
      </w:r>
    </w:p>
    <w:p w14:paraId="00D9160D" w14:textId="77777777" w:rsidR="00E00DF2" w:rsidRPr="0015047E" w:rsidRDefault="00E00DF2" w:rsidP="00E00DF2">
      <w:pPr>
        <w:jc w:val="both"/>
        <w:rPr>
          <w:rFonts w:ascii="Arial" w:hAnsi="Arial" w:cs="Arial"/>
          <w:sz w:val="22"/>
          <w:szCs w:val="22"/>
          <w:highlight w:val="green"/>
        </w:rPr>
      </w:pPr>
    </w:p>
    <w:p w14:paraId="00D9160E" w14:textId="77777777" w:rsidR="00E00DF2" w:rsidRDefault="00E00DF2" w:rsidP="00E00DF2">
      <w:pPr>
        <w:jc w:val="both"/>
        <w:rPr>
          <w:rFonts w:ascii="Arial" w:hAnsi="Arial" w:cs="Arial"/>
          <w:sz w:val="22"/>
          <w:szCs w:val="22"/>
        </w:rPr>
      </w:pPr>
      <w:r w:rsidRPr="0091411C">
        <w:rPr>
          <w:rFonts w:ascii="Arial" w:hAnsi="Arial" w:cs="Arial"/>
          <w:sz w:val="22"/>
          <w:szCs w:val="22"/>
        </w:rPr>
        <w:t xml:space="preserve">Kontrolovány byly </w:t>
      </w:r>
      <w:r w:rsidRPr="00CF1124">
        <w:rPr>
          <w:rFonts w:ascii="Arial" w:hAnsi="Arial" w:cs="Arial"/>
          <w:sz w:val="22"/>
          <w:szCs w:val="22"/>
        </w:rPr>
        <w:t xml:space="preserve">činnosti vedoucí </w:t>
      </w:r>
      <w:r w:rsidR="009F047D">
        <w:rPr>
          <w:rFonts w:ascii="Arial" w:hAnsi="Arial" w:cs="Arial"/>
          <w:sz w:val="22"/>
          <w:szCs w:val="22"/>
        </w:rPr>
        <w:t>k </w:t>
      </w:r>
      <w:r w:rsidRPr="00CF1124">
        <w:rPr>
          <w:rFonts w:ascii="Arial" w:hAnsi="Arial" w:cs="Arial"/>
          <w:sz w:val="22"/>
          <w:szCs w:val="22"/>
        </w:rPr>
        <w:t xml:space="preserve">uvedení údajů </w:t>
      </w:r>
      <w:r w:rsidR="009F047D">
        <w:rPr>
          <w:rFonts w:ascii="Arial" w:hAnsi="Arial" w:cs="Arial"/>
          <w:sz w:val="22"/>
          <w:szCs w:val="22"/>
        </w:rPr>
        <w:t>v </w:t>
      </w:r>
      <w:r w:rsidRPr="00CF1124">
        <w:rPr>
          <w:rFonts w:ascii="Arial" w:hAnsi="Arial" w:cs="Arial"/>
          <w:sz w:val="22"/>
          <w:szCs w:val="22"/>
        </w:rPr>
        <w:t>PAP předaném ve stavu k 31.</w:t>
      </w:r>
      <w:r w:rsidR="007061BA">
        <w:rPr>
          <w:rFonts w:ascii="Arial" w:hAnsi="Arial" w:cs="Arial"/>
          <w:sz w:val="22"/>
          <w:szCs w:val="22"/>
        </w:rPr>
        <w:t> p</w:t>
      </w:r>
      <w:r>
        <w:rPr>
          <w:rFonts w:ascii="Arial" w:hAnsi="Arial" w:cs="Arial"/>
          <w:sz w:val="22"/>
          <w:szCs w:val="22"/>
        </w:rPr>
        <w:t>rosinci</w:t>
      </w:r>
      <w:r w:rsidR="007061BA">
        <w:rPr>
          <w:rFonts w:ascii="Arial" w:hAnsi="Arial" w:cs="Arial"/>
          <w:sz w:val="22"/>
          <w:szCs w:val="22"/>
        </w:rPr>
        <w:t> </w:t>
      </w:r>
      <w:r w:rsidRPr="00CF1124">
        <w:rPr>
          <w:rFonts w:ascii="Arial" w:hAnsi="Arial" w:cs="Arial"/>
          <w:sz w:val="22"/>
          <w:szCs w:val="22"/>
        </w:rPr>
        <w:t xml:space="preserve">2012 do </w:t>
      </w:r>
      <w:r>
        <w:rPr>
          <w:rFonts w:ascii="Arial" w:hAnsi="Arial" w:cs="Arial"/>
          <w:sz w:val="22"/>
          <w:szCs w:val="22"/>
        </w:rPr>
        <w:t>CSÚIS</w:t>
      </w:r>
      <w:r w:rsidRPr="00CF1124">
        <w:rPr>
          <w:rFonts w:ascii="Arial" w:hAnsi="Arial" w:cs="Arial"/>
          <w:sz w:val="22"/>
          <w:szCs w:val="22"/>
        </w:rPr>
        <w:t xml:space="preserve">, </w:t>
      </w:r>
      <w:r w:rsidR="00783703">
        <w:rPr>
          <w:rFonts w:ascii="Arial" w:hAnsi="Arial" w:cs="Arial"/>
          <w:sz w:val="22"/>
          <w:szCs w:val="22"/>
        </w:rPr>
        <w:t xml:space="preserve">zejména činnosti </w:t>
      </w:r>
      <w:r w:rsidRPr="00CF1124">
        <w:rPr>
          <w:rFonts w:ascii="Arial" w:hAnsi="Arial" w:cs="Arial"/>
          <w:sz w:val="22"/>
          <w:szCs w:val="22"/>
        </w:rPr>
        <w:t>mající vliv na hodnotu uvedených počátečních stavů (dále také „PS</w:t>
      </w:r>
      <w:r>
        <w:rPr>
          <w:rFonts w:ascii="Arial" w:hAnsi="Arial" w:cs="Arial"/>
          <w:sz w:val="22"/>
          <w:szCs w:val="22"/>
        </w:rPr>
        <w:t>“</w:t>
      </w:r>
      <w:r w:rsidRPr="00CF1124">
        <w:rPr>
          <w:rFonts w:ascii="Arial" w:hAnsi="Arial" w:cs="Arial"/>
          <w:sz w:val="22"/>
          <w:szCs w:val="22"/>
        </w:rPr>
        <w:t>), obratů na stranách Má dáti (dále také „MD“) a</w:t>
      </w:r>
      <w:r>
        <w:rPr>
          <w:rFonts w:ascii="Arial" w:hAnsi="Arial" w:cs="Arial"/>
          <w:sz w:val="22"/>
          <w:szCs w:val="22"/>
        </w:rPr>
        <w:t xml:space="preserve"> </w:t>
      </w:r>
      <w:r w:rsidRPr="00CF1124">
        <w:rPr>
          <w:rFonts w:ascii="Arial" w:hAnsi="Arial" w:cs="Arial"/>
          <w:sz w:val="22"/>
          <w:szCs w:val="22"/>
        </w:rPr>
        <w:t>Dal (dále také „D“) syntetických účtů a jejich konečných stavů (dále také „KS“) v jednotlivých částech PAP a na hodnotu uvedených nákladů a výnosů v jednotlivých částech PAP. Kontrol</w:t>
      </w:r>
      <w:r>
        <w:rPr>
          <w:rFonts w:ascii="Arial" w:hAnsi="Arial" w:cs="Arial"/>
          <w:sz w:val="22"/>
          <w:szCs w:val="22"/>
        </w:rPr>
        <w:t>ováno</w:t>
      </w:r>
      <w:r w:rsidRPr="00CF1124">
        <w:rPr>
          <w:rFonts w:ascii="Arial" w:hAnsi="Arial" w:cs="Arial"/>
          <w:sz w:val="22"/>
          <w:szCs w:val="22"/>
        </w:rPr>
        <w:t xml:space="preserve"> bylo také vedení účetnictví </w:t>
      </w:r>
      <w:r w:rsidR="009F047D">
        <w:rPr>
          <w:rFonts w:ascii="Arial" w:hAnsi="Arial" w:cs="Arial"/>
          <w:sz w:val="22"/>
          <w:szCs w:val="22"/>
        </w:rPr>
        <w:t>v </w:t>
      </w:r>
      <w:r w:rsidRPr="00CF1124">
        <w:rPr>
          <w:rFonts w:ascii="Arial" w:hAnsi="Arial" w:cs="Arial"/>
          <w:sz w:val="22"/>
          <w:szCs w:val="22"/>
        </w:rPr>
        <w:t xml:space="preserve">rozsahu údajů přenášených </w:t>
      </w:r>
      <w:r>
        <w:rPr>
          <w:rFonts w:ascii="Arial" w:hAnsi="Arial" w:cs="Arial"/>
          <w:sz w:val="22"/>
          <w:szCs w:val="22"/>
        </w:rPr>
        <w:t>do</w:t>
      </w:r>
      <w:r w:rsidRPr="00CF1124">
        <w:rPr>
          <w:rFonts w:ascii="Arial" w:hAnsi="Arial" w:cs="Arial"/>
          <w:sz w:val="22"/>
          <w:szCs w:val="22"/>
        </w:rPr>
        <w:t xml:space="preserve"> PAP.</w:t>
      </w:r>
    </w:p>
    <w:p w14:paraId="00D9160F" w14:textId="77777777" w:rsidR="00783703" w:rsidRPr="00CF1124" w:rsidRDefault="00783703" w:rsidP="00E00DF2">
      <w:pPr>
        <w:jc w:val="both"/>
        <w:rPr>
          <w:rFonts w:ascii="Arial" w:hAnsi="Arial" w:cs="Arial"/>
          <w:sz w:val="22"/>
          <w:szCs w:val="22"/>
        </w:rPr>
      </w:pPr>
    </w:p>
    <w:p w14:paraId="00D91610" w14:textId="77777777" w:rsidR="00E00DF2" w:rsidRDefault="00E00DF2" w:rsidP="00E00DF2">
      <w:pPr>
        <w:jc w:val="both"/>
        <w:rPr>
          <w:rFonts w:ascii="Arial" w:hAnsi="Arial" w:cs="Arial"/>
          <w:sz w:val="22"/>
          <w:szCs w:val="22"/>
        </w:rPr>
      </w:pPr>
      <w:r w:rsidRPr="009B543D">
        <w:rPr>
          <w:rFonts w:ascii="Arial" w:hAnsi="Arial" w:cs="Arial"/>
          <w:sz w:val="22"/>
          <w:szCs w:val="22"/>
        </w:rPr>
        <w:t>Kontrol</w:t>
      </w:r>
      <w:r w:rsidR="003F324A">
        <w:rPr>
          <w:rFonts w:ascii="Arial" w:hAnsi="Arial" w:cs="Arial"/>
          <w:sz w:val="22"/>
          <w:szCs w:val="22"/>
        </w:rPr>
        <w:t>ovány byly údaje</w:t>
      </w:r>
      <w:r>
        <w:rPr>
          <w:rFonts w:ascii="Arial" w:hAnsi="Arial" w:cs="Arial"/>
          <w:sz w:val="22"/>
          <w:szCs w:val="22"/>
        </w:rPr>
        <w:t>, u kterých bylo</w:t>
      </w:r>
      <w:r w:rsidR="003F324A">
        <w:rPr>
          <w:rFonts w:ascii="Arial" w:hAnsi="Arial" w:cs="Arial"/>
          <w:sz w:val="22"/>
          <w:szCs w:val="22"/>
        </w:rPr>
        <w:t xml:space="preserve"> kontrolujícími</w:t>
      </w:r>
      <w:r>
        <w:rPr>
          <w:rFonts w:ascii="Arial" w:hAnsi="Arial" w:cs="Arial"/>
          <w:sz w:val="22"/>
          <w:szCs w:val="22"/>
        </w:rPr>
        <w:t xml:space="preserve"> na základě analýzy identifikováno riziko</w:t>
      </w:r>
      <w:r w:rsidR="002738F0">
        <w:rPr>
          <w:rFonts w:ascii="Arial" w:hAnsi="Arial" w:cs="Arial"/>
          <w:sz w:val="22"/>
          <w:szCs w:val="22"/>
        </w:rPr>
        <w:t xml:space="preserve"> nesprávnosti</w:t>
      </w:r>
      <w:r>
        <w:rPr>
          <w:rFonts w:ascii="Arial" w:hAnsi="Arial" w:cs="Arial"/>
          <w:sz w:val="22"/>
          <w:szCs w:val="22"/>
        </w:rPr>
        <w:t>. Z</w:t>
      </w:r>
      <w:r w:rsidRPr="009B543D">
        <w:rPr>
          <w:rFonts w:ascii="Arial" w:hAnsi="Arial" w:cs="Arial"/>
          <w:sz w:val="22"/>
          <w:szCs w:val="22"/>
        </w:rPr>
        <w:t> okruh</w:t>
      </w:r>
      <w:r w:rsidR="00C20C5C">
        <w:rPr>
          <w:rFonts w:ascii="Arial" w:hAnsi="Arial" w:cs="Arial"/>
          <w:sz w:val="22"/>
          <w:szCs w:val="22"/>
        </w:rPr>
        <w:t>ů</w:t>
      </w:r>
      <w:r w:rsidRPr="009B543D">
        <w:rPr>
          <w:rFonts w:ascii="Arial" w:hAnsi="Arial" w:cs="Arial"/>
          <w:sz w:val="22"/>
          <w:szCs w:val="22"/>
        </w:rPr>
        <w:t xml:space="preserve"> s</w:t>
      </w:r>
      <w:r>
        <w:rPr>
          <w:rFonts w:ascii="Arial" w:hAnsi="Arial" w:cs="Arial"/>
          <w:sz w:val="22"/>
          <w:szCs w:val="22"/>
        </w:rPr>
        <w:t xml:space="preserve"> takto </w:t>
      </w:r>
      <w:r w:rsidRPr="009B543D">
        <w:rPr>
          <w:rFonts w:ascii="Arial" w:hAnsi="Arial" w:cs="Arial"/>
          <w:sz w:val="22"/>
          <w:szCs w:val="22"/>
        </w:rPr>
        <w:t>identifikovaným rizikem byl proveden výběr</w:t>
      </w:r>
      <w:r>
        <w:rPr>
          <w:rFonts w:ascii="Arial" w:hAnsi="Arial" w:cs="Arial"/>
          <w:sz w:val="22"/>
          <w:szCs w:val="22"/>
        </w:rPr>
        <w:t xml:space="preserve"> jednotlivých</w:t>
      </w:r>
      <w:r w:rsidRPr="009B543D">
        <w:rPr>
          <w:rFonts w:ascii="Arial" w:hAnsi="Arial" w:cs="Arial"/>
          <w:sz w:val="22"/>
          <w:szCs w:val="22"/>
        </w:rPr>
        <w:t xml:space="preserve"> případů </w:t>
      </w:r>
      <w:r>
        <w:rPr>
          <w:rFonts w:ascii="Arial" w:hAnsi="Arial" w:cs="Arial"/>
          <w:sz w:val="22"/>
          <w:szCs w:val="22"/>
        </w:rPr>
        <w:t>k ověření</w:t>
      </w:r>
      <w:r w:rsidRPr="0091411C">
        <w:rPr>
          <w:rFonts w:ascii="Arial" w:hAnsi="Arial" w:cs="Arial"/>
          <w:sz w:val="22"/>
          <w:szCs w:val="22"/>
        </w:rPr>
        <w:t>.</w:t>
      </w:r>
    </w:p>
    <w:p w14:paraId="00D91611" w14:textId="77777777" w:rsidR="00E00DF2" w:rsidRDefault="00E00DF2" w:rsidP="00E00DF2">
      <w:pPr>
        <w:jc w:val="both"/>
        <w:rPr>
          <w:rFonts w:ascii="Arial" w:hAnsi="Arial" w:cs="Arial"/>
          <w:sz w:val="22"/>
          <w:szCs w:val="22"/>
          <w:highlight w:val="green"/>
        </w:rPr>
      </w:pPr>
    </w:p>
    <w:p w14:paraId="00D91612" w14:textId="77777777" w:rsidR="00E00DF2" w:rsidRPr="0091411C" w:rsidRDefault="00E00DF2" w:rsidP="00E00DF2">
      <w:pPr>
        <w:ind w:left="624" w:hanging="624"/>
        <w:rPr>
          <w:rFonts w:ascii="Arial" w:hAnsi="Arial" w:cs="Arial"/>
          <w:iCs/>
          <w:sz w:val="18"/>
          <w:szCs w:val="18"/>
        </w:rPr>
      </w:pPr>
      <w:r w:rsidRPr="0091411C">
        <w:rPr>
          <w:rFonts w:ascii="Arial" w:hAnsi="Arial" w:cs="Arial"/>
          <w:b/>
          <w:iCs/>
          <w:sz w:val="18"/>
          <w:szCs w:val="18"/>
        </w:rPr>
        <w:t>Pozn.:</w:t>
      </w:r>
      <w:r w:rsidR="00E03926">
        <w:rPr>
          <w:rFonts w:ascii="Arial" w:hAnsi="Arial" w:cs="Arial"/>
          <w:b/>
          <w:iCs/>
          <w:sz w:val="18"/>
          <w:szCs w:val="18"/>
        </w:rPr>
        <w:tab/>
      </w:r>
      <w:r w:rsidRPr="0091411C">
        <w:rPr>
          <w:rFonts w:ascii="Arial" w:hAnsi="Arial" w:cs="Arial"/>
          <w:iCs/>
          <w:sz w:val="18"/>
          <w:szCs w:val="18"/>
        </w:rPr>
        <w:t xml:space="preserve">Všechny právní předpisy uváděné </w:t>
      </w:r>
      <w:r w:rsidR="009F047D">
        <w:rPr>
          <w:rFonts w:ascii="Arial" w:hAnsi="Arial" w:cs="Arial"/>
          <w:iCs/>
          <w:sz w:val="18"/>
          <w:szCs w:val="18"/>
        </w:rPr>
        <w:t>v </w:t>
      </w:r>
      <w:r w:rsidRPr="0091411C">
        <w:rPr>
          <w:rFonts w:ascii="Arial" w:hAnsi="Arial" w:cs="Arial"/>
          <w:iCs/>
          <w:sz w:val="18"/>
          <w:szCs w:val="18"/>
        </w:rPr>
        <w:t>tomto kontrolním závěru jsou aplikovány ve znění účinném pro kontrolované období.</w:t>
      </w:r>
    </w:p>
    <w:p w14:paraId="00D91613" w14:textId="77777777" w:rsidR="00E00DF2" w:rsidRDefault="00E00DF2" w:rsidP="00E00DF2">
      <w:pPr>
        <w:jc w:val="both"/>
        <w:rPr>
          <w:rFonts w:ascii="Arial" w:hAnsi="Arial" w:cs="Arial"/>
          <w:sz w:val="22"/>
          <w:szCs w:val="22"/>
          <w:highlight w:val="green"/>
        </w:rPr>
      </w:pPr>
    </w:p>
    <w:p w14:paraId="00D91614" w14:textId="77777777" w:rsidR="00E00DF2" w:rsidRDefault="00E00DF2" w:rsidP="00E00DF2">
      <w:pPr>
        <w:rPr>
          <w:rFonts w:ascii="Arial" w:hAnsi="Arial" w:cs="Arial"/>
          <w:b/>
        </w:rPr>
      </w:pPr>
    </w:p>
    <w:p w14:paraId="00D91615" w14:textId="77777777" w:rsidR="00E00DF2" w:rsidRPr="00F52CE0" w:rsidRDefault="00E00DF2" w:rsidP="00E03926">
      <w:pPr>
        <w:jc w:val="center"/>
        <w:rPr>
          <w:rFonts w:ascii="Arial" w:hAnsi="Arial" w:cs="Arial"/>
          <w:b/>
        </w:rPr>
      </w:pPr>
      <w:r w:rsidRPr="00F52CE0">
        <w:rPr>
          <w:rFonts w:ascii="Arial" w:hAnsi="Arial" w:cs="Arial"/>
          <w:b/>
        </w:rPr>
        <w:t>II. Skutečnosti zjištěné při kontrole</w:t>
      </w:r>
    </w:p>
    <w:p w14:paraId="00D91616" w14:textId="77777777" w:rsidR="00E00DF2" w:rsidRPr="0015047E" w:rsidRDefault="00E00DF2" w:rsidP="00E00DF2">
      <w:pPr>
        <w:jc w:val="both"/>
        <w:rPr>
          <w:rFonts w:ascii="Arial" w:hAnsi="Arial" w:cs="Arial"/>
          <w:sz w:val="22"/>
          <w:szCs w:val="22"/>
          <w:highlight w:val="green"/>
        </w:rPr>
      </w:pPr>
    </w:p>
    <w:p w14:paraId="00D91617" w14:textId="77777777" w:rsidR="00E00DF2" w:rsidRPr="00F52CE0" w:rsidRDefault="00E00DF2" w:rsidP="00E00DF2">
      <w:pPr>
        <w:jc w:val="both"/>
        <w:rPr>
          <w:rFonts w:ascii="Arial" w:hAnsi="Arial" w:cs="Arial"/>
          <w:b/>
          <w:sz w:val="22"/>
          <w:szCs w:val="22"/>
        </w:rPr>
      </w:pPr>
      <w:r w:rsidRPr="00F52CE0">
        <w:rPr>
          <w:rFonts w:ascii="Arial" w:hAnsi="Arial" w:cs="Arial"/>
          <w:b/>
          <w:sz w:val="22"/>
          <w:szCs w:val="22"/>
        </w:rPr>
        <w:t>1</w:t>
      </w:r>
      <w:r w:rsidR="00783703">
        <w:rPr>
          <w:rFonts w:ascii="Arial" w:hAnsi="Arial" w:cs="Arial"/>
          <w:b/>
          <w:sz w:val="22"/>
          <w:szCs w:val="22"/>
        </w:rPr>
        <w:t>.</w:t>
      </w:r>
      <w:r w:rsidRPr="00F52CE0">
        <w:rPr>
          <w:rFonts w:ascii="Arial" w:hAnsi="Arial" w:cs="Arial"/>
          <w:b/>
          <w:sz w:val="22"/>
          <w:szCs w:val="22"/>
        </w:rPr>
        <w:t xml:space="preserve"> </w:t>
      </w:r>
      <w:r>
        <w:rPr>
          <w:rFonts w:ascii="Arial" w:hAnsi="Arial" w:cs="Arial"/>
          <w:b/>
          <w:sz w:val="22"/>
          <w:szCs w:val="22"/>
        </w:rPr>
        <w:t>Pomocný analytický přehled a jeho souvislost s účetnictvím a účetní závěrkou</w:t>
      </w:r>
    </w:p>
    <w:p w14:paraId="00D91618" w14:textId="77777777" w:rsidR="00E00DF2" w:rsidRDefault="00E00DF2" w:rsidP="00E00DF2">
      <w:pPr>
        <w:jc w:val="both"/>
        <w:rPr>
          <w:rFonts w:ascii="Arial" w:hAnsi="Arial" w:cs="Arial"/>
          <w:b/>
          <w:bCs/>
          <w:iCs/>
          <w:sz w:val="22"/>
          <w:szCs w:val="22"/>
        </w:rPr>
      </w:pPr>
    </w:p>
    <w:p w14:paraId="00D91619" w14:textId="77777777" w:rsidR="00E00DF2" w:rsidRDefault="00E00DF2" w:rsidP="00E00DF2">
      <w:pPr>
        <w:jc w:val="both"/>
        <w:rPr>
          <w:rFonts w:ascii="Arial" w:hAnsi="Arial" w:cs="Arial"/>
          <w:bCs/>
          <w:iCs/>
          <w:sz w:val="22"/>
          <w:szCs w:val="22"/>
        </w:rPr>
      </w:pPr>
      <w:r w:rsidRPr="00227691">
        <w:rPr>
          <w:rFonts w:ascii="Arial" w:hAnsi="Arial" w:cs="Arial"/>
          <w:bCs/>
          <w:iCs/>
          <w:sz w:val="22"/>
          <w:szCs w:val="22"/>
        </w:rPr>
        <w:t>PAP j</w:t>
      </w:r>
      <w:r>
        <w:rPr>
          <w:rFonts w:ascii="Arial" w:hAnsi="Arial" w:cs="Arial"/>
          <w:bCs/>
          <w:iCs/>
          <w:sz w:val="22"/>
          <w:szCs w:val="22"/>
        </w:rPr>
        <w:t xml:space="preserve">e nový </w:t>
      </w:r>
      <w:r w:rsidR="003F324A">
        <w:rPr>
          <w:rFonts w:ascii="Arial" w:hAnsi="Arial" w:cs="Arial"/>
          <w:bCs/>
          <w:iCs/>
          <w:sz w:val="22"/>
          <w:szCs w:val="22"/>
        </w:rPr>
        <w:t>typ</w:t>
      </w:r>
      <w:r>
        <w:rPr>
          <w:rFonts w:ascii="Arial" w:hAnsi="Arial" w:cs="Arial"/>
          <w:bCs/>
          <w:iCs/>
          <w:sz w:val="22"/>
          <w:szCs w:val="22"/>
        </w:rPr>
        <w:t xml:space="preserve"> účetního záznamu. Vychází z údajů vedených v </w:t>
      </w:r>
      <w:r w:rsidRPr="00227691">
        <w:rPr>
          <w:rFonts w:ascii="Arial" w:hAnsi="Arial" w:cs="Arial"/>
          <w:bCs/>
          <w:iCs/>
          <w:sz w:val="22"/>
          <w:szCs w:val="22"/>
        </w:rPr>
        <w:t>účetnictví</w:t>
      </w:r>
      <w:r>
        <w:rPr>
          <w:rFonts w:ascii="Arial" w:hAnsi="Arial" w:cs="Arial"/>
          <w:bCs/>
          <w:iCs/>
          <w:sz w:val="22"/>
          <w:szCs w:val="22"/>
        </w:rPr>
        <w:t xml:space="preserve"> a</w:t>
      </w:r>
      <w:r w:rsidRPr="00227691">
        <w:rPr>
          <w:rFonts w:ascii="Arial" w:hAnsi="Arial" w:cs="Arial"/>
          <w:bCs/>
          <w:iCs/>
          <w:sz w:val="22"/>
          <w:szCs w:val="22"/>
        </w:rPr>
        <w:t xml:space="preserve"> používá účt</w:t>
      </w:r>
      <w:r w:rsidR="00783703">
        <w:rPr>
          <w:rFonts w:ascii="Arial" w:hAnsi="Arial" w:cs="Arial"/>
          <w:bCs/>
          <w:iCs/>
          <w:sz w:val="22"/>
          <w:szCs w:val="22"/>
        </w:rPr>
        <w:t>y</w:t>
      </w:r>
      <w:r w:rsidRPr="00227691">
        <w:rPr>
          <w:rFonts w:ascii="Arial" w:hAnsi="Arial" w:cs="Arial"/>
          <w:bCs/>
          <w:iCs/>
          <w:sz w:val="22"/>
          <w:szCs w:val="22"/>
        </w:rPr>
        <w:t xml:space="preserve"> stanoven</w:t>
      </w:r>
      <w:r w:rsidR="00783703">
        <w:rPr>
          <w:rFonts w:ascii="Arial" w:hAnsi="Arial" w:cs="Arial"/>
          <w:bCs/>
          <w:iCs/>
          <w:sz w:val="22"/>
          <w:szCs w:val="22"/>
        </w:rPr>
        <w:t>é</w:t>
      </w:r>
      <w:r w:rsidRPr="00227691">
        <w:rPr>
          <w:rFonts w:ascii="Arial" w:hAnsi="Arial" w:cs="Arial"/>
          <w:bCs/>
          <w:iCs/>
          <w:sz w:val="22"/>
          <w:szCs w:val="22"/>
        </w:rPr>
        <w:t xml:space="preserve"> směrnou účtovou osnovou.</w:t>
      </w:r>
      <w:r w:rsidRPr="00E677D8">
        <w:rPr>
          <w:rFonts w:ascii="Arial" w:hAnsi="Arial" w:cs="Arial"/>
          <w:bCs/>
          <w:iCs/>
          <w:sz w:val="22"/>
          <w:szCs w:val="22"/>
        </w:rPr>
        <w:t xml:space="preserve"> </w:t>
      </w:r>
      <w:r>
        <w:rPr>
          <w:rFonts w:ascii="Arial" w:hAnsi="Arial" w:cs="Arial"/>
          <w:bCs/>
          <w:iCs/>
          <w:sz w:val="22"/>
          <w:szCs w:val="22"/>
        </w:rPr>
        <w:t xml:space="preserve">Na kvalitě údajů </w:t>
      </w:r>
      <w:r w:rsidR="009F047D">
        <w:rPr>
          <w:rFonts w:ascii="Arial" w:hAnsi="Arial" w:cs="Arial"/>
          <w:bCs/>
          <w:iCs/>
          <w:sz w:val="22"/>
          <w:szCs w:val="22"/>
        </w:rPr>
        <w:t>z </w:t>
      </w:r>
      <w:r>
        <w:rPr>
          <w:rFonts w:ascii="Arial" w:hAnsi="Arial" w:cs="Arial"/>
          <w:bCs/>
          <w:iCs/>
          <w:sz w:val="22"/>
          <w:szCs w:val="22"/>
        </w:rPr>
        <w:t>účetnictví proto přímo závisí i</w:t>
      </w:r>
      <w:r w:rsidR="004222D1">
        <w:rPr>
          <w:rFonts w:ascii="Arial" w:hAnsi="Arial" w:cs="Arial"/>
          <w:bCs/>
          <w:iCs/>
          <w:sz w:val="22"/>
          <w:szCs w:val="22"/>
        </w:rPr>
        <w:t> </w:t>
      </w:r>
      <w:r>
        <w:rPr>
          <w:rFonts w:ascii="Arial" w:hAnsi="Arial" w:cs="Arial"/>
          <w:bCs/>
          <w:iCs/>
          <w:sz w:val="22"/>
          <w:szCs w:val="22"/>
        </w:rPr>
        <w:t xml:space="preserve">kvalita, resp. vypovídací schopnost a použitelnost údajů PAP. </w:t>
      </w:r>
    </w:p>
    <w:p w14:paraId="00D9161A" w14:textId="77777777" w:rsidR="00E00DF2" w:rsidRDefault="00E00DF2" w:rsidP="00E00DF2">
      <w:pPr>
        <w:jc w:val="both"/>
        <w:rPr>
          <w:rFonts w:ascii="Arial" w:hAnsi="Arial" w:cs="Arial"/>
          <w:bCs/>
          <w:iCs/>
          <w:sz w:val="22"/>
          <w:szCs w:val="22"/>
        </w:rPr>
      </w:pPr>
    </w:p>
    <w:p w14:paraId="00D9161B" w14:textId="77777777" w:rsidR="00E00DF2" w:rsidRDefault="00E00DF2" w:rsidP="00E00DF2">
      <w:pPr>
        <w:jc w:val="both"/>
        <w:rPr>
          <w:rFonts w:ascii="Arial" w:hAnsi="Arial" w:cs="Arial"/>
          <w:bCs/>
          <w:iCs/>
          <w:sz w:val="22"/>
          <w:szCs w:val="22"/>
        </w:rPr>
      </w:pPr>
      <w:r>
        <w:rPr>
          <w:rFonts w:ascii="Arial" w:hAnsi="Arial" w:cs="Arial"/>
          <w:bCs/>
          <w:iCs/>
          <w:sz w:val="22"/>
          <w:szCs w:val="22"/>
        </w:rPr>
        <w:t xml:space="preserve">Do PAP byly v roce 2012 </w:t>
      </w:r>
      <w:r w:rsidR="009F047D">
        <w:rPr>
          <w:rFonts w:ascii="Arial" w:hAnsi="Arial" w:cs="Arial"/>
          <w:bCs/>
          <w:iCs/>
          <w:sz w:val="22"/>
          <w:szCs w:val="22"/>
        </w:rPr>
        <w:t>z </w:t>
      </w:r>
      <w:r>
        <w:rPr>
          <w:rFonts w:ascii="Arial" w:hAnsi="Arial" w:cs="Arial"/>
          <w:bCs/>
          <w:iCs/>
          <w:sz w:val="22"/>
          <w:szCs w:val="22"/>
        </w:rPr>
        <w:t>účetnictví přenášeny</w:t>
      </w:r>
      <w:r w:rsidRPr="00227691">
        <w:rPr>
          <w:rFonts w:ascii="Arial" w:hAnsi="Arial" w:cs="Arial"/>
          <w:bCs/>
          <w:iCs/>
          <w:sz w:val="22"/>
          <w:szCs w:val="22"/>
        </w:rPr>
        <w:t xml:space="preserve"> </w:t>
      </w:r>
      <w:r>
        <w:rPr>
          <w:rFonts w:ascii="Arial" w:hAnsi="Arial" w:cs="Arial"/>
          <w:bCs/>
          <w:iCs/>
          <w:sz w:val="22"/>
          <w:szCs w:val="22"/>
        </w:rPr>
        <w:t>údaje o některých účtech nákladů a výnosů a o některých rozvahových účtech aktiv a pasiv</w:t>
      </w:r>
      <w:r w:rsidRPr="00227691">
        <w:rPr>
          <w:rFonts w:ascii="Arial" w:hAnsi="Arial" w:cs="Arial"/>
          <w:bCs/>
          <w:iCs/>
          <w:sz w:val="22"/>
          <w:szCs w:val="22"/>
        </w:rPr>
        <w:t>.</w:t>
      </w:r>
      <w:r>
        <w:rPr>
          <w:rFonts w:ascii="Arial" w:hAnsi="Arial" w:cs="Arial"/>
          <w:bCs/>
          <w:iCs/>
          <w:sz w:val="22"/>
          <w:szCs w:val="22"/>
        </w:rPr>
        <w:t xml:space="preserve"> Graf č. 1 zobrazuje srovnání </w:t>
      </w:r>
      <w:r w:rsidR="009F388A">
        <w:rPr>
          <w:rFonts w:ascii="Arial" w:hAnsi="Arial" w:cs="Arial"/>
          <w:bCs/>
          <w:iCs/>
          <w:sz w:val="22"/>
          <w:szCs w:val="22"/>
        </w:rPr>
        <w:t xml:space="preserve">počtu </w:t>
      </w:r>
      <w:r>
        <w:rPr>
          <w:rFonts w:ascii="Arial" w:hAnsi="Arial" w:cs="Arial"/>
          <w:bCs/>
          <w:iCs/>
          <w:sz w:val="22"/>
          <w:szCs w:val="22"/>
        </w:rPr>
        <w:t>údajů</w:t>
      </w:r>
      <w:r w:rsidR="009F388A">
        <w:rPr>
          <w:rFonts w:ascii="Arial" w:hAnsi="Arial" w:cs="Arial"/>
          <w:bCs/>
          <w:iCs/>
          <w:sz w:val="22"/>
          <w:szCs w:val="22"/>
        </w:rPr>
        <w:t xml:space="preserve"> výkazu </w:t>
      </w:r>
      <w:r w:rsidR="00783703">
        <w:rPr>
          <w:rFonts w:ascii="Arial" w:hAnsi="Arial" w:cs="Arial"/>
          <w:bCs/>
          <w:iCs/>
          <w:sz w:val="22"/>
          <w:szCs w:val="22"/>
        </w:rPr>
        <w:t>r</w:t>
      </w:r>
      <w:r w:rsidR="009F388A">
        <w:rPr>
          <w:rFonts w:ascii="Arial" w:hAnsi="Arial" w:cs="Arial"/>
          <w:bCs/>
          <w:iCs/>
          <w:sz w:val="22"/>
          <w:szCs w:val="22"/>
        </w:rPr>
        <w:t xml:space="preserve">ozvaha a </w:t>
      </w:r>
      <w:r w:rsidR="00783703">
        <w:rPr>
          <w:rFonts w:ascii="Arial" w:hAnsi="Arial" w:cs="Arial"/>
          <w:bCs/>
          <w:iCs/>
          <w:sz w:val="22"/>
          <w:szCs w:val="22"/>
        </w:rPr>
        <w:t>v</w:t>
      </w:r>
      <w:r w:rsidR="009F388A">
        <w:rPr>
          <w:rFonts w:ascii="Arial" w:hAnsi="Arial" w:cs="Arial"/>
          <w:bCs/>
          <w:iCs/>
          <w:sz w:val="22"/>
          <w:szCs w:val="22"/>
        </w:rPr>
        <w:t>ýkazu zisku a ztráty</w:t>
      </w:r>
      <w:r>
        <w:rPr>
          <w:rFonts w:ascii="Arial" w:hAnsi="Arial" w:cs="Arial"/>
          <w:bCs/>
          <w:iCs/>
          <w:sz w:val="22"/>
          <w:szCs w:val="22"/>
        </w:rPr>
        <w:t xml:space="preserve"> s</w:t>
      </w:r>
      <w:r w:rsidR="002738F0">
        <w:rPr>
          <w:rFonts w:ascii="Arial" w:hAnsi="Arial" w:cs="Arial"/>
          <w:bCs/>
          <w:iCs/>
          <w:sz w:val="22"/>
          <w:szCs w:val="22"/>
        </w:rPr>
        <w:t> </w:t>
      </w:r>
      <w:r w:rsidR="009F388A">
        <w:rPr>
          <w:rFonts w:ascii="Arial" w:hAnsi="Arial" w:cs="Arial"/>
          <w:bCs/>
          <w:iCs/>
          <w:sz w:val="22"/>
          <w:szCs w:val="22"/>
        </w:rPr>
        <w:t xml:space="preserve">počtem údajů </w:t>
      </w:r>
      <w:r>
        <w:rPr>
          <w:rFonts w:ascii="Arial" w:hAnsi="Arial" w:cs="Arial"/>
          <w:bCs/>
          <w:iCs/>
          <w:sz w:val="22"/>
          <w:szCs w:val="22"/>
        </w:rPr>
        <w:t xml:space="preserve">PAP </w:t>
      </w:r>
      <w:r w:rsidR="002A07D5">
        <w:rPr>
          <w:rFonts w:ascii="Arial" w:hAnsi="Arial" w:cs="Arial"/>
          <w:bCs/>
          <w:iCs/>
          <w:sz w:val="22"/>
          <w:szCs w:val="22"/>
        </w:rPr>
        <w:t xml:space="preserve">předaných do CSÚIS </w:t>
      </w:r>
      <w:r>
        <w:rPr>
          <w:rFonts w:ascii="Arial" w:hAnsi="Arial" w:cs="Arial"/>
          <w:bCs/>
          <w:iCs/>
          <w:sz w:val="22"/>
          <w:szCs w:val="22"/>
        </w:rPr>
        <w:t xml:space="preserve">ve stavu k 31. prosinci 2012. </w:t>
      </w:r>
    </w:p>
    <w:p w14:paraId="00D9161C" w14:textId="77777777" w:rsidR="00E00DF2" w:rsidRDefault="00E00DF2" w:rsidP="00E00DF2">
      <w:pPr>
        <w:jc w:val="both"/>
        <w:rPr>
          <w:rFonts w:ascii="Arial" w:hAnsi="Arial" w:cs="Arial"/>
          <w:bCs/>
          <w:iCs/>
          <w:sz w:val="22"/>
          <w:szCs w:val="22"/>
        </w:rPr>
      </w:pPr>
    </w:p>
    <w:p w14:paraId="00D9161D" w14:textId="77777777" w:rsidR="00E41529" w:rsidRDefault="00E00DF2" w:rsidP="00260B0C">
      <w:pPr>
        <w:spacing w:after="40"/>
        <w:ind w:left="1134" w:hanging="1134"/>
        <w:rPr>
          <w:rFonts w:ascii="Arial" w:hAnsi="Arial" w:cs="Arial"/>
          <w:b/>
          <w:bCs/>
          <w:iCs/>
          <w:sz w:val="22"/>
          <w:szCs w:val="22"/>
        </w:rPr>
      </w:pPr>
      <w:r w:rsidRPr="00980EAB">
        <w:rPr>
          <w:rFonts w:ascii="Arial" w:hAnsi="Arial" w:cs="Arial"/>
          <w:b/>
          <w:bCs/>
          <w:iCs/>
          <w:sz w:val="22"/>
          <w:szCs w:val="22"/>
        </w:rPr>
        <w:t>Graf č. 1 –</w:t>
      </w:r>
      <w:r w:rsidR="00783703">
        <w:rPr>
          <w:rFonts w:ascii="Arial" w:hAnsi="Arial" w:cs="Arial"/>
          <w:b/>
          <w:bCs/>
          <w:iCs/>
          <w:sz w:val="22"/>
          <w:szCs w:val="22"/>
        </w:rPr>
        <w:t xml:space="preserve"> </w:t>
      </w:r>
      <w:r w:rsidRPr="00980EAB">
        <w:rPr>
          <w:rFonts w:ascii="Arial" w:hAnsi="Arial" w:cs="Arial"/>
          <w:b/>
          <w:bCs/>
          <w:iCs/>
          <w:sz w:val="22"/>
          <w:szCs w:val="22"/>
        </w:rPr>
        <w:t>Počet údajů</w:t>
      </w:r>
      <w:r w:rsidR="002A07D5">
        <w:rPr>
          <w:rFonts w:ascii="Arial" w:hAnsi="Arial" w:cs="Arial"/>
          <w:b/>
          <w:bCs/>
          <w:iCs/>
          <w:sz w:val="22"/>
          <w:szCs w:val="22"/>
        </w:rPr>
        <w:t xml:space="preserve"> </w:t>
      </w:r>
      <w:r w:rsidR="009F388A">
        <w:rPr>
          <w:rFonts w:ascii="Arial" w:hAnsi="Arial" w:cs="Arial"/>
          <w:b/>
          <w:bCs/>
          <w:iCs/>
          <w:sz w:val="22"/>
          <w:szCs w:val="22"/>
        </w:rPr>
        <w:t>výkaz</w:t>
      </w:r>
      <w:r w:rsidR="00783703">
        <w:rPr>
          <w:rFonts w:ascii="Arial" w:hAnsi="Arial" w:cs="Arial"/>
          <w:b/>
          <w:bCs/>
          <w:iCs/>
          <w:sz w:val="22"/>
          <w:szCs w:val="22"/>
        </w:rPr>
        <w:t>u</w:t>
      </w:r>
      <w:r w:rsidR="009F388A">
        <w:rPr>
          <w:rFonts w:ascii="Arial" w:hAnsi="Arial" w:cs="Arial"/>
          <w:b/>
          <w:bCs/>
          <w:iCs/>
          <w:sz w:val="22"/>
          <w:szCs w:val="22"/>
        </w:rPr>
        <w:t xml:space="preserve"> </w:t>
      </w:r>
      <w:r w:rsidR="00783703">
        <w:rPr>
          <w:rFonts w:ascii="Arial" w:hAnsi="Arial" w:cs="Arial"/>
          <w:b/>
          <w:bCs/>
          <w:iCs/>
          <w:sz w:val="22"/>
          <w:szCs w:val="22"/>
        </w:rPr>
        <w:t>r</w:t>
      </w:r>
      <w:r w:rsidRPr="00980EAB">
        <w:rPr>
          <w:rFonts w:ascii="Arial" w:hAnsi="Arial" w:cs="Arial"/>
          <w:b/>
          <w:bCs/>
          <w:iCs/>
          <w:sz w:val="22"/>
          <w:szCs w:val="22"/>
        </w:rPr>
        <w:t xml:space="preserve">ozvaha a </w:t>
      </w:r>
      <w:r w:rsidR="00783703">
        <w:rPr>
          <w:rFonts w:ascii="Arial" w:hAnsi="Arial" w:cs="Arial"/>
          <w:b/>
          <w:bCs/>
          <w:iCs/>
          <w:sz w:val="22"/>
          <w:szCs w:val="22"/>
        </w:rPr>
        <w:t>v</w:t>
      </w:r>
      <w:r w:rsidRPr="00980EAB">
        <w:rPr>
          <w:rFonts w:ascii="Arial" w:hAnsi="Arial" w:cs="Arial"/>
          <w:b/>
          <w:bCs/>
          <w:iCs/>
          <w:sz w:val="22"/>
          <w:szCs w:val="22"/>
        </w:rPr>
        <w:t>ýkaz</w:t>
      </w:r>
      <w:r w:rsidR="009F388A">
        <w:rPr>
          <w:rFonts w:ascii="Arial" w:hAnsi="Arial" w:cs="Arial"/>
          <w:b/>
          <w:bCs/>
          <w:iCs/>
          <w:sz w:val="22"/>
          <w:szCs w:val="22"/>
        </w:rPr>
        <w:t>u</w:t>
      </w:r>
      <w:r w:rsidRPr="00980EAB">
        <w:rPr>
          <w:rFonts w:ascii="Arial" w:hAnsi="Arial" w:cs="Arial"/>
          <w:b/>
          <w:bCs/>
          <w:iCs/>
          <w:sz w:val="22"/>
          <w:szCs w:val="22"/>
        </w:rPr>
        <w:t xml:space="preserve"> zisku a ztráty </w:t>
      </w:r>
      <w:r w:rsidR="009F388A">
        <w:rPr>
          <w:rFonts w:ascii="Arial" w:hAnsi="Arial" w:cs="Arial"/>
          <w:b/>
          <w:bCs/>
          <w:iCs/>
          <w:sz w:val="22"/>
          <w:szCs w:val="22"/>
        </w:rPr>
        <w:t>vs. počet údajů</w:t>
      </w:r>
      <w:r>
        <w:rPr>
          <w:rFonts w:ascii="Arial" w:hAnsi="Arial" w:cs="Arial"/>
          <w:b/>
          <w:bCs/>
          <w:iCs/>
          <w:sz w:val="22"/>
          <w:szCs w:val="22"/>
        </w:rPr>
        <w:t xml:space="preserve"> </w:t>
      </w:r>
    </w:p>
    <w:p w14:paraId="00D9161E" w14:textId="77777777" w:rsidR="00E00DF2" w:rsidRPr="00980EAB" w:rsidRDefault="00E00DF2" w:rsidP="00E41529">
      <w:pPr>
        <w:spacing w:after="40"/>
        <w:ind w:left="1134"/>
        <w:rPr>
          <w:rFonts w:ascii="Arial" w:hAnsi="Arial" w:cs="Arial"/>
          <w:b/>
          <w:bCs/>
          <w:iCs/>
          <w:sz w:val="22"/>
          <w:szCs w:val="22"/>
        </w:rPr>
      </w:pPr>
      <w:r>
        <w:rPr>
          <w:rFonts w:ascii="Arial" w:hAnsi="Arial" w:cs="Arial"/>
          <w:b/>
          <w:bCs/>
          <w:iCs/>
          <w:sz w:val="22"/>
          <w:szCs w:val="22"/>
        </w:rPr>
        <w:t xml:space="preserve">PAP </w:t>
      </w:r>
      <w:r w:rsidRPr="00980EAB">
        <w:rPr>
          <w:rFonts w:ascii="Arial" w:hAnsi="Arial" w:cs="Arial"/>
          <w:b/>
          <w:bCs/>
          <w:iCs/>
          <w:sz w:val="22"/>
          <w:szCs w:val="22"/>
        </w:rPr>
        <w:t>MPO k 31. prosinci 2012</w:t>
      </w:r>
      <w:r w:rsidR="002A07D5">
        <w:rPr>
          <w:rFonts w:ascii="Arial" w:hAnsi="Arial" w:cs="Arial"/>
          <w:b/>
          <w:bCs/>
          <w:iCs/>
          <w:sz w:val="22"/>
          <w:szCs w:val="22"/>
        </w:rPr>
        <w:t xml:space="preserve"> </w:t>
      </w:r>
      <w:r w:rsidR="008F7D79">
        <w:rPr>
          <w:rFonts w:ascii="Arial" w:hAnsi="Arial" w:cs="Arial"/>
          <w:b/>
          <w:bCs/>
          <w:iCs/>
          <w:sz w:val="22"/>
          <w:szCs w:val="22"/>
        </w:rPr>
        <w:t>(</w:t>
      </w:r>
      <w:r w:rsidR="002A07D5">
        <w:rPr>
          <w:rFonts w:ascii="Arial" w:hAnsi="Arial" w:cs="Arial"/>
          <w:b/>
          <w:bCs/>
          <w:iCs/>
          <w:sz w:val="22"/>
          <w:szCs w:val="22"/>
        </w:rPr>
        <w:t>předaných do CSÚIS</w:t>
      </w:r>
      <w:r w:rsidR="008F7D79">
        <w:rPr>
          <w:rFonts w:ascii="Arial" w:hAnsi="Arial" w:cs="Arial"/>
          <w:b/>
          <w:bCs/>
          <w:iCs/>
          <w:sz w:val="22"/>
          <w:szCs w:val="22"/>
        </w:rPr>
        <w:t>)</w:t>
      </w:r>
    </w:p>
    <w:p w14:paraId="00D9161F" w14:textId="77777777" w:rsidR="006D12BB" w:rsidRDefault="006D12BB" w:rsidP="00783703">
      <w:pPr>
        <w:ind w:left="1134"/>
        <w:rPr>
          <w:rFonts w:ascii="Arial" w:hAnsi="Arial" w:cs="Arial"/>
          <w:bCs/>
          <w:iCs/>
          <w:sz w:val="22"/>
          <w:szCs w:val="22"/>
        </w:rPr>
      </w:pPr>
      <w:r w:rsidRPr="00260B0C">
        <w:rPr>
          <w:rFonts w:ascii="Arial" w:hAnsi="Arial" w:cs="Arial"/>
          <w:bCs/>
          <w:iCs/>
          <w:noProof/>
          <w:sz w:val="22"/>
          <w:szCs w:val="22"/>
          <w:lang w:eastAsia="cs-CZ"/>
        </w:rPr>
        <w:drawing>
          <wp:inline distT="0" distB="0" distL="0" distR="0" wp14:anchorId="00D9192B" wp14:editId="00D9192C">
            <wp:extent cx="3578087" cy="2838615"/>
            <wp:effectExtent l="0" t="0" r="381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7754" cy="2838351"/>
                    </a:xfrm>
                    <a:prstGeom prst="rect">
                      <a:avLst/>
                    </a:prstGeom>
                    <a:noFill/>
                  </pic:spPr>
                </pic:pic>
              </a:graphicData>
            </a:graphic>
          </wp:inline>
        </w:drawing>
      </w:r>
    </w:p>
    <w:p w14:paraId="00D91620" w14:textId="77777777" w:rsidR="00E00DF2" w:rsidRDefault="00E00DF2" w:rsidP="00E00DF2">
      <w:pPr>
        <w:jc w:val="both"/>
        <w:rPr>
          <w:rFonts w:ascii="Arial" w:hAnsi="Arial" w:cs="Arial"/>
          <w:bCs/>
          <w:iCs/>
          <w:sz w:val="18"/>
          <w:szCs w:val="18"/>
        </w:rPr>
      </w:pPr>
    </w:p>
    <w:p w14:paraId="00D91621" w14:textId="77777777" w:rsidR="00E00DF2" w:rsidRDefault="00E00DF2" w:rsidP="00E00DF2">
      <w:pPr>
        <w:jc w:val="both"/>
        <w:rPr>
          <w:rFonts w:ascii="Arial" w:hAnsi="Arial" w:cs="Arial"/>
          <w:bCs/>
          <w:iCs/>
          <w:sz w:val="18"/>
          <w:szCs w:val="18"/>
        </w:rPr>
      </w:pPr>
      <w:r w:rsidRPr="00260B0C">
        <w:rPr>
          <w:rFonts w:ascii="Arial" w:hAnsi="Arial" w:cs="Arial"/>
          <w:b/>
          <w:bCs/>
          <w:iCs/>
          <w:sz w:val="18"/>
          <w:szCs w:val="18"/>
        </w:rPr>
        <w:t>Zdroj:</w:t>
      </w:r>
      <w:r>
        <w:rPr>
          <w:rFonts w:ascii="Arial" w:hAnsi="Arial" w:cs="Arial"/>
          <w:bCs/>
          <w:iCs/>
          <w:sz w:val="18"/>
          <w:szCs w:val="18"/>
        </w:rPr>
        <w:t xml:space="preserve"> účetní závěrka MPO k 31. prosinci 2012 a PAP MPO k 31. prosinci 2012 z CSÚIS.</w:t>
      </w:r>
    </w:p>
    <w:p w14:paraId="00D91622" w14:textId="77777777" w:rsidR="00E00DF2" w:rsidRPr="005667E5" w:rsidRDefault="00E00DF2" w:rsidP="00260B0C">
      <w:pPr>
        <w:ind w:left="624" w:hanging="624"/>
        <w:jc w:val="both"/>
        <w:rPr>
          <w:rFonts w:ascii="Arial" w:hAnsi="Arial" w:cs="Arial"/>
          <w:bCs/>
          <w:iCs/>
          <w:sz w:val="18"/>
          <w:szCs w:val="18"/>
        </w:rPr>
      </w:pPr>
      <w:r w:rsidRPr="00260B0C">
        <w:rPr>
          <w:rFonts w:ascii="Arial" w:hAnsi="Arial" w:cs="Arial"/>
          <w:b/>
          <w:bCs/>
          <w:iCs/>
          <w:sz w:val="18"/>
          <w:szCs w:val="18"/>
        </w:rPr>
        <w:t>Pozn.:</w:t>
      </w:r>
      <w:r>
        <w:rPr>
          <w:rFonts w:ascii="Arial" w:hAnsi="Arial" w:cs="Arial"/>
          <w:bCs/>
          <w:iCs/>
          <w:sz w:val="18"/>
          <w:szCs w:val="18"/>
        </w:rPr>
        <w:t xml:space="preserve"> Údaje představují veškeré do CSÚIS předané nenulové hodnoty vyjádřené v</w:t>
      </w:r>
      <w:r w:rsidR="00783703">
        <w:rPr>
          <w:rFonts w:ascii="Arial" w:hAnsi="Arial" w:cs="Arial"/>
          <w:bCs/>
          <w:iCs/>
          <w:sz w:val="18"/>
          <w:szCs w:val="18"/>
        </w:rPr>
        <w:t> </w:t>
      </w:r>
      <w:r>
        <w:rPr>
          <w:rFonts w:ascii="Arial" w:hAnsi="Arial" w:cs="Arial"/>
          <w:bCs/>
          <w:iCs/>
          <w:sz w:val="18"/>
          <w:szCs w:val="18"/>
        </w:rPr>
        <w:t>Kč</w:t>
      </w:r>
      <w:r w:rsidR="00783703">
        <w:rPr>
          <w:rFonts w:ascii="Arial" w:hAnsi="Arial" w:cs="Arial"/>
          <w:bCs/>
          <w:iCs/>
          <w:sz w:val="18"/>
          <w:szCs w:val="18"/>
        </w:rPr>
        <w:t>,</w:t>
      </w:r>
      <w:r>
        <w:rPr>
          <w:rFonts w:ascii="Arial" w:hAnsi="Arial" w:cs="Arial"/>
          <w:bCs/>
          <w:iCs/>
          <w:sz w:val="18"/>
          <w:szCs w:val="18"/>
        </w:rPr>
        <w:t xml:space="preserve"> uvedené k položkám výkazu </w:t>
      </w:r>
      <w:r w:rsidR="00783703">
        <w:rPr>
          <w:rFonts w:ascii="Arial" w:hAnsi="Arial" w:cs="Arial"/>
          <w:bCs/>
          <w:iCs/>
          <w:sz w:val="18"/>
          <w:szCs w:val="18"/>
        </w:rPr>
        <w:t>r</w:t>
      </w:r>
      <w:r>
        <w:rPr>
          <w:rFonts w:ascii="Arial" w:hAnsi="Arial" w:cs="Arial"/>
          <w:bCs/>
          <w:iCs/>
          <w:sz w:val="18"/>
          <w:szCs w:val="18"/>
        </w:rPr>
        <w:t xml:space="preserve">ozvaha, </w:t>
      </w:r>
      <w:r w:rsidR="00783703">
        <w:rPr>
          <w:rFonts w:ascii="Arial" w:hAnsi="Arial" w:cs="Arial"/>
          <w:bCs/>
          <w:iCs/>
          <w:sz w:val="18"/>
          <w:szCs w:val="18"/>
        </w:rPr>
        <w:t>v</w:t>
      </w:r>
      <w:r>
        <w:rPr>
          <w:rFonts w:ascii="Arial" w:hAnsi="Arial" w:cs="Arial"/>
          <w:bCs/>
          <w:iCs/>
          <w:sz w:val="18"/>
          <w:szCs w:val="18"/>
        </w:rPr>
        <w:t>ýkaz</w:t>
      </w:r>
      <w:r w:rsidR="00783703">
        <w:rPr>
          <w:rFonts w:ascii="Arial" w:hAnsi="Arial" w:cs="Arial"/>
          <w:bCs/>
          <w:iCs/>
          <w:sz w:val="18"/>
          <w:szCs w:val="18"/>
        </w:rPr>
        <w:t>u</w:t>
      </w:r>
      <w:r>
        <w:rPr>
          <w:rFonts w:ascii="Arial" w:hAnsi="Arial" w:cs="Arial"/>
          <w:bCs/>
          <w:iCs/>
          <w:sz w:val="18"/>
          <w:szCs w:val="18"/>
        </w:rPr>
        <w:t xml:space="preserve"> zisku a ztráty a </w:t>
      </w:r>
      <w:r w:rsidR="00783703">
        <w:rPr>
          <w:rFonts w:ascii="Arial" w:hAnsi="Arial" w:cs="Arial"/>
          <w:bCs/>
          <w:iCs/>
          <w:sz w:val="18"/>
          <w:szCs w:val="18"/>
        </w:rPr>
        <w:t xml:space="preserve">ke </w:t>
      </w:r>
      <w:r>
        <w:rPr>
          <w:rFonts w:ascii="Arial" w:hAnsi="Arial" w:cs="Arial"/>
          <w:bCs/>
          <w:iCs/>
          <w:sz w:val="18"/>
          <w:szCs w:val="18"/>
        </w:rPr>
        <w:t>všem třinácti částem PAP (včetně údajů součtových, údajů o</w:t>
      </w:r>
      <w:r w:rsidR="00E41529">
        <w:rPr>
          <w:rFonts w:ascii="Arial" w:hAnsi="Arial" w:cs="Arial"/>
          <w:bCs/>
          <w:iCs/>
          <w:sz w:val="18"/>
          <w:szCs w:val="18"/>
        </w:rPr>
        <w:t> </w:t>
      </w:r>
      <w:r>
        <w:rPr>
          <w:rFonts w:ascii="Arial" w:hAnsi="Arial" w:cs="Arial"/>
          <w:bCs/>
          <w:iCs/>
          <w:sz w:val="18"/>
          <w:szCs w:val="18"/>
        </w:rPr>
        <w:t xml:space="preserve">syntetických účtech i položkách představujících všechna jejich členění v PAP). </w:t>
      </w:r>
    </w:p>
    <w:p w14:paraId="00D91623" w14:textId="77777777" w:rsidR="00E00DF2" w:rsidRDefault="00E00DF2" w:rsidP="00E00DF2">
      <w:pPr>
        <w:jc w:val="both"/>
        <w:rPr>
          <w:rFonts w:ascii="Arial" w:hAnsi="Arial" w:cs="Arial"/>
          <w:bCs/>
          <w:iCs/>
          <w:sz w:val="22"/>
          <w:szCs w:val="22"/>
        </w:rPr>
      </w:pPr>
    </w:p>
    <w:p w14:paraId="00D91624" w14:textId="77777777" w:rsidR="00E00DF2" w:rsidRDefault="00E00DF2" w:rsidP="00E00DF2">
      <w:pPr>
        <w:jc w:val="both"/>
        <w:rPr>
          <w:rFonts w:ascii="Arial" w:hAnsi="Arial" w:cs="Arial"/>
          <w:bCs/>
          <w:iCs/>
          <w:sz w:val="22"/>
          <w:szCs w:val="22"/>
        </w:rPr>
      </w:pPr>
      <w:r w:rsidRPr="00AB1A64">
        <w:rPr>
          <w:rFonts w:ascii="Arial" w:hAnsi="Arial" w:cs="Arial"/>
          <w:b/>
          <w:bCs/>
          <w:iCs/>
          <w:sz w:val="22"/>
          <w:szCs w:val="22"/>
        </w:rPr>
        <w:t>Z grafu vyplývá, že prostřednictvím PAP předalo MPO do CSÚIS více jak třicetinásobek údajů o rozvahových a výsledkových účtech, než předalo do CSÚIS prostřednictvím výkaz</w:t>
      </w:r>
      <w:r w:rsidR="00783703">
        <w:rPr>
          <w:rFonts w:ascii="Arial" w:hAnsi="Arial" w:cs="Arial"/>
          <w:b/>
          <w:bCs/>
          <w:iCs/>
          <w:sz w:val="22"/>
          <w:szCs w:val="22"/>
        </w:rPr>
        <w:t>u</w:t>
      </w:r>
      <w:r w:rsidRPr="00AB1A64">
        <w:rPr>
          <w:rFonts w:ascii="Arial" w:hAnsi="Arial" w:cs="Arial"/>
          <w:b/>
          <w:bCs/>
          <w:iCs/>
          <w:sz w:val="22"/>
          <w:szCs w:val="22"/>
        </w:rPr>
        <w:t xml:space="preserve"> </w:t>
      </w:r>
      <w:r w:rsidR="00783703">
        <w:rPr>
          <w:rFonts w:ascii="Arial" w:hAnsi="Arial" w:cs="Arial"/>
          <w:b/>
          <w:bCs/>
          <w:iCs/>
          <w:sz w:val="22"/>
          <w:szCs w:val="22"/>
        </w:rPr>
        <w:t>r</w:t>
      </w:r>
      <w:r w:rsidRPr="00AB1A64">
        <w:rPr>
          <w:rFonts w:ascii="Arial" w:hAnsi="Arial" w:cs="Arial"/>
          <w:b/>
          <w:bCs/>
          <w:iCs/>
          <w:sz w:val="22"/>
          <w:szCs w:val="22"/>
        </w:rPr>
        <w:t xml:space="preserve">ozvaha a </w:t>
      </w:r>
      <w:r w:rsidR="00783703">
        <w:rPr>
          <w:rFonts w:ascii="Arial" w:hAnsi="Arial" w:cs="Arial"/>
          <w:b/>
          <w:bCs/>
          <w:iCs/>
          <w:sz w:val="22"/>
          <w:szCs w:val="22"/>
        </w:rPr>
        <w:t>v</w:t>
      </w:r>
      <w:r w:rsidRPr="00AB1A64">
        <w:rPr>
          <w:rFonts w:ascii="Arial" w:hAnsi="Arial" w:cs="Arial"/>
          <w:b/>
          <w:bCs/>
          <w:iCs/>
          <w:sz w:val="22"/>
          <w:szCs w:val="22"/>
        </w:rPr>
        <w:t>ýkaz</w:t>
      </w:r>
      <w:r w:rsidR="00783703">
        <w:rPr>
          <w:rFonts w:ascii="Arial" w:hAnsi="Arial" w:cs="Arial"/>
          <w:b/>
          <w:bCs/>
          <w:iCs/>
          <w:sz w:val="22"/>
          <w:szCs w:val="22"/>
        </w:rPr>
        <w:t>u</w:t>
      </w:r>
      <w:r w:rsidRPr="00AB1A64">
        <w:rPr>
          <w:rFonts w:ascii="Arial" w:hAnsi="Arial" w:cs="Arial"/>
          <w:b/>
          <w:bCs/>
          <w:iCs/>
          <w:sz w:val="22"/>
          <w:szCs w:val="22"/>
        </w:rPr>
        <w:t xml:space="preserve"> zisku a ztráty</w:t>
      </w:r>
      <w:r w:rsidRPr="00260B0C">
        <w:rPr>
          <w:rFonts w:ascii="Arial" w:hAnsi="Arial" w:cs="Arial"/>
          <w:b/>
          <w:bCs/>
          <w:iCs/>
          <w:sz w:val="22"/>
          <w:szCs w:val="22"/>
        </w:rPr>
        <w:t>.</w:t>
      </w:r>
      <w:r>
        <w:rPr>
          <w:rFonts w:ascii="Arial" w:hAnsi="Arial" w:cs="Arial"/>
          <w:bCs/>
          <w:iCs/>
          <w:sz w:val="22"/>
          <w:szCs w:val="22"/>
        </w:rPr>
        <w:t xml:space="preserve"> </w:t>
      </w:r>
      <w:r w:rsidRPr="00AB1A64">
        <w:rPr>
          <w:rFonts w:ascii="Arial" w:hAnsi="Arial" w:cs="Arial"/>
          <w:b/>
          <w:bCs/>
          <w:iCs/>
          <w:sz w:val="22"/>
          <w:szCs w:val="22"/>
        </w:rPr>
        <w:t>V roce 2012 se PAP skládal ze třinácti samostatných částí, které jsou do značné míry mezi sebou provázány a ve kterých jsou údaje z účetnictví dále členěny podrobněji</w:t>
      </w:r>
      <w:r w:rsidRPr="00260B0C">
        <w:rPr>
          <w:rFonts w:ascii="Arial" w:hAnsi="Arial" w:cs="Arial"/>
          <w:b/>
          <w:bCs/>
          <w:iCs/>
          <w:sz w:val="22"/>
          <w:szCs w:val="22"/>
        </w:rPr>
        <w:t xml:space="preserve"> na</w:t>
      </w:r>
      <w:r w:rsidR="00D67046" w:rsidRPr="00260B0C">
        <w:rPr>
          <w:rFonts w:ascii="Arial" w:hAnsi="Arial" w:cs="Arial"/>
          <w:b/>
          <w:bCs/>
          <w:iCs/>
          <w:sz w:val="22"/>
          <w:szCs w:val="22"/>
        </w:rPr>
        <w:t>:</w:t>
      </w:r>
      <w:r w:rsidR="00D67046">
        <w:rPr>
          <w:rFonts w:ascii="Arial" w:hAnsi="Arial" w:cs="Arial"/>
          <w:bCs/>
          <w:iCs/>
          <w:sz w:val="22"/>
          <w:szCs w:val="22"/>
        </w:rPr>
        <w:t xml:space="preserve"> </w:t>
      </w:r>
    </w:p>
    <w:p w14:paraId="00D91625" w14:textId="77777777" w:rsidR="00E00DF2" w:rsidRDefault="00E00DF2" w:rsidP="00D660F6">
      <w:pPr>
        <w:ind w:left="284" w:hanging="284"/>
        <w:jc w:val="both"/>
        <w:rPr>
          <w:rFonts w:ascii="Arial" w:hAnsi="Arial" w:cs="Arial"/>
          <w:bCs/>
          <w:iCs/>
          <w:sz w:val="22"/>
          <w:szCs w:val="22"/>
        </w:rPr>
      </w:pPr>
      <w:r>
        <w:rPr>
          <w:rFonts w:ascii="Arial" w:hAnsi="Arial" w:cs="Arial"/>
          <w:bCs/>
          <w:iCs/>
          <w:sz w:val="22"/>
          <w:szCs w:val="22"/>
        </w:rPr>
        <w:t xml:space="preserve">– </w:t>
      </w:r>
      <w:r w:rsidR="00D660F6">
        <w:rPr>
          <w:rFonts w:ascii="Arial" w:hAnsi="Arial" w:cs="Arial"/>
          <w:bCs/>
          <w:iCs/>
          <w:sz w:val="22"/>
          <w:szCs w:val="22"/>
        </w:rPr>
        <w:tab/>
      </w:r>
      <w:r>
        <w:rPr>
          <w:rFonts w:ascii="Arial" w:hAnsi="Arial" w:cs="Arial"/>
          <w:bCs/>
          <w:iCs/>
          <w:sz w:val="22"/>
          <w:szCs w:val="22"/>
        </w:rPr>
        <w:t>další</w:t>
      </w:r>
      <w:r w:rsidRPr="000667E8">
        <w:rPr>
          <w:rFonts w:ascii="Arial" w:hAnsi="Arial" w:cs="Arial"/>
          <w:bCs/>
          <w:iCs/>
          <w:sz w:val="22"/>
          <w:szCs w:val="22"/>
        </w:rPr>
        <w:t xml:space="preserve"> </w:t>
      </w:r>
      <w:r w:rsidRPr="007C7817">
        <w:rPr>
          <w:rFonts w:ascii="Arial" w:hAnsi="Arial" w:cs="Arial"/>
          <w:bCs/>
          <w:i/>
          <w:iCs/>
          <w:sz w:val="22"/>
          <w:szCs w:val="22"/>
        </w:rPr>
        <w:t>analytické členění vybraných syntetických rozvahových účtů i účtů nákladů a</w:t>
      </w:r>
      <w:r w:rsidR="00D660F6">
        <w:rPr>
          <w:rFonts w:ascii="Arial" w:hAnsi="Arial" w:cs="Arial"/>
          <w:bCs/>
          <w:i/>
          <w:iCs/>
          <w:sz w:val="22"/>
          <w:szCs w:val="22"/>
        </w:rPr>
        <w:t> </w:t>
      </w:r>
      <w:r w:rsidRPr="007C7817">
        <w:rPr>
          <w:rFonts w:ascii="Arial" w:hAnsi="Arial" w:cs="Arial"/>
          <w:bCs/>
          <w:i/>
          <w:iCs/>
          <w:sz w:val="22"/>
          <w:szCs w:val="22"/>
        </w:rPr>
        <w:t>výnosů</w:t>
      </w:r>
      <w:r>
        <w:rPr>
          <w:rFonts w:ascii="Arial" w:hAnsi="Arial" w:cs="Arial"/>
          <w:bCs/>
          <w:iCs/>
          <w:sz w:val="22"/>
          <w:szCs w:val="22"/>
        </w:rPr>
        <w:t>,</w:t>
      </w:r>
    </w:p>
    <w:p w14:paraId="00D91626" w14:textId="77777777" w:rsidR="00E00DF2" w:rsidRDefault="007A21D3" w:rsidP="00D660F6">
      <w:pPr>
        <w:ind w:left="284" w:hanging="284"/>
        <w:jc w:val="both"/>
        <w:rPr>
          <w:rFonts w:ascii="Arial" w:hAnsi="Arial" w:cs="Arial"/>
          <w:bCs/>
          <w:iCs/>
          <w:sz w:val="22"/>
          <w:szCs w:val="22"/>
        </w:rPr>
      </w:pPr>
      <w:r>
        <w:rPr>
          <w:rFonts w:ascii="Arial" w:hAnsi="Arial" w:cs="Arial"/>
          <w:bCs/>
          <w:iCs/>
          <w:sz w:val="22"/>
          <w:szCs w:val="22"/>
        </w:rPr>
        <w:lastRenderedPageBreak/>
        <w:t>–</w:t>
      </w:r>
      <w:r w:rsidR="00D660F6">
        <w:rPr>
          <w:rFonts w:ascii="Arial" w:hAnsi="Arial" w:cs="Arial"/>
          <w:bCs/>
          <w:iCs/>
          <w:sz w:val="22"/>
          <w:szCs w:val="22"/>
        </w:rPr>
        <w:tab/>
      </w:r>
      <w:r w:rsidR="00E00DF2" w:rsidRPr="005813EB">
        <w:rPr>
          <w:rFonts w:ascii="Arial" w:hAnsi="Arial" w:cs="Arial"/>
          <w:bCs/>
          <w:iCs/>
          <w:sz w:val="22"/>
          <w:szCs w:val="22"/>
        </w:rPr>
        <w:t>údaj</w:t>
      </w:r>
      <w:r w:rsidR="00E00DF2">
        <w:rPr>
          <w:rFonts w:ascii="Arial" w:hAnsi="Arial" w:cs="Arial"/>
          <w:bCs/>
          <w:iCs/>
          <w:sz w:val="22"/>
          <w:szCs w:val="22"/>
        </w:rPr>
        <w:t>e</w:t>
      </w:r>
      <w:r w:rsidR="00E00DF2" w:rsidRPr="005813EB">
        <w:rPr>
          <w:rFonts w:ascii="Arial" w:hAnsi="Arial" w:cs="Arial"/>
          <w:bCs/>
          <w:iCs/>
          <w:sz w:val="22"/>
          <w:szCs w:val="22"/>
        </w:rPr>
        <w:t xml:space="preserve"> o </w:t>
      </w:r>
      <w:r w:rsidR="00E00DF2">
        <w:rPr>
          <w:rFonts w:ascii="Arial" w:hAnsi="Arial" w:cs="Arial"/>
          <w:bCs/>
          <w:iCs/>
          <w:sz w:val="22"/>
          <w:szCs w:val="22"/>
        </w:rPr>
        <w:t>důvodech</w:t>
      </w:r>
      <w:r w:rsidR="00E00DF2" w:rsidRPr="005813EB">
        <w:rPr>
          <w:rFonts w:ascii="Arial" w:hAnsi="Arial" w:cs="Arial"/>
          <w:bCs/>
          <w:iCs/>
          <w:sz w:val="22"/>
          <w:szCs w:val="22"/>
        </w:rPr>
        <w:t xml:space="preserve"> přírůstků a úbytků na vybraných syntetických rozvahových účtech</w:t>
      </w:r>
      <w:r w:rsidR="00783703">
        <w:rPr>
          <w:rFonts w:ascii="Arial" w:hAnsi="Arial" w:cs="Arial"/>
          <w:bCs/>
          <w:iCs/>
          <w:sz w:val="22"/>
          <w:szCs w:val="22"/>
        </w:rPr>
        <w:t>,</w:t>
      </w:r>
      <w:r w:rsidR="00E00DF2">
        <w:rPr>
          <w:rFonts w:ascii="Arial" w:hAnsi="Arial" w:cs="Arial"/>
          <w:bCs/>
          <w:iCs/>
          <w:sz w:val="22"/>
          <w:szCs w:val="22"/>
        </w:rPr>
        <w:t xml:space="preserve"> tzv.</w:t>
      </w:r>
      <w:r w:rsidR="00783703">
        <w:rPr>
          <w:rFonts w:ascii="Arial" w:hAnsi="Arial" w:cs="Arial"/>
          <w:bCs/>
          <w:iCs/>
          <w:sz w:val="22"/>
          <w:szCs w:val="22"/>
        </w:rPr>
        <w:t> </w:t>
      </w:r>
      <w:r w:rsidR="00E00DF2" w:rsidRPr="00D67046">
        <w:rPr>
          <w:rFonts w:ascii="Arial" w:hAnsi="Arial" w:cs="Arial"/>
          <w:bCs/>
          <w:iCs/>
          <w:sz w:val="22"/>
          <w:szCs w:val="22"/>
        </w:rPr>
        <w:t>„</w:t>
      </w:r>
      <w:r w:rsidR="00E00DF2" w:rsidRPr="007C7817">
        <w:rPr>
          <w:rFonts w:ascii="Arial" w:hAnsi="Arial" w:cs="Arial"/>
          <w:bCs/>
          <w:i/>
          <w:iCs/>
          <w:sz w:val="22"/>
          <w:szCs w:val="22"/>
        </w:rPr>
        <w:t>typy změn</w:t>
      </w:r>
      <w:r w:rsidR="00E00DF2" w:rsidRPr="00D67046">
        <w:rPr>
          <w:rFonts w:ascii="Arial" w:hAnsi="Arial" w:cs="Arial"/>
          <w:bCs/>
          <w:iCs/>
          <w:sz w:val="22"/>
          <w:szCs w:val="22"/>
        </w:rPr>
        <w:t xml:space="preserve">“, </w:t>
      </w:r>
    </w:p>
    <w:p w14:paraId="00D91627" w14:textId="77777777" w:rsidR="00D67046" w:rsidRDefault="007A21D3" w:rsidP="00E03926">
      <w:pPr>
        <w:ind w:left="284" w:hanging="284"/>
        <w:jc w:val="both"/>
        <w:rPr>
          <w:rFonts w:ascii="Arial" w:hAnsi="Arial" w:cs="Arial"/>
          <w:sz w:val="22"/>
          <w:szCs w:val="22"/>
        </w:rPr>
      </w:pPr>
      <w:r>
        <w:rPr>
          <w:rFonts w:ascii="Arial" w:hAnsi="Arial" w:cs="Arial"/>
          <w:bCs/>
          <w:iCs/>
          <w:sz w:val="22"/>
          <w:szCs w:val="22"/>
        </w:rPr>
        <w:t>–</w:t>
      </w:r>
      <w:r w:rsidR="00E00DF2">
        <w:rPr>
          <w:rFonts w:ascii="Arial" w:hAnsi="Arial" w:cs="Arial"/>
          <w:bCs/>
          <w:iCs/>
          <w:sz w:val="22"/>
          <w:szCs w:val="22"/>
        </w:rPr>
        <w:t xml:space="preserve"> </w:t>
      </w:r>
      <w:r w:rsidR="00E00DF2" w:rsidRPr="000667E8">
        <w:rPr>
          <w:rFonts w:ascii="Arial" w:hAnsi="Arial" w:cs="Arial"/>
          <w:bCs/>
          <w:iCs/>
          <w:sz w:val="22"/>
          <w:szCs w:val="22"/>
        </w:rPr>
        <w:t>údaj</w:t>
      </w:r>
      <w:r w:rsidR="00E00DF2">
        <w:rPr>
          <w:rFonts w:ascii="Arial" w:hAnsi="Arial" w:cs="Arial"/>
          <w:bCs/>
          <w:iCs/>
          <w:sz w:val="22"/>
          <w:szCs w:val="22"/>
        </w:rPr>
        <w:t>e</w:t>
      </w:r>
      <w:r w:rsidR="00E00DF2" w:rsidRPr="000667E8">
        <w:rPr>
          <w:rFonts w:ascii="Arial" w:hAnsi="Arial" w:cs="Arial"/>
          <w:bCs/>
          <w:iCs/>
          <w:sz w:val="22"/>
          <w:szCs w:val="22"/>
        </w:rPr>
        <w:t xml:space="preserve"> identifikující </w:t>
      </w:r>
      <w:r w:rsidR="00E00DF2">
        <w:rPr>
          <w:rFonts w:ascii="Arial" w:hAnsi="Arial" w:cs="Arial"/>
          <w:bCs/>
          <w:iCs/>
          <w:sz w:val="22"/>
          <w:szCs w:val="22"/>
        </w:rPr>
        <w:t>„</w:t>
      </w:r>
      <w:r w:rsidR="00E00DF2" w:rsidRPr="007C7817">
        <w:rPr>
          <w:rFonts w:ascii="Arial" w:hAnsi="Arial" w:cs="Arial"/>
          <w:i/>
          <w:sz w:val="22"/>
          <w:szCs w:val="22"/>
        </w:rPr>
        <w:t>partnera aktiva/pasiva</w:t>
      </w:r>
      <w:r w:rsidR="00E00DF2" w:rsidRPr="00260B0C">
        <w:rPr>
          <w:rFonts w:ascii="Arial" w:hAnsi="Arial" w:cs="Arial"/>
          <w:sz w:val="22"/>
          <w:szCs w:val="22"/>
        </w:rPr>
        <w:t>“</w:t>
      </w:r>
      <w:r w:rsidR="00E00DF2" w:rsidRPr="000667E8">
        <w:rPr>
          <w:rFonts w:ascii="Arial" w:hAnsi="Arial" w:cs="Arial"/>
          <w:sz w:val="22"/>
          <w:szCs w:val="22"/>
        </w:rPr>
        <w:t xml:space="preserve"> a údaj</w:t>
      </w:r>
      <w:r w:rsidR="00E00DF2">
        <w:rPr>
          <w:rFonts w:ascii="Arial" w:hAnsi="Arial" w:cs="Arial"/>
          <w:sz w:val="22"/>
          <w:szCs w:val="22"/>
        </w:rPr>
        <w:t>e</w:t>
      </w:r>
      <w:r w:rsidR="00E00DF2" w:rsidRPr="000667E8">
        <w:rPr>
          <w:rFonts w:ascii="Arial" w:hAnsi="Arial" w:cs="Arial"/>
          <w:sz w:val="22"/>
          <w:szCs w:val="22"/>
        </w:rPr>
        <w:t xml:space="preserve"> identifikující </w:t>
      </w:r>
      <w:r w:rsidR="00E00DF2">
        <w:rPr>
          <w:rFonts w:ascii="Arial" w:hAnsi="Arial" w:cs="Arial"/>
          <w:sz w:val="22"/>
          <w:szCs w:val="22"/>
        </w:rPr>
        <w:t>„</w:t>
      </w:r>
      <w:r w:rsidR="00E00DF2" w:rsidRPr="006D0639">
        <w:rPr>
          <w:rFonts w:ascii="Arial" w:hAnsi="Arial" w:cs="Arial"/>
          <w:i/>
          <w:sz w:val="22"/>
          <w:szCs w:val="22"/>
        </w:rPr>
        <w:t>partnera transakce</w:t>
      </w:r>
      <w:r w:rsidR="002738F0" w:rsidRPr="00260B0C">
        <w:rPr>
          <w:rFonts w:ascii="Arial" w:hAnsi="Arial" w:cs="Arial"/>
          <w:sz w:val="22"/>
          <w:szCs w:val="22"/>
        </w:rPr>
        <w:t>“</w:t>
      </w:r>
      <w:r w:rsidR="00E00DF2" w:rsidRPr="000667E8">
        <w:rPr>
          <w:rFonts w:ascii="Arial" w:hAnsi="Arial" w:cs="Arial"/>
          <w:sz w:val="22"/>
          <w:szCs w:val="22"/>
        </w:rPr>
        <w:t>, tj.</w:t>
      </w:r>
      <w:r>
        <w:rPr>
          <w:rFonts w:ascii="Arial" w:hAnsi="Arial" w:cs="Arial"/>
          <w:sz w:val="22"/>
          <w:szCs w:val="22"/>
        </w:rPr>
        <w:t> </w:t>
      </w:r>
      <w:r w:rsidR="00E00DF2" w:rsidRPr="000667E8">
        <w:rPr>
          <w:rFonts w:ascii="Arial" w:hAnsi="Arial" w:cs="Arial"/>
          <w:sz w:val="22"/>
          <w:szCs w:val="22"/>
        </w:rPr>
        <w:t xml:space="preserve">protistranu </w:t>
      </w:r>
      <w:r w:rsidR="00E00DF2">
        <w:rPr>
          <w:rFonts w:ascii="Arial" w:hAnsi="Arial" w:cs="Arial"/>
          <w:sz w:val="22"/>
          <w:szCs w:val="22"/>
        </w:rPr>
        <w:t>účetního případu</w:t>
      </w:r>
      <w:r w:rsidR="006077E3">
        <w:rPr>
          <w:rFonts w:ascii="Arial" w:hAnsi="Arial" w:cs="Arial"/>
          <w:sz w:val="22"/>
          <w:szCs w:val="22"/>
        </w:rPr>
        <w:t>,</w:t>
      </w:r>
      <w:r w:rsidR="00E00DF2">
        <w:rPr>
          <w:rFonts w:ascii="Arial" w:hAnsi="Arial" w:cs="Arial"/>
          <w:sz w:val="22"/>
          <w:szCs w:val="22"/>
        </w:rPr>
        <w:t xml:space="preserve"> </w:t>
      </w:r>
      <w:r w:rsidR="006D0639">
        <w:rPr>
          <w:rFonts w:ascii="Arial" w:hAnsi="Arial" w:cs="Arial"/>
          <w:sz w:val="22"/>
          <w:szCs w:val="22"/>
        </w:rPr>
        <w:t xml:space="preserve">tzn. účetní jednotku, u které </w:t>
      </w:r>
      <w:r w:rsidR="00E00DF2" w:rsidRPr="000667E8">
        <w:rPr>
          <w:rFonts w:ascii="Arial" w:hAnsi="Arial" w:cs="Arial"/>
          <w:sz w:val="22"/>
          <w:szCs w:val="22"/>
        </w:rPr>
        <w:t>by se dané</w:t>
      </w:r>
      <w:r w:rsidR="00E00DF2">
        <w:rPr>
          <w:rFonts w:ascii="Arial" w:hAnsi="Arial" w:cs="Arial"/>
          <w:sz w:val="22"/>
          <w:szCs w:val="22"/>
        </w:rPr>
        <w:t xml:space="preserve"> účetní</w:t>
      </w:r>
      <w:r w:rsidR="00E00DF2" w:rsidRPr="000667E8">
        <w:rPr>
          <w:rFonts w:ascii="Arial" w:hAnsi="Arial" w:cs="Arial"/>
          <w:sz w:val="22"/>
          <w:szCs w:val="22"/>
        </w:rPr>
        <w:t xml:space="preserve"> případy měly</w:t>
      </w:r>
      <w:r>
        <w:rPr>
          <w:rFonts w:ascii="Arial" w:hAnsi="Arial" w:cs="Arial"/>
          <w:sz w:val="22"/>
          <w:szCs w:val="22"/>
        </w:rPr>
        <w:t xml:space="preserve"> v </w:t>
      </w:r>
      <w:r w:rsidR="006D0639">
        <w:rPr>
          <w:rFonts w:ascii="Arial" w:hAnsi="Arial" w:cs="Arial"/>
          <w:sz w:val="22"/>
          <w:szCs w:val="22"/>
        </w:rPr>
        <w:t xml:space="preserve">jejím účetnictví zobrazit </w:t>
      </w:r>
      <w:r w:rsidR="00E00DF2" w:rsidRPr="000667E8">
        <w:rPr>
          <w:rFonts w:ascii="Arial" w:hAnsi="Arial" w:cs="Arial"/>
          <w:sz w:val="22"/>
          <w:szCs w:val="22"/>
        </w:rPr>
        <w:t>zrcadlově</w:t>
      </w:r>
      <w:r w:rsidR="006D0639">
        <w:rPr>
          <w:rFonts w:ascii="Arial" w:hAnsi="Arial" w:cs="Arial"/>
          <w:sz w:val="22"/>
          <w:szCs w:val="22"/>
        </w:rPr>
        <w:t>.</w:t>
      </w:r>
    </w:p>
    <w:p w14:paraId="00D91628" w14:textId="77777777" w:rsidR="006D0639" w:rsidRDefault="006D0639" w:rsidP="00E00DF2">
      <w:pPr>
        <w:jc w:val="both"/>
        <w:rPr>
          <w:rFonts w:ascii="Arial" w:hAnsi="Arial" w:cs="Arial"/>
          <w:sz w:val="22"/>
          <w:szCs w:val="22"/>
        </w:rPr>
      </w:pPr>
    </w:p>
    <w:p w14:paraId="00D91629" w14:textId="77777777" w:rsidR="00E00DF2" w:rsidRDefault="00E00DF2" w:rsidP="00E00DF2">
      <w:pPr>
        <w:jc w:val="both"/>
        <w:rPr>
          <w:rFonts w:ascii="Arial" w:hAnsi="Arial" w:cs="Arial"/>
          <w:sz w:val="22"/>
          <w:szCs w:val="22"/>
        </w:rPr>
      </w:pPr>
      <w:r>
        <w:rPr>
          <w:rFonts w:ascii="Arial" w:hAnsi="Arial" w:cs="Arial"/>
          <w:sz w:val="22"/>
          <w:szCs w:val="22"/>
        </w:rPr>
        <w:t>Některá</w:t>
      </w:r>
      <w:r w:rsidR="00C52C50">
        <w:rPr>
          <w:rFonts w:ascii="Arial" w:hAnsi="Arial" w:cs="Arial"/>
          <w:sz w:val="22"/>
          <w:szCs w:val="22"/>
        </w:rPr>
        <w:t xml:space="preserve"> stanovená</w:t>
      </w:r>
      <w:r>
        <w:rPr>
          <w:rFonts w:ascii="Arial" w:hAnsi="Arial" w:cs="Arial"/>
          <w:sz w:val="22"/>
          <w:szCs w:val="22"/>
        </w:rPr>
        <w:t xml:space="preserve"> členění jsou uvedena jen v některých částech</w:t>
      </w:r>
      <w:r w:rsidR="00C52C50">
        <w:rPr>
          <w:rFonts w:ascii="Arial" w:hAnsi="Arial" w:cs="Arial"/>
          <w:sz w:val="22"/>
          <w:szCs w:val="22"/>
        </w:rPr>
        <w:t xml:space="preserve"> PAP</w:t>
      </w:r>
      <w:r>
        <w:rPr>
          <w:rFonts w:ascii="Arial" w:hAnsi="Arial" w:cs="Arial"/>
          <w:sz w:val="22"/>
          <w:szCs w:val="22"/>
        </w:rPr>
        <w:t xml:space="preserve"> (např.</w:t>
      </w:r>
      <w:r w:rsidR="00D67046">
        <w:rPr>
          <w:rFonts w:ascii="Arial" w:hAnsi="Arial" w:cs="Arial"/>
          <w:sz w:val="22"/>
          <w:szCs w:val="22"/>
        </w:rPr>
        <w:t xml:space="preserve"> </w:t>
      </w:r>
      <w:r>
        <w:rPr>
          <w:rFonts w:ascii="Arial" w:hAnsi="Arial" w:cs="Arial"/>
          <w:sz w:val="22"/>
          <w:szCs w:val="22"/>
        </w:rPr>
        <w:t xml:space="preserve">partneři), jiná </w:t>
      </w:r>
      <w:r w:rsidR="00C52C50">
        <w:rPr>
          <w:rFonts w:ascii="Arial" w:hAnsi="Arial" w:cs="Arial"/>
          <w:sz w:val="22"/>
          <w:szCs w:val="22"/>
        </w:rPr>
        <w:t xml:space="preserve">členění </w:t>
      </w:r>
      <w:r>
        <w:rPr>
          <w:rFonts w:ascii="Arial" w:hAnsi="Arial" w:cs="Arial"/>
          <w:sz w:val="22"/>
          <w:szCs w:val="22"/>
        </w:rPr>
        <w:t>(např. analytické</w:t>
      </w:r>
      <w:r w:rsidR="00C52C50">
        <w:rPr>
          <w:rFonts w:ascii="Arial" w:hAnsi="Arial" w:cs="Arial"/>
          <w:sz w:val="22"/>
          <w:szCs w:val="22"/>
        </w:rPr>
        <w:t xml:space="preserve">) </w:t>
      </w:r>
      <w:r>
        <w:rPr>
          <w:rFonts w:ascii="Arial" w:hAnsi="Arial" w:cs="Arial"/>
          <w:sz w:val="22"/>
          <w:szCs w:val="22"/>
        </w:rPr>
        <w:t>se promítají do všech částí PAP. Hlediska členění se v různých částech PAP doplňují, resp. kombinují a kumulují (viz tabulka č. 1).</w:t>
      </w:r>
      <w:r w:rsidRPr="001A4765">
        <w:rPr>
          <w:rFonts w:ascii="Arial" w:hAnsi="Arial" w:cs="Arial"/>
          <w:sz w:val="22"/>
          <w:szCs w:val="22"/>
        </w:rPr>
        <w:t xml:space="preserve"> </w:t>
      </w:r>
      <w:r>
        <w:rPr>
          <w:rFonts w:ascii="Arial" w:hAnsi="Arial" w:cs="Arial"/>
          <w:sz w:val="22"/>
          <w:szCs w:val="22"/>
        </w:rPr>
        <w:t xml:space="preserve"> </w:t>
      </w:r>
    </w:p>
    <w:p w14:paraId="00D9162A" w14:textId="77777777" w:rsidR="00D67046" w:rsidRPr="00D67046" w:rsidRDefault="00D67046" w:rsidP="00E00DF2">
      <w:pPr>
        <w:jc w:val="both"/>
        <w:rPr>
          <w:rFonts w:ascii="Arial" w:hAnsi="Arial" w:cs="Arial"/>
          <w:sz w:val="22"/>
          <w:szCs w:val="22"/>
          <w:lang w:eastAsia="cs-CZ"/>
        </w:rPr>
      </w:pPr>
    </w:p>
    <w:p w14:paraId="00D9162B" w14:textId="77777777" w:rsidR="00E00DF2" w:rsidRPr="00904166" w:rsidRDefault="00E00DF2" w:rsidP="003111D3">
      <w:pPr>
        <w:pStyle w:val="Titulek"/>
        <w:spacing w:before="0" w:after="40"/>
        <w:rPr>
          <w:rFonts w:ascii="Arial" w:hAnsi="Arial" w:cs="Arial"/>
          <w:sz w:val="22"/>
          <w:szCs w:val="22"/>
        </w:rPr>
      </w:pPr>
      <w:r w:rsidRPr="00CE2FC3">
        <w:rPr>
          <w:rFonts w:ascii="Arial" w:hAnsi="Arial" w:cs="Arial"/>
          <w:sz w:val="22"/>
          <w:szCs w:val="22"/>
        </w:rPr>
        <w:t>Tabulka č. 1</w:t>
      </w:r>
      <w:r>
        <w:rPr>
          <w:rFonts w:ascii="Arial" w:hAnsi="Arial" w:cs="Arial"/>
          <w:sz w:val="22"/>
          <w:szCs w:val="22"/>
        </w:rPr>
        <w:t xml:space="preserve"> – </w:t>
      </w:r>
      <w:r w:rsidRPr="00904166">
        <w:rPr>
          <w:rFonts w:ascii="Arial" w:hAnsi="Arial" w:cs="Arial"/>
          <w:sz w:val="22"/>
          <w:szCs w:val="22"/>
        </w:rPr>
        <w:t xml:space="preserve">Provázanost údajů mezi jednotlivými částmi PAP </w:t>
      </w:r>
    </w:p>
    <w:tbl>
      <w:tblPr>
        <w:tblpPr w:leftFromText="141" w:rightFromText="141" w:vertAnchor="text" w:horzAnchor="margin" w:tblpX="70" w:tblpY="56"/>
        <w:tblW w:w="9142" w:type="dxa"/>
        <w:tblLayout w:type="fixed"/>
        <w:tblCellMar>
          <w:left w:w="70" w:type="dxa"/>
          <w:right w:w="70" w:type="dxa"/>
        </w:tblCellMar>
        <w:tblLook w:val="04A0" w:firstRow="1" w:lastRow="0" w:firstColumn="1" w:lastColumn="0" w:noHBand="0" w:noVBand="1"/>
      </w:tblPr>
      <w:tblGrid>
        <w:gridCol w:w="354"/>
        <w:gridCol w:w="1134"/>
        <w:gridCol w:w="567"/>
        <w:gridCol w:w="499"/>
        <w:gridCol w:w="567"/>
        <w:gridCol w:w="567"/>
        <w:gridCol w:w="567"/>
        <w:gridCol w:w="567"/>
        <w:gridCol w:w="567"/>
        <w:gridCol w:w="567"/>
        <w:gridCol w:w="567"/>
        <w:gridCol w:w="567"/>
        <w:gridCol w:w="567"/>
        <w:gridCol w:w="493"/>
        <w:gridCol w:w="499"/>
        <w:gridCol w:w="493"/>
      </w:tblGrid>
      <w:tr w:rsidR="004B1893" w:rsidRPr="00904166" w14:paraId="00D91630" w14:textId="77777777" w:rsidTr="00E41529">
        <w:trPr>
          <w:trHeight w:val="126"/>
        </w:trPr>
        <w:tc>
          <w:tcPr>
            <w:tcW w:w="354" w:type="dxa"/>
            <w:tcBorders>
              <w:top w:val="nil"/>
              <w:left w:val="nil"/>
              <w:bottom w:val="nil"/>
              <w:right w:val="nil"/>
            </w:tcBorders>
            <w:shd w:val="clear" w:color="auto" w:fill="auto"/>
            <w:noWrap/>
            <w:vAlign w:val="bottom"/>
            <w:hideMark/>
          </w:tcPr>
          <w:p w14:paraId="00D9162C" w14:textId="77777777" w:rsidR="004B1893" w:rsidRPr="00904166" w:rsidRDefault="003111D3" w:rsidP="004B1893">
            <w:pPr>
              <w:rPr>
                <w:rFonts w:ascii="Arial" w:hAnsi="Arial" w:cs="Arial"/>
                <w:color w:val="000000"/>
                <w:sz w:val="16"/>
                <w:szCs w:val="16"/>
                <w:lang w:eastAsia="cs-CZ"/>
              </w:rPr>
            </w:pPr>
            <w:r w:rsidRPr="00CE2FC3">
              <w:rPr>
                <w:rFonts w:ascii="Arial" w:hAnsi="Arial" w:cs="Arial"/>
                <w:noProof/>
                <w:sz w:val="22"/>
                <w:szCs w:val="22"/>
                <w:lang w:eastAsia="cs-CZ"/>
              </w:rPr>
              <mc:AlternateContent>
                <mc:Choice Requires="wps">
                  <w:drawing>
                    <wp:anchor distT="0" distB="0" distL="114300" distR="114300" simplePos="0" relativeHeight="251664384" behindDoc="0" locked="0" layoutInCell="1" allowOverlap="1" wp14:anchorId="00D9192D" wp14:editId="00D9192E">
                      <wp:simplePos x="0" y="0"/>
                      <wp:positionH relativeFrom="column">
                        <wp:posOffset>-17145</wp:posOffset>
                      </wp:positionH>
                      <wp:positionV relativeFrom="paragraph">
                        <wp:posOffset>0</wp:posOffset>
                      </wp:positionV>
                      <wp:extent cx="802640" cy="434975"/>
                      <wp:effectExtent l="57150" t="57150" r="35560" b="60325"/>
                      <wp:wrapNone/>
                      <wp:docPr id="14" name="Ohnutá šipka 14"/>
                      <wp:cNvGraphicFramePr/>
                      <a:graphic xmlns:a="http://schemas.openxmlformats.org/drawingml/2006/main">
                        <a:graphicData uri="http://schemas.microsoft.com/office/word/2010/wordprocessingShape">
                          <wps:wsp>
                            <wps:cNvSpPr/>
                            <wps:spPr>
                              <a:xfrm>
                                <a:off x="0" y="0"/>
                                <a:ext cx="802640" cy="434975"/>
                              </a:xfrm>
                              <a:prstGeom prst="bentArrow">
                                <a:avLst>
                                  <a:gd name="adj1" fmla="val 12830"/>
                                  <a:gd name="adj2" fmla="val 19639"/>
                                  <a:gd name="adj3" fmla="val 31617"/>
                                  <a:gd name="adj4" fmla="val 43750"/>
                                </a:avLst>
                              </a:prstGeom>
                              <a:scene3d>
                                <a:camera prst="orthographicFront">
                                  <a:rot lat="21299999" lon="3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hnutá šipka 14" o:spid="_x0000_s1026" style="position:absolute;margin-left:-1.35pt;margin-top:0;width:63.2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2640,43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" path="m,434975l,247823c,142722,85201,57521,190302,57521r474812,l665114,,802640,85425,665114,170849r,-57521l190302,113328v-74279,,-134494,60215,-134494,134494c55808,310206,55807,372591,55807,434975l,434975xe" fillcolor="#4f81bd [3204]" strokecolor="#243f60 [1604]" strokeweight="2pt">
                      <v:path arrowok="t" o:connecttype="custom" o:connectlocs="0,434975;0,247823;190302,57521;665114,57521;665114,0;802640,85425;665114,170849;665114,113328;190302,113328;55808,247822;55807,434975;0,434975" o:connectangles="0,0,0,0,0,0,0,0,0,0,0,0"/>
                    </v:shape>
                  </w:pict>
                </mc:Fallback>
              </mc:AlternateContent>
            </w:r>
          </w:p>
        </w:tc>
        <w:tc>
          <w:tcPr>
            <w:tcW w:w="1134" w:type="dxa"/>
            <w:tcBorders>
              <w:top w:val="nil"/>
              <w:left w:val="nil"/>
              <w:bottom w:val="single" w:sz="12" w:space="0" w:color="auto"/>
              <w:right w:val="nil"/>
            </w:tcBorders>
            <w:shd w:val="clear" w:color="auto" w:fill="auto"/>
            <w:noWrap/>
            <w:vAlign w:val="bottom"/>
            <w:hideMark/>
          </w:tcPr>
          <w:p w14:paraId="00D9162D" w14:textId="77777777" w:rsidR="004B1893" w:rsidRPr="00904166" w:rsidRDefault="004B1893" w:rsidP="004B1893">
            <w:pPr>
              <w:rPr>
                <w:rFonts w:ascii="Arial" w:hAnsi="Arial" w:cs="Arial"/>
                <w:color w:val="000000"/>
                <w:sz w:val="16"/>
                <w:szCs w:val="16"/>
                <w:lang w:eastAsia="cs-CZ"/>
              </w:rPr>
            </w:pPr>
          </w:p>
        </w:tc>
        <w:tc>
          <w:tcPr>
            <w:tcW w:w="7161" w:type="dxa"/>
            <w:gridSpan w:val="13"/>
            <w:tcBorders>
              <w:top w:val="single" w:sz="8" w:space="0" w:color="auto"/>
              <w:left w:val="single" w:sz="8" w:space="0" w:color="auto"/>
              <w:bottom w:val="single" w:sz="12" w:space="0" w:color="auto"/>
              <w:right w:val="single" w:sz="8" w:space="0" w:color="000000"/>
            </w:tcBorders>
            <w:shd w:val="clear" w:color="auto" w:fill="C6D9F1" w:themeFill="text2" w:themeFillTint="33"/>
            <w:noWrap/>
            <w:vAlign w:val="bottom"/>
            <w:hideMark/>
          </w:tcPr>
          <w:p w14:paraId="00D9162E" w14:textId="77777777" w:rsidR="00863DF7" w:rsidRPr="00904166" w:rsidRDefault="004B1893" w:rsidP="00260B0C">
            <w:pPr>
              <w:spacing w:before="60" w:after="60"/>
              <w:jc w:val="center"/>
              <w:rPr>
                <w:rFonts w:ascii="Arial" w:hAnsi="Arial" w:cs="Arial"/>
                <w:b/>
                <w:bCs/>
                <w:color w:val="000000"/>
                <w:sz w:val="16"/>
                <w:szCs w:val="16"/>
                <w:lang w:eastAsia="cs-CZ"/>
              </w:rPr>
            </w:pPr>
            <w:r w:rsidRPr="00904166">
              <w:rPr>
                <w:rFonts w:ascii="Arial" w:hAnsi="Arial" w:cs="Arial"/>
                <w:b/>
                <w:bCs/>
                <w:color w:val="000000"/>
                <w:sz w:val="16"/>
                <w:szCs w:val="16"/>
                <w:lang w:eastAsia="cs-CZ"/>
              </w:rPr>
              <w:t>v části …. PAP se projeví …</w:t>
            </w:r>
            <w:r w:rsidR="00863DF7" w:rsidRPr="00980EAB">
              <w:rPr>
                <w:rFonts w:ascii="Arial" w:hAnsi="Arial" w:cs="Arial"/>
                <w:b/>
                <w:noProof/>
                <w:sz w:val="22"/>
                <w:szCs w:val="22"/>
                <w:lang w:eastAsia="cs-CZ"/>
              </w:rPr>
              <mc:AlternateContent>
                <mc:Choice Requires="wps">
                  <w:drawing>
                    <wp:anchor distT="0" distB="0" distL="114300" distR="114300" simplePos="0" relativeHeight="251665408" behindDoc="0" locked="0" layoutInCell="1" allowOverlap="1" wp14:anchorId="00D9192F" wp14:editId="00D91930">
                      <wp:simplePos x="0" y="0"/>
                      <wp:positionH relativeFrom="column">
                        <wp:posOffset>4462145</wp:posOffset>
                      </wp:positionH>
                      <wp:positionV relativeFrom="paragraph">
                        <wp:posOffset>71755</wp:posOffset>
                      </wp:positionV>
                      <wp:extent cx="459740" cy="260350"/>
                      <wp:effectExtent l="4445" t="0" r="20955" b="20955"/>
                      <wp:wrapNone/>
                      <wp:docPr id="15" name="Ohnutá šipka 15"/>
                      <wp:cNvGraphicFramePr/>
                      <a:graphic xmlns:a="http://schemas.openxmlformats.org/drawingml/2006/main">
                        <a:graphicData uri="http://schemas.microsoft.com/office/word/2010/wordprocessingShape">
                          <wps:wsp>
                            <wps:cNvSpPr/>
                            <wps:spPr>
                              <a:xfrm rot="5400000">
                                <a:off x="0" y="0"/>
                                <a:ext cx="459740" cy="260350"/>
                              </a:xfrm>
                              <a:prstGeom prst="bentArrow">
                                <a:avLst>
                                  <a:gd name="adj1" fmla="val 25000"/>
                                  <a:gd name="adj2" fmla="val 20552"/>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hnutá šipka 15" o:spid="_x0000_s1026" style="position:absolute;margin-left:351.35pt;margin-top:5.65pt;width:36.2pt;height:2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9740,26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" path="m,260350l,134867c,71960,50996,20964,113903,20964r280750,-1l394653,r65087,53507l394653,107014r,-20963l113903,86051v-26960,,-48816,21856,-48816,48816c65087,176695,65088,218522,65088,260350l,260350xe" fillcolor="#4f81bd [3204]" strokecolor="#243f60 [1604]" strokeweight="2pt">
                      <v:path arrowok="t" o:connecttype="custom" o:connectlocs="0,260350;0,134867;113903,20964;394653,20963;394653,0;459740,53507;394653,107014;394653,86051;113903,86051;65087,134867;65088,260350;0,260350" o:connectangles="0,0,0,0,0,0,0,0,0,0,0,0"/>
                    </v:shape>
                  </w:pict>
                </mc:Fallback>
              </mc:AlternateContent>
            </w:r>
          </w:p>
        </w:tc>
        <w:tc>
          <w:tcPr>
            <w:tcW w:w="493" w:type="dxa"/>
            <w:tcBorders>
              <w:top w:val="nil"/>
              <w:left w:val="nil"/>
              <w:bottom w:val="nil"/>
              <w:right w:val="nil"/>
            </w:tcBorders>
            <w:shd w:val="clear" w:color="auto" w:fill="FFFFFF" w:themeFill="background1"/>
            <w:noWrap/>
            <w:vAlign w:val="bottom"/>
            <w:hideMark/>
          </w:tcPr>
          <w:p w14:paraId="00D9162F" w14:textId="77777777" w:rsidR="004B1893" w:rsidRPr="00904166" w:rsidRDefault="004B1893" w:rsidP="004B1893">
            <w:pPr>
              <w:rPr>
                <w:rFonts w:ascii="Arial" w:hAnsi="Arial" w:cs="Arial"/>
                <w:color w:val="000000"/>
                <w:sz w:val="16"/>
                <w:szCs w:val="16"/>
                <w:lang w:eastAsia="cs-CZ"/>
              </w:rPr>
            </w:pPr>
          </w:p>
        </w:tc>
      </w:tr>
      <w:tr w:rsidR="00B377B1" w:rsidRPr="00904166" w14:paraId="00D9164A" w14:textId="77777777" w:rsidTr="00E41529">
        <w:trPr>
          <w:trHeight w:val="540"/>
        </w:trPr>
        <w:tc>
          <w:tcPr>
            <w:tcW w:w="354" w:type="dxa"/>
            <w:tcBorders>
              <w:top w:val="nil"/>
              <w:left w:val="nil"/>
              <w:bottom w:val="nil"/>
              <w:right w:val="single" w:sz="12" w:space="0" w:color="auto"/>
            </w:tcBorders>
            <w:shd w:val="clear" w:color="auto" w:fill="auto"/>
            <w:noWrap/>
            <w:vAlign w:val="bottom"/>
            <w:hideMark/>
          </w:tcPr>
          <w:p w14:paraId="00D91631" w14:textId="77777777" w:rsidR="004B1893" w:rsidRPr="00904166" w:rsidRDefault="004B1893" w:rsidP="004B1893">
            <w:pPr>
              <w:rPr>
                <w:rFonts w:ascii="Arial" w:hAnsi="Arial" w:cs="Arial"/>
                <w:color w:val="000000"/>
                <w:sz w:val="16"/>
                <w:szCs w:val="16"/>
                <w:lang w:eastAsia="cs-CZ"/>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0D91632" w14:textId="77777777" w:rsidR="004B1893" w:rsidRPr="00904166" w:rsidRDefault="003111D3" w:rsidP="003111D3">
            <w:pPr>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ást PAP</w:t>
            </w:r>
          </w:p>
        </w:tc>
        <w:tc>
          <w:tcPr>
            <w:tcW w:w="567" w:type="dxa"/>
            <w:tcBorders>
              <w:top w:val="single" w:sz="12" w:space="0" w:color="auto"/>
              <w:left w:val="single" w:sz="12" w:space="0" w:color="auto"/>
              <w:bottom w:val="single" w:sz="12" w:space="0" w:color="auto"/>
              <w:right w:val="single" w:sz="4" w:space="0" w:color="auto"/>
            </w:tcBorders>
            <w:shd w:val="clear" w:color="auto" w:fill="C6D9F1" w:themeFill="text2" w:themeFillTint="33"/>
            <w:noWrap/>
            <w:vAlign w:val="center"/>
            <w:hideMark/>
          </w:tcPr>
          <w:p w14:paraId="00D91633" w14:textId="77777777" w:rsidR="004B1893" w:rsidRDefault="00863DF7" w:rsidP="004B1893">
            <w:pPr>
              <w:ind w:left="-89"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34" w14:textId="77777777" w:rsidR="004B1893" w:rsidRPr="00904166" w:rsidRDefault="004B1893" w:rsidP="004B1893">
            <w:pPr>
              <w:ind w:left="-89" w:right="-70"/>
              <w:jc w:val="center"/>
              <w:rPr>
                <w:rFonts w:ascii="Arial" w:hAnsi="Arial" w:cs="Arial"/>
                <w:b/>
                <w:bCs/>
                <w:sz w:val="16"/>
                <w:szCs w:val="16"/>
                <w:lang w:eastAsia="cs-CZ"/>
              </w:rPr>
            </w:pPr>
            <w:r w:rsidRPr="00904166">
              <w:rPr>
                <w:rFonts w:ascii="Arial" w:hAnsi="Arial" w:cs="Arial"/>
                <w:b/>
                <w:bCs/>
                <w:sz w:val="16"/>
                <w:szCs w:val="16"/>
                <w:lang w:eastAsia="cs-CZ"/>
              </w:rPr>
              <w:t>I</w:t>
            </w:r>
          </w:p>
        </w:tc>
        <w:tc>
          <w:tcPr>
            <w:tcW w:w="499"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35"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36"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II</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37"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38"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III</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39"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3A"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IV</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3B"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AC0F88">
              <w:rPr>
                <w:rFonts w:ascii="Arial" w:hAnsi="Arial" w:cs="Arial"/>
                <w:b/>
                <w:sz w:val="16"/>
                <w:szCs w:val="16"/>
              </w:rPr>
              <w:t>ást</w:t>
            </w:r>
            <w:r w:rsidR="004B1893" w:rsidRPr="00130A26">
              <w:rPr>
                <w:rFonts w:ascii="Arial" w:hAnsi="Arial" w:cs="Arial"/>
                <w:b/>
                <w:bCs/>
                <w:sz w:val="16"/>
                <w:szCs w:val="16"/>
                <w:lang w:eastAsia="cs-CZ"/>
              </w:rPr>
              <w:t xml:space="preserve"> </w:t>
            </w:r>
          </w:p>
          <w:p w14:paraId="00D9163C" w14:textId="77777777" w:rsidR="004B1893" w:rsidRPr="00130A26" w:rsidRDefault="004B1893" w:rsidP="004B1893">
            <w:pPr>
              <w:ind w:left="-70" w:right="-70"/>
              <w:jc w:val="center"/>
              <w:rPr>
                <w:rFonts w:ascii="Arial" w:hAnsi="Arial" w:cs="Arial"/>
                <w:b/>
                <w:bCs/>
                <w:sz w:val="16"/>
                <w:szCs w:val="16"/>
                <w:lang w:eastAsia="cs-CZ"/>
              </w:rPr>
            </w:pPr>
            <w:r w:rsidRPr="00130A26">
              <w:rPr>
                <w:rFonts w:ascii="Arial" w:hAnsi="Arial" w:cs="Arial"/>
                <w:b/>
                <w:bCs/>
                <w:sz w:val="16"/>
                <w:szCs w:val="16"/>
                <w:lang w:eastAsia="cs-CZ"/>
              </w:rPr>
              <w:t>V</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3D"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3E"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VI</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3F" w14:textId="77777777" w:rsidR="004B1893" w:rsidRPr="00904166"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ást VII</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40" w14:textId="77777777" w:rsidR="004B1893" w:rsidRPr="00904166"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ást VIII</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41"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42"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IX</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43"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44"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X</w:t>
            </w:r>
          </w:p>
        </w:tc>
        <w:tc>
          <w:tcPr>
            <w:tcW w:w="567"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45" w14:textId="77777777" w:rsidR="004B1893" w:rsidRDefault="00863DF7" w:rsidP="004B1893">
            <w:pPr>
              <w:ind w:left="-70" w:right="-70"/>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 xml:space="preserve">ást </w:t>
            </w:r>
          </w:p>
          <w:p w14:paraId="00D91646" w14:textId="77777777" w:rsidR="004B1893" w:rsidRPr="00904166" w:rsidRDefault="004B1893" w:rsidP="004B1893">
            <w:pPr>
              <w:ind w:left="-70" w:right="-70"/>
              <w:jc w:val="center"/>
              <w:rPr>
                <w:rFonts w:ascii="Arial" w:hAnsi="Arial" w:cs="Arial"/>
                <w:b/>
                <w:bCs/>
                <w:sz w:val="16"/>
                <w:szCs w:val="16"/>
                <w:lang w:eastAsia="cs-CZ"/>
              </w:rPr>
            </w:pPr>
            <w:r w:rsidRPr="00904166">
              <w:rPr>
                <w:rFonts w:ascii="Arial" w:hAnsi="Arial" w:cs="Arial"/>
                <w:b/>
                <w:bCs/>
                <w:sz w:val="16"/>
                <w:szCs w:val="16"/>
                <w:lang w:eastAsia="cs-CZ"/>
              </w:rPr>
              <w:t>XI</w:t>
            </w:r>
          </w:p>
        </w:tc>
        <w:tc>
          <w:tcPr>
            <w:tcW w:w="493" w:type="dxa"/>
            <w:tcBorders>
              <w:top w:val="single" w:sz="12" w:space="0" w:color="auto"/>
              <w:left w:val="nil"/>
              <w:bottom w:val="single" w:sz="12" w:space="0" w:color="auto"/>
              <w:right w:val="single" w:sz="4" w:space="0" w:color="auto"/>
            </w:tcBorders>
            <w:shd w:val="clear" w:color="auto" w:fill="C6D9F1" w:themeFill="text2" w:themeFillTint="33"/>
            <w:noWrap/>
            <w:vAlign w:val="center"/>
            <w:hideMark/>
          </w:tcPr>
          <w:p w14:paraId="00D91647" w14:textId="77777777" w:rsidR="004B1893" w:rsidRPr="00904166" w:rsidRDefault="00863DF7" w:rsidP="00260B0C">
            <w:pPr>
              <w:ind w:left="-68" w:right="-85"/>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ást XII</w:t>
            </w:r>
          </w:p>
        </w:tc>
        <w:tc>
          <w:tcPr>
            <w:tcW w:w="499" w:type="dxa"/>
            <w:tcBorders>
              <w:top w:val="single" w:sz="12" w:space="0" w:color="auto"/>
              <w:left w:val="nil"/>
              <w:bottom w:val="single" w:sz="12" w:space="0" w:color="auto"/>
              <w:right w:val="single" w:sz="12" w:space="0" w:color="auto"/>
            </w:tcBorders>
            <w:shd w:val="clear" w:color="auto" w:fill="C6D9F1" w:themeFill="text2" w:themeFillTint="33"/>
            <w:noWrap/>
            <w:vAlign w:val="center"/>
            <w:hideMark/>
          </w:tcPr>
          <w:p w14:paraId="00D91648" w14:textId="77777777" w:rsidR="004B1893" w:rsidRPr="00904166" w:rsidRDefault="00863DF7" w:rsidP="00260B0C">
            <w:pPr>
              <w:ind w:left="-68" w:right="-85"/>
              <w:jc w:val="center"/>
              <w:rPr>
                <w:rFonts w:ascii="Arial" w:hAnsi="Arial" w:cs="Arial"/>
                <w:b/>
                <w:bCs/>
                <w:sz w:val="16"/>
                <w:szCs w:val="16"/>
                <w:lang w:eastAsia="cs-CZ"/>
              </w:rPr>
            </w:pPr>
            <w:r>
              <w:rPr>
                <w:rFonts w:ascii="Arial" w:hAnsi="Arial" w:cs="Arial"/>
                <w:b/>
                <w:bCs/>
                <w:sz w:val="16"/>
                <w:szCs w:val="16"/>
                <w:lang w:eastAsia="cs-CZ"/>
              </w:rPr>
              <w:t>Č</w:t>
            </w:r>
            <w:r w:rsidR="004B1893" w:rsidRPr="00904166">
              <w:rPr>
                <w:rFonts w:ascii="Arial" w:hAnsi="Arial" w:cs="Arial"/>
                <w:b/>
                <w:bCs/>
                <w:sz w:val="16"/>
                <w:szCs w:val="16"/>
                <w:lang w:eastAsia="cs-CZ"/>
              </w:rPr>
              <w:t>ást XIII</w:t>
            </w:r>
          </w:p>
        </w:tc>
        <w:tc>
          <w:tcPr>
            <w:tcW w:w="493" w:type="dxa"/>
            <w:tcBorders>
              <w:top w:val="nil"/>
              <w:left w:val="single" w:sz="12" w:space="0" w:color="auto"/>
              <w:bottom w:val="nil"/>
              <w:right w:val="nil"/>
            </w:tcBorders>
            <w:shd w:val="clear" w:color="auto" w:fill="auto"/>
            <w:noWrap/>
            <w:vAlign w:val="bottom"/>
            <w:hideMark/>
          </w:tcPr>
          <w:p w14:paraId="00D91649" w14:textId="77777777" w:rsidR="004B1893" w:rsidRPr="00904166" w:rsidRDefault="004B1893" w:rsidP="004B1893">
            <w:pPr>
              <w:rPr>
                <w:rFonts w:ascii="Arial" w:hAnsi="Arial" w:cs="Arial"/>
                <w:color w:val="000000"/>
                <w:sz w:val="16"/>
                <w:szCs w:val="16"/>
                <w:lang w:eastAsia="cs-CZ"/>
              </w:rPr>
            </w:pPr>
          </w:p>
        </w:tc>
      </w:tr>
      <w:tr w:rsidR="004B1893" w:rsidRPr="00904166" w14:paraId="00D9165B" w14:textId="77777777" w:rsidTr="00E41529">
        <w:trPr>
          <w:trHeight w:val="642"/>
        </w:trPr>
        <w:tc>
          <w:tcPr>
            <w:tcW w:w="354" w:type="dxa"/>
            <w:vMerge w:val="restart"/>
            <w:tcBorders>
              <w:top w:val="single" w:sz="8" w:space="0" w:color="auto"/>
              <w:left w:val="single" w:sz="8" w:space="0" w:color="auto"/>
              <w:bottom w:val="single" w:sz="8" w:space="0" w:color="000000"/>
              <w:right w:val="single" w:sz="12" w:space="0" w:color="auto"/>
            </w:tcBorders>
            <w:shd w:val="clear" w:color="auto" w:fill="C6D9F1" w:themeFill="text2" w:themeFillTint="33"/>
            <w:noWrap/>
            <w:textDirection w:val="btLr"/>
            <w:vAlign w:val="center"/>
            <w:hideMark/>
          </w:tcPr>
          <w:p w14:paraId="00D9164B" w14:textId="77777777" w:rsidR="004B1893" w:rsidRPr="00904166" w:rsidRDefault="004B1893" w:rsidP="004B1893">
            <w:pPr>
              <w:jc w:val="center"/>
              <w:rPr>
                <w:rFonts w:ascii="Arial" w:hAnsi="Arial" w:cs="Arial"/>
                <w:b/>
                <w:bCs/>
                <w:color w:val="000000"/>
                <w:sz w:val="16"/>
                <w:szCs w:val="16"/>
                <w:lang w:eastAsia="cs-CZ"/>
              </w:rPr>
            </w:pPr>
            <w:r>
              <w:rPr>
                <w:rFonts w:ascii="Arial" w:hAnsi="Arial" w:cs="Arial"/>
                <w:b/>
                <w:bCs/>
                <w:color w:val="000000"/>
                <w:sz w:val="16"/>
                <w:szCs w:val="16"/>
                <w:lang w:eastAsia="cs-CZ"/>
              </w:rPr>
              <w:t xml:space="preserve">Údaj o </w:t>
            </w:r>
            <w:r w:rsidRPr="00904166">
              <w:rPr>
                <w:rFonts w:ascii="Arial" w:hAnsi="Arial" w:cs="Arial"/>
                <w:b/>
                <w:bCs/>
                <w:color w:val="000000"/>
                <w:sz w:val="16"/>
                <w:szCs w:val="16"/>
                <w:lang w:eastAsia="cs-CZ"/>
              </w:rPr>
              <w:t>…</w:t>
            </w:r>
          </w:p>
        </w:tc>
        <w:tc>
          <w:tcPr>
            <w:tcW w:w="1134" w:type="dxa"/>
            <w:tcBorders>
              <w:top w:val="single" w:sz="12" w:space="0" w:color="auto"/>
              <w:left w:val="single" w:sz="12" w:space="0" w:color="auto"/>
              <w:bottom w:val="single" w:sz="4" w:space="0" w:color="auto"/>
              <w:right w:val="single" w:sz="12" w:space="0" w:color="auto"/>
            </w:tcBorders>
            <w:shd w:val="clear" w:color="auto" w:fill="C6D9F1" w:themeFill="text2" w:themeFillTint="33"/>
            <w:vAlign w:val="center"/>
            <w:hideMark/>
          </w:tcPr>
          <w:p w14:paraId="00D9164C" w14:textId="77777777" w:rsidR="004B1893" w:rsidRPr="00904166" w:rsidRDefault="00863DF7" w:rsidP="00E41529">
            <w:pPr>
              <w:ind w:right="-70"/>
              <w:rPr>
                <w:rFonts w:ascii="Arial" w:hAnsi="Arial" w:cs="Arial"/>
                <w:color w:val="000000"/>
                <w:sz w:val="16"/>
                <w:szCs w:val="16"/>
                <w:lang w:eastAsia="cs-CZ"/>
              </w:rPr>
            </w:pPr>
            <w:r>
              <w:rPr>
                <w:rFonts w:ascii="Arial" w:hAnsi="Arial" w:cs="Arial"/>
                <w:color w:val="000000"/>
                <w:sz w:val="16"/>
                <w:szCs w:val="16"/>
                <w:lang w:eastAsia="cs-CZ"/>
              </w:rPr>
              <w:t>A</w:t>
            </w:r>
            <w:r w:rsidR="004B1893" w:rsidRPr="00904166">
              <w:rPr>
                <w:rFonts w:ascii="Arial" w:hAnsi="Arial" w:cs="Arial"/>
                <w:color w:val="000000"/>
                <w:sz w:val="16"/>
                <w:szCs w:val="16"/>
                <w:lang w:eastAsia="cs-CZ"/>
              </w:rPr>
              <w:t>nalytick</w:t>
            </w:r>
            <w:r w:rsidR="004B1893">
              <w:rPr>
                <w:rFonts w:ascii="Arial" w:hAnsi="Arial" w:cs="Arial"/>
                <w:color w:val="000000"/>
                <w:sz w:val="16"/>
                <w:szCs w:val="16"/>
                <w:lang w:eastAsia="cs-CZ"/>
              </w:rPr>
              <w:t>é</w:t>
            </w:r>
            <w:r w:rsidR="004B1893" w:rsidRPr="00904166">
              <w:rPr>
                <w:rFonts w:ascii="Arial" w:hAnsi="Arial" w:cs="Arial"/>
                <w:color w:val="000000"/>
                <w:sz w:val="16"/>
                <w:szCs w:val="16"/>
                <w:lang w:eastAsia="cs-CZ"/>
              </w:rPr>
              <w:t xml:space="preserve"> </w:t>
            </w:r>
            <w:r w:rsidR="004B1893">
              <w:rPr>
                <w:rFonts w:ascii="Arial" w:hAnsi="Arial" w:cs="Arial"/>
                <w:color w:val="000000"/>
                <w:sz w:val="16"/>
                <w:szCs w:val="16"/>
                <w:lang w:eastAsia="cs-CZ"/>
              </w:rPr>
              <w:t>členění</w:t>
            </w:r>
            <w:r w:rsidR="004B1893" w:rsidRPr="00904166">
              <w:rPr>
                <w:rFonts w:ascii="Arial" w:hAnsi="Arial" w:cs="Arial"/>
                <w:color w:val="000000"/>
                <w:sz w:val="16"/>
                <w:szCs w:val="16"/>
                <w:lang w:eastAsia="cs-CZ"/>
              </w:rPr>
              <w:t xml:space="preserve"> PAP</w:t>
            </w:r>
          </w:p>
        </w:tc>
        <w:tc>
          <w:tcPr>
            <w:tcW w:w="567"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00D9164D" w14:textId="77777777" w:rsidR="004B1893" w:rsidRPr="00904166" w:rsidRDefault="004B1893" w:rsidP="009B0B99">
            <w:pPr>
              <w:ind w:right="-70"/>
              <w:rPr>
                <w:rFonts w:ascii="Arial" w:hAnsi="Arial" w:cs="Arial"/>
                <w:color w:val="000000"/>
                <w:sz w:val="16"/>
                <w:szCs w:val="16"/>
                <w:lang w:eastAsia="cs-CZ"/>
              </w:rPr>
            </w:pPr>
            <w:r w:rsidRPr="00904166">
              <w:rPr>
                <w:rFonts w:ascii="Arial" w:hAnsi="Arial" w:cs="Arial"/>
                <w:color w:val="000000"/>
                <w:sz w:val="16"/>
                <w:szCs w:val="16"/>
                <w:lang w:eastAsia="cs-CZ"/>
              </w:rPr>
              <w:t>I, IV, V, VI, VII, VIII, IX, X, XII, XIII</w:t>
            </w:r>
          </w:p>
        </w:tc>
        <w:tc>
          <w:tcPr>
            <w:tcW w:w="499" w:type="dxa"/>
            <w:tcBorders>
              <w:top w:val="single" w:sz="12" w:space="0" w:color="auto"/>
              <w:left w:val="nil"/>
              <w:bottom w:val="single" w:sz="4" w:space="0" w:color="auto"/>
              <w:right w:val="single" w:sz="4" w:space="0" w:color="auto"/>
            </w:tcBorders>
            <w:shd w:val="clear" w:color="auto" w:fill="auto"/>
            <w:vAlign w:val="bottom"/>
            <w:hideMark/>
          </w:tcPr>
          <w:p w14:paraId="00D9164E"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II, XI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4F"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III, XI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0"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IV, XII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1"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 XII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2"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VI, XII, XIII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3"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VII, XII, XIII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4"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VIII, XII, XIII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5"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IX, XII</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6"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w:t>
            </w:r>
          </w:p>
        </w:tc>
        <w:tc>
          <w:tcPr>
            <w:tcW w:w="567" w:type="dxa"/>
            <w:tcBorders>
              <w:top w:val="single" w:sz="12" w:space="0" w:color="auto"/>
              <w:left w:val="nil"/>
              <w:bottom w:val="single" w:sz="4" w:space="0" w:color="auto"/>
              <w:right w:val="single" w:sz="4" w:space="0" w:color="auto"/>
            </w:tcBorders>
            <w:shd w:val="clear" w:color="auto" w:fill="auto"/>
            <w:vAlign w:val="bottom"/>
            <w:hideMark/>
          </w:tcPr>
          <w:p w14:paraId="00D91657"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w:t>
            </w:r>
          </w:p>
        </w:tc>
        <w:tc>
          <w:tcPr>
            <w:tcW w:w="493" w:type="dxa"/>
            <w:tcBorders>
              <w:top w:val="single" w:sz="12" w:space="0" w:color="auto"/>
              <w:left w:val="nil"/>
              <w:bottom w:val="single" w:sz="4" w:space="0" w:color="auto"/>
              <w:right w:val="single" w:sz="4" w:space="0" w:color="auto"/>
            </w:tcBorders>
            <w:shd w:val="clear" w:color="auto" w:fill="auto"/>
            <w:vAlign w:val="bottom"/>
            <w:hideMark/>
          </w:tcPr>
          <w:p w14:paraId="00D91658"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XII</w:t>
            </w:r>
          </w:p>
        </w:tc>
        <w:tc>
          <w:tcPr>
            <w:tcW w:w="499" w:type="dxa"/>
            <w:tcBorders>
              <w:top w:val="single" w:sz="12" w:space="0" w:color="auto"/>
              <w:left w:val="nil"/>
              <w:bottom w:val="single" w:sz="4" w:space="0" w:color="auto"/>
              <w:right w:val="single" w:sz="12" w:space="0" w:color="auto"/>
            </w:tcBorders>
            <w:shd w:val="clear" w:color="auto" w:fill="auto"/>
            <w:vAlign w:val="bottom"/>
            <w:hideMark/>
          </w:tcPr>
          <w:p w14:paraId="00D91659"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XIII</w:t>
            </w:r>
          </w:p>
        </w:tc>
        <w:tc>
          <w:tcPr>
            <w:tcW w:w="493" w:type="dxa"/>
            <w:vMerge w:val="restart"/>
            <w:tcBorders>
              <w:top w:val="single" w:sz="8" w:space="0" w:color="auto"/>
              <w:left w:val="single" w:sz="12" w:space="0" w:color="auto"/>
              <w:bottom w:val="single" w:sz="8" w:space="0" w:color="000000"/>
              <w:right w:val="single" w:sz="8" w:space="0" w:color="auto"/>
            </w:tcBorders>
            <w:shd w:val="clear" w:color="auto" w:fill="auto"/>
            <w:textDirection w:val="btLr"/>
            <w:vAlign w:val="center"/>
            <w:hideMark/>
          </w:tcPr>
          <w:p w14:paraId="00D9165A" w14:textId="77777777" w:rsidR="004B1893" w:rsidRPr="00904166" w:rsidRDefault="004B1893" w:rsidP="004B1893">
            <w:pPr>
              <w:jc w:val="center"/>
              <w:rPr>
                <w:rFonts w:ascii="Arial" w:hAnsi="Arial" w:cs="Arial"/>
                <w:b/>
                <w:bCs/>
                <w:color w:val="000000"/>
                <w:sz w:val="16"/>
                <w:szCs w:val="16"/>
                <w:lang w:eastAsia="cs-CZ"/>
              </w:rPr>
            </w:pPr>
            <w:r w:rsidRPr="00904166">
              <w:rPr>
                <w:rFonts w:ascii="Arial" w:hAnsi="Arial" w:cs="Arial"/>
                <w:b/>
                <w:bCs/>
                <w:color w:val="000000"/>
                <w:sz w:val="16"/>
                <w:szCs w:val="16"/>
                <w:lang w:eastAsia="cs-CZ"/>
              </w:rPr>
              <w:t>v části … PAP.</w:t>
            </w:r>
          </w:p>
        </w:tc>
      </w:tr>
      <w:tr w:rsidR="004B1893" w:rsidRPr="00904166" w14:paraId="00D9166C" w14:textId="77777777" w:rsidTr="00E41529">
        <w:trPr>
          <w:trHeight w:val="528"/>
        </w:trPr>
        <w:tc>
          <w:tcPr>
            <w:tcW w:w="354" w:type="dxa"/>
            <w:vMerge/>
            <w:tcBorders>
              <w:top w:val="single" w:sz="8" w:space="0" w:color="auto"/>
              <w:left w:val="single" w:sz="8" w:space="0" w:color="auto"/>
              <w:bottom w:val="single" w:sz="8" w:space="0" w:color="000000"/>
              <w:right w:val="single" w:sz="12" w:space="0" w:color="auto"/>
            </w:tcBorders>
            <w:shd w:val="clear" w:color="auto" w:fill="C6D9F1" w:themeFill="text2" w:themeFillTint="33"/>
            <w:vAlign w:val="center"/>
            <w:hideMark/>
          </w:tcPr>
          <w:p w14:paraId="00D9165C" w14:textId="77777777" w:rsidR="004B1893" w:rsidRPr="00904166" w:rsidRDefault="004B1893" w:rsidP="004B1893">
            <w:pPr>
              <w:rPr>
                <w:rFonts w:ascii="Arial" w:hAnsi="Arial" w:cs="Arial"/>
                <w:b/>
                <w:bCs/>
                <w:color w:val="000000"/>
                <w:sz w:val="16"/>
                <w:szCs w:val="16"/>
                <w:lang w:eastAsia="cs-CZ"/>
              </w:rPr>
            </w:pPr>
          </w:p>
        </w:tc>
        <w:tc>
          <w:tcPr>
            <w:tcW w:w="1134" w:type="dxa"/>
            <w:tcBorders>
              <w:top w:val="nil"/>
              <w:left w:val="single" w:sz="12" w:space="0" w:color="auto"/>
              <w:bottom w:val="single" w:sz="4" w:space="0" w:color="auto"/>
              <w:right w:val="single" w:sz="12" w:space="0" w:color="auto"/>
            </w:tcBorders>
            <w:shd w:val="clear" w:color="auto" w:fill="C6D9F1" w:themeFill="text2" w:themeFillTint="33"/>
            <w:vAlign w:val="center"/>
            <w:hideMark/>
          </w:tcPr>
          <w:p w14:paraId="00D9165D" w14:textId="77777777" w:rsidR="004B1893" w:rsidRPr="00904166" w:rsidRDefault="00863DF7" w:rsidP="00E41529">
            <w:pPr>
              <w:rPr>
                <w:rFonts w:ascii="Arial" w:hAnsi="Arial" w:cs="Arial"/>
                <w:color w:val="000000"/>
                <w:sz w:val="16"/>
                <w:szCs w:val="16"/>
                <w:lang w:eastAsia="cs-CZ"/>
              </w:rPr>
            </w:pPr>
            <w:r>
              <w:rPr>
                <w:rFonts w:ascii="Arial" w:hAnsi="Arial" w:cs="Arial"/>
                <w:color w:val="000000"/>
                <w:sz w:val="16"/>
                <w:szCs w:val="16"/>
                <w:lang w:eastAsia="cs-CZ"/>
              </w:rPr>
              <w:t>T</w:t>
            </w:r>
            <w:r w:rsidR="004B1893" w:rsidRPr="00904166">
              <w:rPr>
                <w:rFonts w:ascii="Arial" w:hAnsi="Arial" w:cs="Arial"/>
                <w:color w:val="000000"/>
                <w:sz w:val="16"/>
                <w:szCs w:val="16"/>
                <w:lang w:eastAsia="cs-CZ"/>
              </w:rPr>
              <w:t>yp změny</w:t>
            </w:r>
          </w:p>
        </w:tc>
        <w:tc>
          <w:tcPr>
            <w:tcW w:w="567" w:type="dxa"/>
            <w:tcBorders>
              <w:top w:val="nil"/>
              <w:left w:val="single" w:sz="12" w:space="0" w:color="auto"/>
              <w:bottom w:val="single" w:sz="4" w:space="0" w:color="auto"/>
              <w:right w:val="single" w:sz="4" w:space="0" w:color="auto"/>
            </w:tcBorders>
            <w:shd w:val="clear" w:color="auto" w:fill="auto"/>
            <w:vAlign w:val="bottom"/>
            <w:hideMark/>
          </w:tcPr>
          <w:p w14:paraId="00D9165E"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9" w:type="dxa"/>
            <w:tcBorders>
              <w:top w:val="nil"/>
              <w:left w:val="nil"/>
              <w:bottom w:val="single" w:sz="4" w:space="0" w:color="auto"/>
              <w:right w:val="single" w:sz="4" w:space="0" w:color="auto"/>
            </w:tcBorders>
            <w:shd w:val="clear" w:color="auto" w:fill="auto"/>
            <w:vAlign w:val="bottom"/>
            <w:hideMark/>
          </w:tcPr>
          <w:p w14:paraId="00D9165F"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60"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61"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IV, XII</w:t>
            </w:r>
          </w:p>
        </w:tc>
        <w:tc>
          <w:tcPr>
            <w:tcW w:w="567" w:type="dxa"/>
            <w:tcBorders>
              <w:top w:val="nil"/>
              <w:left w:val="nil"/>
              <w:bottom w:val="single" w:sz="4" w:space="0" w:color="auto"/>
              <w:right w:val="single" w:sz="4" w:space="0" w:color="auto"/>
            </w:tcBorders>
            <w:shd w:val="clear" w:color="auto" w:fill="auto"/>
            <w:vAlign w:val="bottom"/>
            <w:hideMark/>
          </w:tcPr>
          <w:p w14:paraId="00D91662"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 XII</w:t>
            </w:r>
          </w:p>
        </w:tc>
        <w:tc>
          <w:tcPr>
            <w:tcW w:w="567" w:type="dxa"/>
            <w:tcBorders>
              <w:top w:val="nil"/>
              <w:left w:val="nil"/>
              <w:bottom w:val="single" w:sz="4" w:space="0" w:color="auto"/>
              <w:right w:val="single" w:sz="4" w:space="0" w:color="auto"/>
            </w:tcBorders>
            <w:shd w:val="clear" w:color="auto" w:fill="auto"/>
            <w:vAlign w:val="bottom"/>
            <w:hideMark/>
          </w:tcPr>
          <w:p w14:paraId="00D91663"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VI, XII, XIII</w:t>
            </w:r>
          </w:p>
        </w:tc>
        <w:tc>
          <w:tcPr>
            <w:tcW w:w="567" w:type="dxa"/>
            <w:tcBorders>
              <w:top w:val="nil"/>
              <w:left w:val="nil"/>
              <w:bottom w:val="single" w:sz="4" w:space="0" w:color="auto"/>
              <w:right w:val="single" w:sz="4" w:space="0" w:color="auto"/>
            </w:tcBorders>
            <w:shd w:val="clear" w:color="auto" w:fill="auto"/>
            <w:vAlign w:val="bottom"/>
            <w:hideMark/>
          </w:tcPr>
          <w:p w14:paraId="00D91664"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VII, XII, XIII</w:t>
            </w:r>
          </w:p>
        </w:tc>
        <w:tc>
          <w:tcPr>
            <w:tcW w:w="567" w:type="dxa"/>
            <w:tcBorders>
              <w:top w:val="nil"/>
              <w:left w:val="nil"/>
              <w:bottom w:val="single" w:sz="4" w:space="0" w:color="auto"/>
              <w:right w:val="single" w:sz="4" w:space="0" w:color="auto"/>
            </w:tcBorders>
            <w:shd w:val="clear" w:color="auto" w:fill="auto"/>
            <w:vAlign w:val="bottom"/>
            <w:hideMark/>
          </w:tcPr>
          <w:p w14:paraId="00D91665"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VIII, XII, XIII</w:t>
            </w:r>
          </w:p>
        </w:tc>
        <w:tc>
          <w:tcPr>
            <w:tcW w:w="567" w:type="dxa"/>
            <w:tcBorders>
              <w:top w:val="nil"/>
              <w:left w:val="nil"/>
              <w:bottom w:val="single" w:sz="4" w:space="0" w:color="auto"/>
              <w:right w:val="single" w:sz="4" w:space="0" w:color="auto"/>
            </w:tcBorders>
            <w:shd w:val="clear" w:color="auto" w:fill="auto"/>
            <w:vAlign w:val="bottom"/>
            <w:hideMark/>
          </w:tcPr>
          <w:p w14:paraId="00D91666"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IX, XII</w:t>
            </w:r>
          </w:p>
        </w:tc>
        <w:tc>
          <w:tcPr>
            <w:tcW w:w="567" w:type="dxa"/>
            <w:tcBorders>
              <w:top w:val="nil"/>
              <w:left w:val="nil"/>
              <w:bottom w:val="single" w:sz="4" w:space="0" w:color="auto"/>
              <w:right w:val="single" w:sz="4" w:space="0" w:color="auto"/>
            </w:tcBorders>
            <w:shd w:val="clear" w:color="auto" w:fill="auto"/>
            <w:vAlign w:val="bottom"/>
            <w:hideMark/>
          </w:tcPr>
          <w:p w14:paraId="00D91667"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68"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3" w:type="dxa"/>
            <w:tcBorders>
              <w:top w:val="nil"/>
              <w:left w:val="nil"/>
              <w:bottom w:val="single" w:sz="4" w:space="0" w:color="auto"/>
              <w:right w:val="single" w:sz="4" w:space="0" w:color="auto"/>
            </w:tcBorders>
            <w:shd w:val="clear" w:color="auto" w:fill="auto"/>
            <w:vAlign w:val="bottom"/>
            <w:hideMark/>
          </w:tcPr>
          <w:p w14:paraId="00D91669"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XII</w:t>
            </w:r>
          </w:p>
        </w:tc>
        <w:tc>
          <w:tcPr>
            <w:tcW w:w="499" w:type="dxa"/>
            <w:tcBorders>
              <w:top w:val="nil"/>
              <w:left w:val="nil"/>
              <w:bottom w:val="single" w:sz="4" w:space="0" w:color="auto"/>
              <w:right w:val="single" w:sz="12" w:space="0" w:color="auto"/>
            </w:tcBorders>
            <w:shd w:val="clear" w:color="auto" w:fill="auto"/>
            <w:vAlign w:val="bottom"/>
            <w:hideMark/>
          </w:tcPr>
          <w:p w14:paraId="00D9166A"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XIII</w:t>
            </w:r>
          </w:p>
        </w:tc>
        <w:tc>
          <w:tcPr>
            <w:tcW w:w="493" w:type="dxa"/>
            <w:vMerge/>
            <w:tcBorders>
              <w:top w:val="single" w:sz="8" w:space="0" w:color="auto"/>
              <w:left w:val="single" w:sz="12" w:space="0" w:color="auto"/>
              <w:bottom w:val="single" w:sz="8" w:space="0" w:color="000000"/>
              <w:right w:val="single" w:sz="8" w:space="0" w:color="auto"/>
            </w:tcBorders>
            <w:vAlign w:val="center"/>
            <w:hideMark/>
          </w:tcPr>
          <w:p w14:paraId="00D9166B" w14:textId="77777777" w:rsidR="004B1893" w:rsidRPr="00904166" w:rsidRDefault="004B1893" w:rsidP="004B1893">
            <w:pPr>
              <w:rPr>
                <w:rFonts w:ascii="Arial" w:hAnsi="Arial" w:cs="Arial"/>
                <w:b/>
                <w:bCs/>
                <w:color w:val="000000"/>
                <w:sz w:val="16"/>
                <w:szCs w:val="16"/>
                <w:lang w:eastAsia="cs-CZ"/>
              </w:rPr>
            </w:pPr>
          </w:p>
        </w:tc>
      </w:tr>
      <w:tr w:rsidR="004B1893" w:rsidRPr="00904166" w14:paraId="00D9167D" w14:textId="77777777" w:rsidTr="00E41529">
        <w:trPr>
          <w:trHeight w:val="528"/>
        </w:trPr>
        <w:tc>
          <w:tcPr>
            <w:tcW w:w="354" w:type="dxa"/>
            <w:vMerge/>
            <w:tcBorders>
              <w:top w:val="single" w:sz="8" w:space="0" w:color="auto"/>
              <w:left w:val="single" w:sz="8" w:space="0" w:color="auto"/>
              <w:bottom w:val="single" w:sz="8" w:space="0" w:color="000000"/>
              <w:right w:val="single" w:sz="12" w:space="0" w:color="auto"/>
            </w:tcBorders>
            <w:shd w:val="clear" w:color="auto" w:fill="C6D9F1" w:themeFill="text2" w:themeFillTint="33"/>
            <w:vAlign w:val="center"/>
            <w:hideMark/>
          </w:tcPr>
          <w:p w14:paraId="00D9166D" w14:textId="77777777" w:rsidR="004B1893" w:rsidRPr="00904166" w:rsidRDefault="004B1893" w:rsidP="004B1893">
            <w:pPr>
              <w:rPr>
                <w:rFonts w:ascii="Arial" w:hAnsi="Arial" w:cs="Arial"/>
                <w:b/>
                <w:bCs/>
                <w:color w:val="000000"/>
                <w:sz w:val="16"/>
                <w:szCs w:val="16"/>
                <w:lang w:eastAsia="cs-CZ"/>
              </w:rPr>
            </w:pPr>
          </w:p>
        </w:tc>
        <w:tc>
          <w:tcPr>
            <w:tcW w:w="1134" w:type="dxa"/>
            <w:tcBorders>
              <w:top w:val="nil"/>
              <w:left w:val="single" w:sz="12" w:space="0" w:color="auto"/>
              <w:bottom w:val="single" w:sz="4" w:space="0" w:color="auto"/>
              <w:right w:val="single" w:sz="12" w:space="0" w:color="auto"/>
            </w:tcBorders>
            <w:shd w:val="clear" w:color="auto" w:fill="C6D9F1" w:themeFill="text2" w:themeFillTint="33"/>
            <w:vAlign w:val="center"/>
            <w:hideMark/>
          </w:tcPr>
          <w:p w14:paraId="00D9166E" w14:textId="77777777" w:rsidR="004B1893" w:rsidRPr="00904166" w:rsidRDefault="00863DF7" w:rsidP="00E41529">
            <w:pPr>
              <w:ind w:right="-138"/>
              <w:rPr>
                <w:rFonts w:ascii="Arial" w:hAnsi="Arial" w:cs="Arial"/>
                <w:color w:val="000000"/>
                <w:sz w:val="16"/>
                <w:szCs w:val="16"/>
                <w:lang w:eastAsia="cs-CZ"/>
              </w:rPr>
            </w:pPr>
            <w:r>
              <w:rPr>
                <w:rFonts w:ascii="Arial" w:hAnsi="Arial" w:cs="Arial"/>
                <w:color w:val="000000"/>
                <w:sz w:val="16"/>
                <w:szCs w:val="16"/>
                <w:lang w:eastAsia="cs-CZ"/>
              </w:rPr>
              <w:t>P</w:t>
            </w:r>
            <w:r w:rsidR="004B1893" w:rsidRPr="00904166">
              <w:rPr>
                <w:rFonts w:ascii="Arial" w:hAnsi="Arial" w:cs="Arial"/>
                <w:color w:val="000000"/>
                <w:sz w:val="16"/>
                <w:szCs w:val="16"/>
                <w:lang w:eastAsia="cs-CZ"/>
              </w:rPr>
              <w:t>artner aktiva/pasiva</w:t>
            </w:r>
          </w:p>
        </w:tc>
        <w:tc>
          <w:tcPr>
            <w:tcW w:w="567" w:type="dxa"/>
            <w:tcBorders>
              <w:top w:val="nil"/>
              <w:left w:val="single" w:sz="12" w:space="0" w:color="auto"/>
              <w:bottom w:val="single" w:sz="4" w:space="0" w:color="auto"/>
              <w:right w:val="single" w:sz="4" w:space="0" w:color="auto"/>
            </w:tcBorders>
            <w:shd w:val="clear" w:color="auto" w:fill="auto"/>
            <w:vAlign w:val="bottom"/>
            <w:hideMark/>
          </w:tcPr>
          <w:p w14:paraId="00D9166F"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9" w:type="dxa"/>
            <w:tcBorders>
              <w:top w:val="nil"/>
              <w:left w:val="nil"/>
              <w:bottom w:val="single" w:sz="4" w:space="0" w:color="auto"/>
              <w:right w:val="single" w:sz="4" w:space="0" w:color="auto"/>
            </w:tcBorders>
            <w:shd w:val="clear" w:color="auto" w:fill="auto"/>
            <w:vAlign w:val="bottom"/>
            <w:hideMark/>
          </w:tcPr>
          <w:p w14:paraId="00D91670"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1"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2"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3"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4"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5"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6"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7"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4" w:space="0" w:color="auto"/>
              <w:right w:val="single" w:sz="4" w:space="0" w:color="auto"/>
            </w:tcBorders>
            <w:shd w:val="clear" w:color="auto" w:fill="auto"/>
            <w:vAlign w:val="bottom"/>
            <w:hideMark/>
          </w:tcPr>
          <w:p w14:paraId="00D91678"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w:t>
            </w:r>
          </w:p>
        </w:tc>
        <w:tc>
          <w:tcPr>
            <w:tcW w:w="567" w:type="dxa"/>
            <w:tcBorders>
              <w:top w:val="nil"/>
              <w:left w:val="nil"/>
              <w:bottom w:val="single" w:sz="4" w:space="0" w:color="auto"/>
              <w:right w:val="single" w:sz="4" w:space="0" w:color="auto"/>
            </w:tcBorders>
            <w:shd w:val="clear" w:color="auto" w:fill="auto"/>
            <w:vAlign w:val="bottom"/>
            <w:hideMark/>
          </w:tcPr>
          <w:p w14:paraId="00D91679"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3" w:type="dxa"/>
            <w:tcBorders>
              <w:top w:val="nil"/>
              <w:left w:val="nil"/>
              <w:bottom w:val="single" w:sz="4" w:space="0" w:color="auto"/>
              <w:right w:val="single" w:sz="4" w:space="0" w:color="auto"/>
            </w:tcBorders>
            <w:shd w:val="clear" w:color="auto" w:fill="auto"/>
            <w:vAlign w:val="bottom"/>
            <w:hideMark/>
          </w:tcPr>
          <w:p w14:paraId="00D9167A"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9" w:type="dxa"/>
            <w:tcBorders>
              <w:top w:val="nil"/>
              <w:left w:val="nil"/>
              <w:bottom w:val="single" w:sz="4" w:space="0" w:color="auto"/>
              <w:right w:val="single" w:sz="12" w:space="0" w:color="auto"/>
            </w:tcBorders>
            <w:shd w:val="clear" w:color="auto" w:fill="auto"/>
            <w:vAlign w:val="bottom"/>
            <w:hideMark/>
          </w:tcPr>
          <w:p w14:paraId="00D9167B"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XIII</w:t>
            </w:r>
          </w:p>
        </w:tc>
        <w:tc>
          <w:tcPr>
            <w:tcW w:w="493" w:type="dxa"/>
            <w:vMerge/>
            <w:tcBorders>
              <w:top w:val="single" w:sz="8" w:space="0" w:color="auto"/>
              <w:left w:val="single" w:sz="12" w:space="0" w:color="auto"/>
              <w:bottom w:val="single" w:sz="8" w:space="0" w:color="000000"/>
              <w:right w:val="single" w:sz="8" w:space="0" w:color="auto"/>
            </w:tcBorders>
            <w:vAlign w:val="center"/>
            <w:hideMark/>
          </w:tcPr>
          <w:p w14:paraId="00D9167C" w14:textId="77777777" w:rsidR="004B1893" w:rsidRPr="00904166" w:rsidRDefault="004B1893" w:rsidP="004B1893">
            <w:pPr>
              <w:rPr>
                <w:rFonts w:ascii="Arial" w:hAnsi="Arial" w:cs="Arial"/>
                <w:b/>
                <w:bCs/>
                <w:color w:val="000000"/>
                <w:sz w:val="16"/>
                <w:szCs w:val="16"/>
                <w:lang w:eastAsia="cs-CZ"/>
              </w:rPr>
            </w:pPr>
          </w:p>
        </w:tc>
      </w:tr>
      <w:tr w:rsidR="004B1893" w:rsidRPr="00904166" w14:paraId="00D9168E" w14:textId="77777777" w:rsidTr="00E41529">
        <w:trPr>
          <w:trHeight w:val="540"/>
        </w:trPr>
        <w:tc>
          <w:tcPr>
            <w:tcW w:w="354" w:type="dxa"/>
            <w:vMerge/>
            <w:tcBorders>
              <w:top w:val="single" w:sz="8" w:space="0" w:color="auto"/>
              <w:left w:val="single" w:sz="8" w:space="0" w:color="auto"/>
              <w:bottom w:val="single" w:sz="8" w:space="0" w:color="000000"/>
              <w:right w:val="single" w:sz="12" w:space="0" w:color="auto"/>
            </w:tcBorders>
            <w:shd w:val="clear" w:color="auto" w:fill="C6D9F1" w:themeFill="text2" w:themeFillTint="33"/>
            <w:vAlign w:val="center"/>
            <w:hideMark/>
          </w:tcPr>
          <w:p w14:paraId="00D9167E" w14:textId="77777777" w:rsidR="004B1893" w:rsidRPr="00904166" w:rsidRDefault="004B1893" w:rsidP="004B1893">
            <w:pPr>
              <w:rPr>
                <w:rFonts w:ascii="Arial" w:hAnsi="Arial" w:cs="Arial"/>
                <w:b/>
                <w:bCs/>
                <w:color w:val="000000"/>
                <w:sz w:val="16"/>
                <w:szCs w:val="16"/>
                <w:lang w:eastAsia="cs-CZ"/>
              </w:rPr>
            </w:pPr>
          </w:p>
        </w:tc>
        <w:tc>
          <w:tcPr>
            <w:tcW w:w="1134" w:type="dxa"/>
            <w:tcBorders>
              <w:top w:val="nil"/>
              <w:left w:val="single" w:sz="12" w:space="0" w:color="auto"/>
              <w:bottom w:val="single" w:sz="12" w:space="0" w:color="auto"/>
              <w:right w:val="single" w:sz="12" w:space="0" w:color="auto"/>
            </w:tcBorders>
            <w:shd w:val="clear" w:color="auto" w:fill="C6D9F1" w:themeFill="text2" w:themeFillTint="33"/>
            <w:vAlign w:val="center"/>
            <w:hideMark/>
          </w:tcPr>
          <w:p w14:paraId="00D9167F" w14:textId="77777777" w:rsidR="004B1893" w:rsidRPr="00904166" w:rsidRDefault="00863DF7" w:rsidP="00E41529">
            <w:pPr>
              <w:ind w:right="-138"/>
              <w:rPr>
                <w:rFonts w:ascii="Arial" w:hAnsi="Arial" w:cs="Arial"/>
                <w:color w:val="000000"/>
                <w:sz w:val="16"/>
                <w:szCs w:val="16"/>
                <w:lang w:eastAsia="cs-CZ"/>
              </w:rPr>
            </w:pPr>
            <w:r>
              <w:rPr>
                <w:rFonts w:ascii="Arial" w:hAnsi="Arial" w:cs="Arial"/>
                <w:color w:val="000000"/>
                <w:sz w:val="16"/>
                <w:szCs w:val="16"/>
                <w:lang w:eastAsia="cs-CZ"/>
              </w:rPr>
              <w:t>P</w:t>
            </w:r>
            <w:r w:rsidR="004B1893" w:rsidRPr="00904166">
              <w:rPr>
                <w:rFonts w:ascii="Arial" w:hAnsi="Arial" w:cs="Arial"/>
                <w:color w:val="000000"/>
                <w:sz w:val="16"/>
                <w:szCs w:val="16"/>
                <w:lang w:eastAsia="cs-CZ"/>
              </w:rPr>
              <w:t>artner transakce</w:t>
            </w:r>
          </w:p>
        </w:tc>
        <w:tc>
          <w:tcPr>
            <w:tcW w:w="567" w:type="dxa"/>
            <w:tcBorders>
              <w:top w:val="nil"/>
              <w:left w:val="single" w:sz="12" w:space="0" w:color="auto"/>
              <w:bottom w:val="single" w:sz="12" w:space="0" w:color="auto"/>
              <w:right w:val="single" w:sz="4" w:space="0" w:color="auto"/>
            </w:tcBorders>
            <w:shd w:val="clear" w:color="auto" w:fill="auto"/>
            <w:vAlign w:val="bottom"/>
            <w:hideMark/>
          </w:tcPr>
          <w:p w14:paraId="00D91680"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9" w:type="dxa"/>
            <w:tcBorders>
              <w:top w:val="nil"/>
              <w:left w:val="nil"/>
              <w:bottom w:val="single" w:sz="12" w:space="0" w:color="auto"/>
              <w:right w:val="single" w:sz="4" w:space="0" w:color="auto"/>
            </w:tcBorders>
            <w:shd w:val="clear" w:color="auto" w:fill="auto"/>
            <w:vAlign w:val="bottom"/>
            <w:hideMark/>
          </w:tcPr>
          <w:p w14:paraId="00D91681"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2"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3"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4"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5"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6"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7"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8"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9"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567" w:type="dxa"/>
            <w:tcBorders>
              <w:top w:val="nil"/>
              <w:left w:val="nil"/>
              <w:bottom w:val="single" w:sz="12" w:space="0" w:color="auto"/>
              <w:right w:val="single" w:sz="4" w:space="0" w:color="auto"/>
            </w:tcBorders>
            <w:shd w:val="clear" w:color="auto" w:fill="auto"/>
            <w:vAlign w:val="bottom"/>
            <w:hideMark/>
          </w:tcPr>
          <w:p w14:paraId="00D9168A"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w:t>
            </w:r>
          </w:p>
        </w:tc>
        <w:tc>
          <w:tcPr>
            <w:tcW w:w="493" w:type="dxa"/>
            <w:tcBorders>
              <w:top w:val="nil"/>
              <w:left w:val="nil"/>
              <w:bottom w:val="single" w:sz="12" w:space="0" w:color="auto"/>
              <w:right w:val="single" w:sz="4" w:space="0" w:color="auto"/>
            </w:tcBorders>
            <w:shd w:val="clear" w:color="auto" w:fill="auto"/>
            <w:vAlign w:val="bottom"/>
            <w:hideMark/>
          </w:tcPr>
          <w:p w14:paraId="00D9168B"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XII</w:t>
            </w:r>
          </w:p>
        </w:tc>
        <w:tc>
          <w:tcPr>
            <w:tcW w:w="499" w:type="dxa"/>
            <w:tcBorders>
              <w:top w:val="nil"/>
              <w:left w:val="nil"/>
              <w:bottom w:val="single" w:sz="12" w:space="0" w:color="auto"/>
              <w:right w:val="single" w:sz="12" w:space="0" w:color="auto"/>
            </w:tcBorders>
            <w:shd w:val="clear" w:color="auto" w:fill="auto"/>
            <w:vAlign w:val="bottom"/>
            <w:hideMark/>
          </w:tcPr>
          <w:p w14:paraId="00D9168C" w14:textId="77777777" w:rsidR="004B1893" w:rsidRPr="00904166" w:rsidRDefault="004B1893" w:rsidP="004B1893">
            <w:pPr>
              <w:rPr>
                <w:rFonts w:ascii="Arial" w:hAnsi="Arial" w:cs="Arial"/>
                <w:color w:val="000000"/>
                <w:sz w:val="16"/>
                <w:szCs w:val="16"/>
                <w:lang w:eastAsia="cs-CZ"/>
              </w:rPr>
            </w:pPr>
            <w:r w:rsidRPr="00904166">
              <w:rPr>
                <w:rFonts w:ascii="Arial" w:hAnsi="Arial" w:cs="Arial"/>
                <w:color w:val="000000"/>
                <w:sz w:val="16"/>
                <w:szCs w:val="16"/>
                <w:lang w:eastAsia="cs-CZ"/>
              </w:rPr>
              <w:t> </w:t>
            </w:r>
          </w:p>
        </w:tc>
        <w:tc>
          <w:tcPr>
            <w:tcW w:w="493" w:type="dxa"/>
            <w:vMerge/>
            <w:tcBorders>
              <w:top w:val="single" w:sz="8" w:space="0" w:color="auto"/>
              <w:left w:val="single" w:sz="12" w:space="0" w:color="auto"/>
              <w:bottom w:val="single" w:sz="8" w:space="0" w:color="000000"/>
              <w:right w:val="single" w:sz="8" w:space="0" w:color="auto"/>
            </w:tcBorders>
            <w:vAlign w:val="center"/>
            <w:hideMark/>
          </w:tcPr>
          <w:p w14:paraId="00D9168D" w14:textId="77777777" w:rsidR="004B1893" w:rsidRPr="00904166" w:rsidRDefault="004B1893" w:rsidP="004B1893">
            <w:pPr>
              <w:rPr>
                <w:rFonts w:ascii="Arial" w:hAnsi="Arial" w:cs="Arial"/>
                <w:b/>
                <w:bCs/>
                <w:color w:val="000000"/>
                <w:sz w:val="16"/>
                <w:szCs w:val="16"/>
                <w:lang w:eastAsia="cs-CZ"/>
              </w:rPr>
            </w:pPr>
          </w:p>
        </w:tc>
      </w:tr>
    </w:tbl>
    <w:p w14:paraId="00D9168F" w14:textId="77777777" w:rsidR="004B1893" w:rsidRDefault="004B1893" w:rsidP="009B0B99">
      <w:pPr>
        <w:spacing w:before="20"/>
        <w:jc w:val="both"/>
        <w:rPr>
          <w:rFonts w:ascii="Arial" w:hAnsi="Arial" w:cs="Arial"/>
          <w:sz w:val="18"/>
          <w:szCs w:val="18"/>
        </w:rPr>
      </w:pPr>
      <w:r w:rsidRPr="00260B0C">
        <w:rPr>
          <w:rFonts w:ascii="Arial" w:hAnsi="Arial" w:cs="Arial"/>
          <w:b/>
          <w:sz w:val="18"/>
          <w:szCs w:val="18"/>
        </w:rPr>
        <w:t>Zdroj:</w:t>
      </w:r>
      <w:r w:rsidRPr="009B3F82">
        <w:rPr>
          <w:rFonts w:ascii="Arial" w:hAnsi="Arial" w:cs="Arial"/>
          <w:sz w:val="18"/>
          <w:szCs w:val="18"/>
        </w:rPr>
        <w:t xml:space="preserve"> </w:t>
      </w:r>
      <w:r>
        <w:rPr>
          <w:rFonts w:ascii="Arial" w:hAnsi="Arial" w:cs="Arial"/>
          <w:sz w:val="18"/>
          <w:szCs w:val="18"/>
        </w:rPr>
        <w:t>zpracováno na základě</w:t>
      </w:r>
      <w:r w:rsidRPr="009B3F82">
        <w:rPr>
          <w:rFonts w:ascii="Arial" w:hAnsi="Arial" w:cs="Arial"/>
          <w:sz w:val="18"/>
          <w:szCs w:val="18"/>
        </w:rPr>
        <w:t xml:space="preserve"> přílohy č. 2a vyhlášky č. 383/2009 Sb.</w:t>
      </w:r>
    </w:p>
    <w:p w14:paraId="00D91690" w14:textId="77777777" w:rsidR="004B1893" w:rsidRDefault="004B1893" w:rsidP="00245C09">
      <w:pPr>
        <w:jc w:val="both"/>
        <w:rPr>
          <w:rFonts w:ascii="Arial" w:hAnsi="Arial" w:cs="Arial"/>
          <w:b/>
          <w:bCs/>
          <w:iCs/>
          <w:sz w:val="22"/>
          <w:szCs w:val="22"/>
        </w:rPr>
      </w:pPr>
    </w:p>
    <w:p w14:paraId="00D91691" w14:textId="77777777" w:rsidR="00245C09" w:rsidRDefault="00E00DF2" w:rsidP="00245C09">
      <w:pPr>
        <w:jc w:val="both"/>
        <w:rPr>
          <w:rFonts w:ascii="Arial" w:hAnsi="Arial" w:cs="Arial"/>
          <w:bCs/>
          <w:iCs/>
          <w:sz w:val="22"/>
          <w:szCs w:val="22"/>
        </w:rPr>
      </w:pPr>
      <w:r w:rsidRPr="00AB1A64">
        <w:rPr>
          <w:rFonts w:ascii="Arial" w:hAnsi="Arial" w:cs="Arial"/>
          <w:b/>
          <w:bCs/>
          <w:iCs/>
          <w:sz w:val="22"/>
          <w:szCs w:val="22"/>
        </w:rPr>
        <w:t>V důsledku této konstrukce</w:t>
      </w:r>
      <w:r w:rsidR="00C52C50">
        <w:rPr>
          <w:rFonts w:ascii="Arial" w:hAnsi="Arial" w:cs="Arial"/>
          <w:b/>
          <w:bCs/>
          <w:iCs/>
          <w:sz w:val="22"/>
          <w:szCs w:val="22"/>
        </w:rPr>
        <w:t xml:space="preserve"> se případná chyba</w:t>
      </w:r>
      <w:r w:rsidRPr="00AB1A64">
        <w:rPr>
          <w:rFonts w:ascii="Arial" w:hAnsi="Arial" w:cs="Arial"/>
          <w:b/>
          <w:bCs/>
          <w:iCs/>
          <w:sz w:val="22"/>
          <w:szCs w:val="22"/>
        </w:rPr>
        <w:t xml:space="preserve"> řetězí, neboť se v řadě případů promítá do dalších částí PAP a zat</w:t>
      </w:r>
      <w:r w:rsidR="0060098F">
        <w:rPr>
          <w:rFonts w:ascii="Arial" w:hAnsi="Arial" w:cs="Arial"/>
          <w:b/>
          <w:bCs/>
          <w:iCs/>
          <w:sz w:val="22"/>
          <w:szCs w:val="22"/>
        </w:rPr>
        <w:t xml:space="preserve">ěžuje </w:t>
      </w:r>
      <w:r w:rsidRPr="00AB1A64">
        <w:rPr>
          <w:rFonts w:ascii="Arial" w:hAnsi="Arial" w:cs="Arial"/>
          <w:b/>
          <w:bCs/>
          <w:iCs/>
          <w:sz w:val="22"/>
          <w:szCs w:val="22"/>
        </w:rPr>
        <w:t>nesprávností i údaje v navazujících částech.</w:t>
      </w:r>
      <w:r w:rsidR="00245C09" w:rsidRPr="00245C09">
        <w:rPr>
          <w:rFonts w:ascii="Arial" w:hAnsi="Arial" w:cs="Arial"/>
          <w:bCs/>
          <w:iCs/>
          <w:sz w:val="22"/>
          <w:szCs w:val="22"/>
        </w:rPr>
        <w:t xml:space="preserve"> </w:t>
      </w:r>
      <w:r w:rsidR="009A4784">
        <w:rPr>
          <w:rFonts w:ascii="Arial" w:hAnsi="Arial" w:cs="Arial"/>
          <w:bCs/>
          <w:iCs/>
          <w:sz w:val="22"/>
          <w:szCs w:val="22"/>
        </w:rPr>
        <w:t>Zvyšuje se tím rozsah údajů, u kterých může být zjištěna nesprávnost.</w:t>
      </w:r>
      <w:r w:rsidR="00245C09">
        <w:rPr>
          <w:rFonts w:ascii="Arial" w:hAnsi="Arial" w:cs="Arial"/>
          <w:bCs/>
          <w:iCs/>
          <w:sz w:val="22"/>
          <w:szCs w:val="22"/>
        </w:rPr>
        <w:t xml:space="preserve"> </w:t>
      </w:r>
    </w:p>
    <w:p w14:paraId="00D91692" w14:textId="77777777" w:rsidR="00E00DF2" w:rsidRPr="00AB1A64" w:rsidRDefault="00E00DF2" w:rsidP="00E00DF2">
      <w:pPr>
        <w:pStyle w:val="Odstavecseseznamem"/>
        <w:tabs>
          <w:tab w:val="left" w:pos="720"/>
        </w:tabs>
        <w:autoSpaceDE w:val="0"/>
        <w:autoSpaceDN w:val="0"/>
        <w:adjustRightInd w:val="0"/>
        <w:ind w:left="0"/>
        <w:jc w:val="both"/>
        <w:rPr>
          <w:rFonts w:ascii="Arial" w:hAnsi="Arial" w:cs="Arial"/>
          <w:b/>
          <w:bCs/>
          <w:iCs/>
          <w:sz w:val="22"/>
          <w:szCs w:val="22"/>
        </w:rPr>
      </w:pPr>
    </w:p>
    <w:p w14:paraId="00D91693" w14:textId="77777777" w:rsidR="00E00DF2" w:rsidRPr="00CF5CE3" w:rsidRDefault="00E00DF2" w:rsidP="00E00DF2">
      <w:pPr>
        <w:jc w:val="both"/>
        <w:rPr>
          <w:rFonts w:ascii="Arial" w:hAnsi="Arial" w:cs="Arial"/>
          <w:sz w:val="22"/>
          <w:szCs w:val="22"/>
        </w:rPr>
      </w:pPr>
      <w:r>
        <w:rPr>
          <w:rFonts w:ascii="Arial" w:hAnsi="Arial" w:cs="Arial"/>
          <w:bCs/>
          <w:iCs/>
          <w:sz w:val="22"/>
          <w:szCs w:val="22"/>
        </w:rPr>
        <w:t>Členění stanovená pro potřeby PAP</w:t>
      </w:r>
      <w:r w:rsidRPr="00102470">
        <w:rPr>
          <w:rFonts w:ascii="Arial" w:hAnsi="Arial" w:cs="Arial"/>
          <w:bCs/>
          <w:iCs/>
          <w:sz w:val="22"/>
          <w:szCs w:val="22"/>
        </w:rPr>
        <w:t xml:space="preserve"> mohou </w:t>
      </w:r>
      <w:r>
        <w:rPr>
          <w:rFonts w:ascii="Arial" w:hAnsi="Arial" w:cs="Arial"/>
          <w:bCs/>
          <w:iCs/>
          <w:sz w:val="22"/>
          <w:szCs w:val="22"/>
        </w:rPr>
        <w:t xml:space="preserve">účetní </w:t>
      </w:r>
      <w:r w:rsidRPr="00102470">
        <w:rPr>
          <w:rFonts w:ascii="Arial" w:hAnsi="Arial" w:cs="Arial"/>
          <w:bCs/>
          <w:iCs/>
          <w:sz w:val="22"/>
          <w:szCs w:val="22"/>
        </w:rPr>
        <w:t>jednotky</w:t>
      </w:r>
      <w:r w:rsidR="00FA5E24">
        <w:rPr>
          <w:rFonts w:ascii="Arial" w:hAnsi="Arial" w:cs="Arial"/>
          <w:bCs/>
          <w:iCs/>
          <w:sz w:val="22"/>
          <w:szCs w:val="22"/>
        </w:rPr>
        <w:t xml:space="preserve"> </w:t>
      </w:r>
      <w:r w:rsidRPr="00102470">
        <w:rPr>
          <w:rFonts w:ascii="Arial" w:hAnsi="Arial" w:cs="Arial"/>
          <w:bCs/>
          <w:iCs/>
          <w:sz w:val="22"/>
          <w:szCs w:val="22"/>
        </w:rPr>
        <w:t>vést v rámci účetnictví v účetních knihách</w:t>
      </w:r>
      <w:r>
        <w:rPr>
          <w:rFonts w:ascii="Arial" w:hAnsi="Arial" w:cs="Arial"/>
          <w:bCs/>
          <w:iCs/>
          <w:sz w:val="22"/>
          <w:szCs w:val="22"/>
        </w:rPr>
        <w:t xml:space="preserve">. Takový </w:t>
      </w:r>
      <w:r w:rsidRPr="00102470">
        <w:rPr>
          <w:rFonts w:ascii="Arial" w:hAnsi="Arial" w:cs="Arial"/>
          <w:bCs/>
          <w:iCs/>
          <w:sz w:val="22"/>
          <w:szCs w:val="22"/>
        </w:rPr>
        <w:t>přístup</w:t>
      </w:r>
      <w:r>
        <w:rPr>
          <w:rFonts w:ascii="Arial" w:hAnsi="Arial" w:cs="Arial"/>
          <w:bCs/>
          <w:iCs/>
          <w:sz w:val="22"/>
          <w:szCs w:val="22"/>
        </w:rPr>
        <w:t xml:space="preserve"> zvolilo MPO a</w:t>
      </w:r>
      <w:r w:rsidRPr="00102470">
        <w:rPr>
          <w:rFonts w:ascii="Arial" w:hAnsi="Arial" w:cs="Arial"/>
          <w:bCs/>
          <w:iCs/>
          <w:sz w:val="22"/>
          <w:szCs w:val="22"/>
        </w:rPr>
        <w:t xml:space="preserve"> </w:t>
      </w:r>
      <w:r w:rsidRPr="00102470">
        <w:rPr>
          <w:rFonts w:ascii="Arial" w:hAnsi="Arial" w:cs="Arial"/>
          <w:sz w:val="22"/>
          <w:szCs w:val="22"/>
        </w:rPr>
        <w:t>lze</w:t>
      </w:r>
      <w:r>
        <w:rPr>
          <w:rFonts w:ascii="Arial" w:hAnsi="Arial" w:cs="Arial"/>
          <w:sz w:val="22"/>
          <w:szCs w:val="22"/>
        </w:rPr>
        <w:t xml:space="preserve"> jej</w:t>
      </w:r>
      <w:r w:rsidRPr="00102470">
        <w:rPr>
          <w:rFonts w:ascii="Arial" w:hAnsi="Arial" w:cs="Arial"/>
          <w:sz w:val="22"/>
          <w:szCs w:val="22"/>
        </w:rPr>
        <w:t xml:space="preserve"> označit za vhodný, </w:t>
      </w:r>
      <w:r>
        <w:rPr>
          <w:rFonts w:ascii="Arial" w:hAnsi="Arial" w:cs="Arial"/>
          <w:sz w:val="22"/>
          <w:szCs w:val="22"/>
        </w:rPr>
        <w:t xml:space="preserve">neboť je </w:t>
      </w:r>
      <w:r w:rsidRPr="00102470">
        <w:rPr>
          <w:rFonts w:ascii="Arial" w:hAnsi="Arial" w:cs="Arial"/>
          <w:sz w:val="22"/>
          <w:szCs w:val="22"/>
        </w:rPr>
        <w:t>systémový</w:t>
      </w:r>
      <w:r w:rsidR="00863DF7">
        <w:rPr>
          <w:rFonts w:ascii="Arial" w:hAnsi="Arial" w:cs="Arial"/>
          <w:sz w:val="22"/>
          <w:szCs w:val="22"/>
        </w:rPr>
        <w:t xml:space="preserve"> a</w:t>
      </w:r>
      <w:r w:rsidRPr="00102470">
        <w:rPr>
          <w:rFonts w:ascii="Arial" w:hAnsi="Arial" w:cs="Arial"/>
          <w:sz w:val="22"/>
          <w:szCs w:val="22"/>
        </w:rPr>
        <w:t xml:space="preserve"> zajišťuj</w:t>
      </w:r>
      <w:r w:rsidR="00863DF7">
        <w:rPr>
          <w:rFonts w:ascii="Arial" w:hAnsi="Arial" w:cs="Arial"/>
          <w:sz w:val="22"/>
          <w:szCs w:val="22"/>
        </w:rPr>
        <w:t>e</w:t>
      </w:r>
      <w:r w:rsidRPr="00102470">
        <w:rPr>
          <w:rFonts w:ascii="Arial" w:hAnsi="Arial" w:cs="Arial"/>
          <w:sz w:val="22"/>
          <w:szCs w:val="22"/>
        </w:rPr>
        <w:t xml:space="preserve"> transparentnost a kontrolovatelnost.</w:t>
      </w:r>
      <w:r>
        <w:rPr>
          <w:rFonts w:ascii="Arial" w:hAnsi="Arial" w:cs="Arial"/>
          <w:sz w:val="22"/>
          <w:szCs w:val="22"/>
        </w:rPr>
        <w:t xml:space="preserve"> </w:t>
      </w:r>
    </w:p>
    <w:p w14:paraId="00D91694" w14:textId="77777777" w:rsidR="00E00DF2" w:rsidRDefault="00E00DF2" w:rsidP="00E00DF2">
      <w:pPr>
        <w:jc w:val="both"/>
        <w:rPr>
          <w:rFonts w:ascii="Arial" w:hAnsi="Arial" w:cs="Arial"/>
          <w:bCs/>
          <w:iCs/>
          <w:sz w:val="22"/>
          <w:szCs w:val="22"/>
        </w:rPr>
      </w:pPr>
    </w:p>
    <w:p w14:paraId="00D91695" w14:textId="77777777" w:rsidR="00E00DF2" w:rsidRDefault="00E00DF2" w:rsidP="00E00DF2">
      <w:pPr>
        <w:jc w:val="both"/>
        <w:rPr>
          <w:rFonts w:ascii="Arial" w:hAnsi="Arial" w:cs="Arial"/>
          <w:bCs/>
          <w:iCs/>
          <w:sz w:val="22"/>
          <w:szCs w:val="22"/>
        </w:rPr>
      </w:pPr>
      <w:r w:rsidRPr="00102470">
        <w:rPr>
          <w:rFonts w:ascii="Arial" w:hAnsi="Arial" w:cs="Arial"/>
          <w:bCs/>
          <w:iCs/>
          <w:sz w:val="22"/>
          <w:szCs w:val="22"/>
        </w:rPr>
        <w:t>Z</w:t>
      </w:r>
      <w:r>
        <w:rPr>
          <w:rFonts w:ascii="Arial" w:hAnsi="Arial" w:cs="Arial"/>
          <w:bCs/>
          <w:iCs/>
          <w:sz w:val="22"/>
          <w:szCs w:val="22"/>
        </w:rPr>
        <w:t xml:space="preserve"> platných </w:t>
      </w:r>
      <w:r w:rsidRPr="00102470">
        <w:rPr>
          <w:rFonts w:ascii="Arial" w:hAnsi="Arial" w:cs="Arial"/>
          <w:bCs/>
          <w:iCs/>
          <w:sz w:val="22"/>
          <w:szCs w:val="22"/>
        </w:rPr>
        <w:t xml:space="preserve">právních předpisů </w:t>
      </w:r>
      <w:r>
        <w:rPr>
          <w:rFonts w:ascii="Arial" w:hAnsi="Arial" w:cs="Arial"/>
          <w:bCs/>
          <w:iCs/>
          <w:sz w:val="22"/>
          <w:szCs w:val="22"/>
        </w:rPr>
        <w:t>však</w:t>
      </w:r>
      <w:r w:rsidRPr="00102470">
        <w:rPr>
          <w:rFonts w:ascii="Arial" w:hAnsi="Arial" w:cs="Arial"/>
          <w:bCs/>
          <w:iCs/>
          <w:sz w:val="22"/>
          <w:szCs w:val="22"/>
        </w:rPr>
        <w:t xml:space="preserve"> nevyplývá </w:t>
      </w:r>
      <w:r w:rsidRPr="00260B0C">
        <w:rPr>
          <w:rFonts w:ascii="Arial" w:hAnsi="Arial" w:cs="Arial"/>
          <w:b/>
          <w:bCs/>
          <w:iCs/>
          <w:sz w:val="22"/>
          <w:szCs w:val="22"/>
        </w:rPr>
        <w:t>povinnost</w:t>
      </w:r>
      <w:r w:rsidRPr="00102470">
        <w:rPr>
          <w:rFonts w:ascii="Arial" w:hAnsi="Arial" w:cs="Arial"/>
          <w:bCs/>
          <w:iCs/>
          <w:sz w:val="22"/>
          <w:szCs w:val="22"/>
        </w:rPr>
        <w:t xml:space="preserve"> zachycovat </w:t>
      </w:r>
      <w:r>
        <w:rPr>
          <w:rFonts w:ascii="Arial" w:hAnsi="Arial" w:cs="Arial"/>
          <w:bCs/>
          <w:iCs/>
          <w:sz w:val="22"/>
          <w:szCs w:val="22"/>
        </w:rPr>
        <w:t>členění stanovená pro</w:t>
      </w:r>
      <w:r w:rsidRPr="00102470">
        <w:rPr>
          <w:rFonts w:ascii="Arial" w:hAnsi="Arial" w:cs="Arial"/>
          <w:bCs/>
          <w:iCs/>
          <w:sz w:val="22"/>
          <w:szCs w:val="22"/>
        </w:rPr>
        <w:t xml:space="preserve"> PAP průběžně účetními zápisy v účetních knihách</w:t>
      </w:r>
      <w:r>
        <w:rPr>
          <w:rFonts w:ascii="Arial" w:hAnsi="Arial" w:cs="Arial"/>
          <w:bCs/>
          <w:iCs/>
          <w:sz w:val="22"/>
          <w:szCs w:val="22"/>
        </w:rPr>
        <w:t xml:space="preserve">. </w:t>
      </w:r>
    </w:p>
    <w:p w14:paraId="00D91696" w14:textId="77777777" w:rsidR="00863DF7" w:rsidRPr="00102470" w:rsidRDefault="00863DF7" w:rsidP="00E00DF2">
      <w:pPr>
        <w:jc w:val="both"/>
        <w:rPr>
          <w:rFonts w:ascii="Arial" w:hAnsi="Arial" w:cs="Arial"/>
          <w:bCs/>
          <w:iCs/>
          <w:sz w:val="22"/>
          <w:szCs w:val="22"/>
        </w:rPr>
      </w:pPr>
    </w:p>
    <w:p w14:paraId="00D91697" w14:textId="77777777" w:rsidR="00CE2B8B" w:rsidRDefault="00E00DF2" w:rsidP="00E00DF2">
      <w:pPr>
        <w:jc w:val="both"/>
        <w:rPr>
          <w:rFonts w:ascii="Arial" w:hAnsi="Arial" w:cs="Arial"/>
          <w:sz w:val="22"/>
          <w:szCs w:val="22"/>
        </w:rPr>
      </w:pPr>
      <w:r w:rsidRPr="00D12F05">
        <w:rPr>
          <w:rFonts w:ascii="Arial" w:hAnsi="Arial" w:cs="Arial"/>
          <w:sz w:val="22"/>
          <w:szCs w:val="22"/>
        </w:rPr>
        <w:t>MPO předalo</w:t>
      </w:r>
      <w:r w:rsidR="0071516F">
        <w:rPr>
          <w:rFonts w:ascii="Arial" w:hAnsi="Arial" w:cs="Arial"/>
          <w:sz w:val="22"/>
          <w:szCs w:val="22"/>
        </w:rPr>
        <w:t xml:space="preserve"> k 31.</w:t>
      </w:r>
      <w:r w:rsidR="00CE2B8B">
        <w:rPr>
          <w:rFonts w:ascii="Arial" w:hAnsi="Arial" w:cs="Arial"/>
          <w:sz w:val="22"/>
          <w:szCs w:val="22"/>
        </w:rPr>
        <w:t xml:space="preserve"> </w:t>
      </w:r>
      <w:r w:rsidR="0071516F">
        <w:rPr>
          <w:rFonts w:ascii="Arial" w:hAnsi="Arial" w:cs="Arial"/>
          <w:sz w:val="22"/>
          <w:szCs w:val="22"/>
        </w:rPr>
        <w:t>prosinci 2012 do CSÚIS</w:t>
      </w:r>
      <w:r w:rsidRPr="00D12F05">
        <w:rPr>
          <w:rFonts w:ascii="Arial" w:hAnsi="Arial" w:cs="Arial"/>
          <w:sz w:val="22"/>
          <w:szCs w:val="22"/>
        </w:rPr>
        <w:t xml:space="preserve"> </w:t>
      </w:r>
      <w:r>
        <w:rPr>
          <w:rFonts w:ascii="Arial" w:hAnsi="Arial" w:cs="Arial"/>
          <w:sz w:val="22"/>
          <w:szCs w:val="22"/>
        </w:rPr>
        <w:t>všech 13 částí PAP. T</w:t>
      </w:r>
      <w:r w:rsidRPr="00D12F05">
        <w:rPr>
          <w:rFonts w:ascii="Arial" w:hAnsi="Arial" w:cs="Arial"/>
          <w:sz w:val="22"/>
          <w:szCs w:val="22"/>
        </w:rPr>
        <w:t>abulka</w:t>
      </w:r>
      <w:r>
        <w:rPr>
          <w:rFonts w:ascii="Arial" w:hAnsi="Arial" w:cs="Arial"/>
          <w:sz w:val="22"/>
          <w:szCs w:val="22"/>
        </w:rPr>
        <w:t xml:space="preserve"> č. 2</w:t>
      </w:r>
      <w:r w:rsidRPr="00D12F05">
        <w:rPr>
          <w:rFonts w:ascii="Arial" w:hAnsi="Arial" w:cs="Arial"/>
          <w:sz w:val="22"/>
          <w:szCs w:val="22"/>
        </w:rPr>
        <w:t xml:space="preserve"> </w:t>
      </w:r>
      <w:r>
        <w:rPr>
          <w:rFonts w:ascii="Arial" w:hAnsi="Arial" w:cs="Arial"/>
          <w:sz w:val="22"/>
          <w:szCs w:val="22"/>
        </w:rPr>
        <w:t xml:space="preserve">zobrazuje rozsah </w:t>
      </w:r>
      <w:r w:rsidR="0071516F">
        <w:rPr>
          <w:rFonts w:ascii="Arial" w:hAnsi="Arial" w:cs="Arial"/>
          <w:sz w:val="22"/>
          <w:szCs w:val="22"/>
        </w:rPr>
        <w:t xml:space="preserve">těchto </w:t>
      </w:r>
      <w:r>
        <w:rPr>
          <w:rFonts w:ascii="Arial" w:hAnsi="Arial" w:cs="Arial"/>
          <w:sz w:val="22"/>
          <w:szCs w:val="22"/>
        </w:rPr>
        <w:t>údajů podle sestav vygenerovaných z CSÚIS</w:t>
      </w:r>
      <w:r w:rsidR="002C2600">
        <w:rPr>
          <w:rFonts w:ascii="Arial" w:hAnsi="Arial" w:cs="Arial"/>
          <w:sz w:val="22"/>
          <w:szCs w:val="22"/>
        </w:rPr>
        <w:t>.</w:t>
      </w:r>
    </w:p>
    <w:p w14:paraId="00D91698" w14:textId="77777777" w:rsidR="00E03926" w:rsidRDefault="00E03926" w:rsidP="00E03926">
      <w:pPr>
        <w:spacing w:line="276" w:lineRule="auto"/>
        <w:rPr>
          <w:rFonts w:ascii="Arial" w:hAnsi="Arial" w:cs="Arial"/>
          <w:sz w:val="22"/>
          <w:szCs w:val="22"/>
        </w:rPr>
      </w:pPr>
    </w:p>
    <w:p w14:paraId="00D91699" w14:textId="77777777" w:rsidR="00863DF7" w:rsidRDefault="00863DF7">
      <w:pPr>
        <w:spacing w:after="200" w:line="276" w:lineRule="auto"/>
        <w:rPr>
          <w:rFonts w:ascii="Arial" w:hAnsi="Arial" w:cs="Arial"/>
          <w:b/>
          <w:sz w:val="22"/>
          <w:szCs w:val="22"/>
        </w:rPr>
      </w:pPr>
      <w:r>
        <w:rPr>
          <w:rFonts w:ascii="Arial" w:hAnsi="Arial" w:cs="Arial"/>
          <w:b/>
          <w:sz w:val="22"/>
          <w:szCs w:val="22"/>
        </w:rPr>
        <w:br w:type="page"/>
      </w:r>
    </w:p>
    <w:p w14:paraId="00D9169A" w14:textId="77777777" w:rsidR="00E00DF2" w:rsidRDefault="00E00DF2" w:rsidP="00260B0C">
      <w:pPr>
        <w:tabs>
          <w:tab w:val="right" w:pos="9072"/>
        </w:tabs>
        <w:spacing w:after="40" w:line="276" w:lineRule="auto"/>
        <w:rPr>
          <w:rFonts w:ascii="Arial" w:hAnsi="Arial" w:cs="Arial"/>
          <w:b/>
          <w:sz w:val="22"/>
          <w:szCs w:val="22"/>
        </w:rPr>
      </w:pPr>
      <w:r w:rsidRPr="00CE2FC3">
        <w:rPr>
          <w:rFonts w:ascii="Arial" w:hAnsi="Arial" w:cs="Arial"/>
          <w:b/>
          <w:sz w:val="22"/>
          <w:szCs w:val="22"/>
        </w:rPr>
        <w:lastRenderedPageBreak/>
        <w:t>Tabulka č. 2 – Údaje</w:t>
      </w:r>
      <w:r w:rsidRPr="00D12F05">
        <w:rPr>
          <w:rFonts w:ascii="Arial" w:hAnsi="Arial" w:cs="Arial"/>
          <w:b/>
          <w:sz w:val="22"/>
          <w:szCs w:val="22"/>
        </w:rPr>
        <w:t xml:space="preserve"> PAP MPO </w:t>
      </w:r>
      <w:r w:rsidR="009F047D">
        <w:rPr>
          <w:rFonts w:ascii="Arial" w:hAnsi="Arial" w:cs="Arial"/>
          <w:b/>
          <w:sz w:val="22"/>
          <w:szCs w:val="22"/>
        </w:rPr>
        <w:t>k </w:t>
      </w:r>
      <w:r w:rsidRPr="00D12F05">
        <w:rPr>
          <w:rFonts w:ascii="Arial" w:hAnsi="Arial" w:cs="Arial"/>
          <w:b/>
          <w:sz w:val="22"/>
          <w:szCs w:val="22"/>
        </w:rPr>
        <w:t xml:space="preserve">31. </w:t>
      </w:r>
      <w:r>
        <w:rPr>
          <w:rFonts w:ascii="Arial" w:hAnsi="Arial" w:cs="Arial"/>
          <w:b/>
          <w:sz w:val="22"/>
          <w:szCs w:val="22"/>
        </w:rPr>
        <w:t>prosinci</w:t>
      </w:r>
      <w:r w:rsidRPr="00D12F05">
        <w:rPr>
          <w:rFonts w:ascii="Arial" w:hAnsi="Arial" w:cs="Arial"/>
          <w:b/>
          <w:sz w:val="22"/>
          <w:szCs w:val="22"/>
        </w:rPr>
        <w:t xml:space="preserve"> 2012 </w:t>
      </w:r>
      <w:r>
        <w:rPr>
          <w:rFonts w:ascii="Arial" w:hAnsi="Arial" w:cs="Arial"/>
          <w:b/>
          <w:sz w:val="22"/>
          <w:szCs w:val="22"/>
        </w:rPr>
        <w:t>v</w:t>
      </w:r>
      <w:r w:rsidRPr="00D12F05">
        <w:rPr>
          <w:rFonts w:ascii="Arial" w:hAnsi="Arial" w:cs="Arial"/>
          <w:b/>
          <w:sz w:val="22"/>
          <w:szCs w:val="22"/>
        </w:rPr>
        <w:t xml:space="preserve"> jednotlivých částech PAP</w:t>
      </w:r>
      <w:r w:rsidR="00D37C7D">
        <w:rPr>
          <w:rFonts w:ascii="Arial" w:hAnsi="Arial" w:cs="Arial"/>
          <w:b/>
          <w:sz w:val="22"/>
          <w:szCs w:val="22"/>
        </w:rPr>
        <w:t xml:space="preserve"> </w:t>
      </w:r>
      <w:r w:rsidR="003111D3">
        <w:rPr>
          <w:rFonts w:ascii="Arial" w:hAnsi="Arial" w:cs="Arial"/>
          <w:b/>
          <w:sz w:val="22"/>
          <w:szCs w:val="22"/>
        </w:rPr>
        <w:tab/>
      </w:r>
      <w:r>
        <w:rPr>
          <w:rFonts w:ascii="Arial" w:hAnsi="Arial" w:cs="Arial"/>
          <w:b/>
          <w:sz w:val="22"/>
          <w:szCs w:val="22"/>
        </w:rPr>
        <w:t>(v </w:t>
      </w:r>
      <w:r w:rsidRPr="00D12F05">
        <w:rPr>
          <w:rFonts w:ascii="Arial" w:hAnsi="Arial" w:cs="Arial"/>
          <w:b/>
          <w:sz w:val="22"/>
          <w:szCs w:val="22"/>
        </w:rPr>
        <w:t>Kč)</w:t>
      </w:r>
    </w:p>
    <w:tbl>
      <w:tblPr>
        <w:tblW w:w="9108" w:type="dxa"/>
        <w:tblInd w:w="40" w:type="dxa"/>
        <w:tblLayout w:type="fixed"/>
        <w:tblCellMar>
          <w:left w:w="70" w:type="dxa"/>
          <w:right w:w="70" w:type="dxa"/>
        </w:tblCellMar>
        <w:tblLook w:val="0000" w:firstRow="0" w:lastRow="0" w:firstColumn="0" w:lastColumn="0" w:noHBand="0" w:noVBand="0"/>
      </w:tblPr>
      <w:tblGrid>
        <w:gridCol w:w="738"/>
        <w:gridCol w:w="1395"/>
        <w:gridCol w:w="1395"/>
        <w:gridCol w:w="1395"/>
        <w:gridCol w:w="1395"/>
        <w:gridCol w:w="1395"/>
        <w:gridCol w:w="1395"/>
      </w:tblGrid>
      <w:tr w:rsidR="003111D3" w:rsidRPr="00D12F05" w14:paraId="00D916A2" w14:textId="77777777" w:rsidTr="00260B0C">
        <w:trPr>
          <w:trHeight w:val="290"/>
          <w:tblHeader/>
        </w:trPr>
        <w:tc>
          <w:tcPr>
            <w:tcW w:w="738" w:type="dxa"/>
            <w:tcBorders>
              <w:top w:val="single" w:sz="12" w:space="0" w:color="auto"/>
              <w:left w:val="single" w:sz="12" w:space="0" w:color="auto"/>
              <w:bottom w:val="single" w:sz="12" w:space="0" w:color="auto"/>
              <w:right w:val="single" w:sz="6" w:space="0" w:color="auto"/>
            </w:tcBorders>
            <w:shd w:val="clear" w:color="auto" w:fill="C6D9F1" w:themeFill="text2" w:themeFillTint="33"/>
            <w:vAlign w:val="center"/>
          </w:tcPr>
          <w:p w14:paraId="00D9169B" w14:textId="77777777" w:rsidR="00E00DF2" w:rsidRPr="00260B0C" w:rsidRDefault="00E00DF2" w:rsidP="007C7817">
            <w:pPr>
              <w:autoSpaceDE w:val="0"/>
              <w:autoSpaceDN w:val="0"/>
              <w:adjustRightInd w:val="0"/>
              <w:jc w:val="center"/>
              <w:rPr>
                <w:rFonts w:ascii="Arial" w:eastAsia="Calibri" w:hAnsi="Arial" w:cs="Arial"/>
                <w:b/>
                <w:color w:val="000000"/>
                <w:sz w:val="16"/>
                <w:szCs w:val="16"/>
                <w:lang w:eastAsia="cs-CZ"/>
              </w:rPr>
            </w:pPr>
            <w:r w:rsidRPr="00260B0C">
              <w:rPr>
                <w:rFonts w:ascii="Arial" w:eastAsia="Calibri" w:hAnsi="Arial" w:cs="Arial"/>
                <w:b/>
                <w:color w:val="000000"/>
                <w:sz w:val="16"/>
                <w:szCs w:val="16"/>
                <w:lang w:eastAsia="cs-CZ"/>
              </w:rPr>
              <w:t>Části</w:t>
            </w:r>
          </w:p>
        </w:tc>
        <w:tc>
          <w:tcPr>
            <w:tcW w:w="1395"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00D9169C" w14:textId="77777777" w:rsidR="00E00DF2" w:rsidRPr="00260B0C" w:rsidRDefault="00E00DF2" w:rsidP="007C7817">
            <w:pPr>
              <w:autoSpaceDE w:val="0"/>
              <w:autoSpaceDN w:val="0"/>
              <w:adjustRightInd w:val="0"/>
              <w:jc w:val="center"/>
              <w:rPr>
                <w:rFonts w:ascii="Arial" w:eastAsia="Calibri" w:hAnsi="Arial" w:cs="Arial"/>
                <w:b/>
                <w:bCs/>
                <w:color w:val="000000"/>
                <w:sz w:val="16"/>
                <w:szCs w:val="16"/>
                <w:lang w:eastAsia="cs-CZ"/>
              </w:rPr>
            </w:pPr>
            <w:r w:rsidRPr="00260B0C">
              <w:rPr>
                <w:rFonts w:ascii="Arial" w:eastAsia="Calibri" w:hAnsi="Arial" w:cs="Arial"/>
                <w:b/>
                <w:bCs/>
                <w:color w:val="000000"/>
                <w:sz w:val="16"/>
                <w:szCs w:val="16"/>
                <w:lang w:eastAsia="cs-CZ"/>
              </w:rPr>
              <w:t>PS</w:t>
            </w:r>
          </w:p>
        </w:tc>
        <w:tc>
          <w:tcPr>
            <w:tcW w:w="1395"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00D9169D" w14:textId="77777777" w:rsidR="00E00DF2" w:rsidRPr="00260B0C" w:rsidRDefault="0098655E" w:rsidP="0098655E">
            <w:pPr>
              <w:autoSpaceDE w:val="0"/>
              <w:autoSpaceDN w:val="0"/>
              <w:adjustRightInd w:val="0"/>
              <w:jc w:val="center"/>
              <w:rPr>
                <w:rFonts w:ascii="Arial" w:eastAsia="Calibri" w:hAnsi="Arial" w:cs="Arial"/>
                <w:b/>
                <w:bCs/>
                <w:color w:val="000000"/>
                <w:sz w:val="16"/>
                <w:szCs w:val="16"/>
                <w:lang w:eastAsia="cs-CZ"/>
              </w:rPr>
            </w:pPr>
            <w:r w:rsidRPr="00260B0C">
              <w:rPr>
                <w:rFonts w:ascii="Arial" w:eastAsia="Calibri" w:hAnsi="Arial" w:cs="Arial"/>
                <w:b/>
                <w:bCs/>
                <w:color w:val="000000"/>
                <w:sz w:val="16"/>
                <w:szCs w:val="16"/>
                <w:lang w:eastAsia="cs-CZ"/>
              </w:rPr>
              <w:t>Suma Má dáti</w:t>
            </w:r>
          </w:p>
        </w:tc>
        <w:tc>
          <w:tcPr>
            <w:tcW w:w="1395"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00D9169E" w14:textId="77777777" w:rsidR="00E00DF2" w:rsidRPr="00260B0C" w:rsidRDefault="0098655E" w:rsidP="0098655E">
            <w:pPr>
              <w:autoSpaceDE w:val="0"/>
              <w:autoSpaceDN w:val="0"/>
              <w:adjustRightInd w:val="0"/>
              <w:jc w:val="center"/>
              <w:rPr>
                <w:rFonts w:ascii="Arial" w:eastAsia="Calibri" w:hAnsi="Arial" w:cs="Arial"/>
                <w:b/>
                <w:bCs/>
                <w:color w:val="000000"/>
                <w:sz w:val="16"/>
                <w:szCs w:val="16"/>
                <w:lang w:eastAsia="cs-CZ"/>
              </w:rPr>
            </w:pPr>
            <w:r w:rsidRPr="00260B0C">
              <w:rPr>
                <w:rFonts w:ascii="Arial" w:eastAsia="Calibri" w:hAnsi="Arial" w:cs="Arial"/>
                <w:b/>
                <w:bCs/>
                <w:color w:val="000000"/>
                <w:sz w:val="16"/>
                <w:szCs w:val="16"/>
                <w:lang w:eastAsia="cs-CZ"/>
              </w:rPr>
              <w:t>Suma Dal</w:t>
            </w:r>
          </w:p>
        </w:tc>
        <w:tc>
          <w:tcPr>
            <w:tcW w:w="1395"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00D9169F" w14:textId="77777777" w:rsidR="00E00DF2" w:rsidRPr="00260B0C" w:rsidRDefault="00E00DF2" w:rsidP="007C7817">
            <w:pPr>
              <w:autoSpaceDE w:val="0"/>
              <w:autoSpaceDN w:val="0"/>
              <w:adjustRightInd w:val="0"/>
              <w:jc w:val="center"/>
              <w:rPr>
                <w:rFonts w:ascii="Arial" w:eastAsia="Calibri" w:hAnsi="Arial" w:cs="Arial"/>
                <w:b/>
                <w:bCs/>
                <w:color w:val="000000"/>
                <w:sz w:val="16"/>
                <w:szCs w:val="16"/>
                <w:lang w:eastAsia="cs-CZ"/>
              </w:rPr>
            </w:pPr>
            <w:r w:rsidRPr="00260B0C">
              <w:rPr>
                <w:rFonts w:ascii="Arial" w:eastAsia="Calibri" w:hAnsi="Arial" w:cs="Arial"/>
                <w:b/>
                <w:bCs/>
                <w:color w:val="000000"/>
                <w:sz w:val="16"/>
                <w:szCs w:val="16"/>
                <w:lang w:eastAsia="cs-CZ"/>
              </w:rPr>
              <w:t>KS</w:t>
            </w:r>
          </w:p>
        </w:tc>
        <w:tc>
          <w:tcPr>
            <w:tcW w:w="1395" w:type="dxa"/>
            <w:tcBorders>
              <w:top w:val="single" w:sz="12" w:space="0" w:color="auto"/>
              <w:left w:val="single" w:sz="6" w:space="0" w:color="auto"/>
              <w:bottom w:val="single" w:sz="12" w:space="0" w:color="auto"/>
              <w:right w:val="single" w:sz="6" w:space="0" w:color="auto"/>
            </w:tcBorders>
            <w:shd w:val="clear" w:color="auto" w:fill="C6D9F1" w:themeFill="text2" w:themeFillTint="33"/>
            <w:vAlign w:val="center"/>
          </w:tcPr>
          <w:p w14:paraId="00D916A0" w14:textId="77777777" w:rsidR="00E00DF2" w:rsidRPr="00260B0C" w:rsidRDefault="00E00DF2" w:rsidP="007C7817">
            <w:pPr>
              <w:autoSpaceDE w:val="0"/>
              <w:autoSpaceDN w:val="0"/>
              <w:adjustRightInd w:val="0"/>
              <w:jc w:val="center"/>
              <w:rPr>
                <w:rFonts w:ascii="Arial" w:eastAsia="Calibri" w:hAnsi="Arial" w:cs="Arial"/>
                <w:b/>
                <w:bCs/>
                <w:color w:val="000000"/>
                <w:sz w:val="16"/>
                <w:szCs w:val="16"/>
                <w:lang w:eastAsia="cs-CZ"/>
              </w:rPr>
            </w:pPr>
            <w:r w:rsidRPr="00260B0C">
              <w:rPr>
                <w:rFonts w:ascii="Arial" w:eastAsia="Calibri" w:hAnsi="Arial" w:cs="Arial"/>
                <w:b/>
                <w:bCs/>
                <w:color w:val="000000"/>
                <w:sz w:val="16"/>
                <w:szCs w:val="16"/>
                <w:lang w:eastAsia="cs-CZ"/>
              </w:rPr>
              <w:t>Hlavní činnost</w:t>
            </w:r>
          </w:p>
        </w:tc>
        <w:tc>
          <w:tcPr>
            <w:tcW w:w="1395" w:type="dxa"/>
            <w:tcBorders>
              <w:top w:val="single" w:sz="12" w:space="0" w:color="auto"/>
              <w:left w:val="single" w:sz="6" w:space="0" w:color="auto"/>
              <w:bottom w:val="single" w:sz="12" w:space="0" w:color="auto"/>
              <w:right w:val="single" w:sz="12" w:space="0" w:color="auto"/>
            </w:tcBorders>
            <w:shd w:val="clear" w:color="auto" w:fill="C6D9F1" w:themeFill="text2" w:themeFillTint="33"/>
            <w:vAlign w:val="center"/>
          </w:tcPr>
          <w:p w14:paraId="00D916A1" w14:textId="77777777" w:rsidR="00E00DF2" w:rsidRPr="00260B0C" w:rsidRDefault="00E00DF2" w:rsidP="007C7817">
            <w:pPr>
              <w:autoSpaceDE w:val="0"/>
              <w:autoSpaceDN w:val="0"/>
              <w:adjustRightInd w:val="0"/>
              <w:jc w:val="center"/>
              <w:rPr>
                <w:rFonts w:ascii="Arial" w:eastAsia="Calibri" w:hAnsi="Arial" w:cs="Arial"/>
                <w:b/>
                <w:bCs/>
                <w:color w:val="000000"/>
                <w:sz w:val="16"/>
                <w:szCs w:val="16"/>
                <w:lang w:eastAsia="cs-CZ"/>
              </w:rPr>
            </w:pPr>
            <w:r w:rsidRPr="00260B0C">
              <w:rPr>
                <w:rFonts w:ascii="Arial" w:eastAsia="Calibri" w:hAnsi="Arial" w:cs="Arial"/>
                <w:b/>
                <w:bCs/>
                <w:color w:val="000000"/>
                <w:sz w:val="16"/>
                <w:szCs w:val="16"/>
                <w:lang w:eastAsia="cs-CZ"/>
              </w:rPr>
              <w:t>Celkem</w:t>
            </w:r>
          </w:p>
        </w:tc>
      </w:tr>
      <w:tr w:rsidR="003111D3" w:rsidRPr="00D12F05" w14:paraId="00D916AA" w14:textId="77777777" w:rsidTr="00260B0C">
        <w:trPr>
          <w:trHeight w:val="176"/>
        </w:trPr>
        <w:tc>
          <w:tcPr>
            <w:tcW w:w="738" w:type="dxa"/>
            <w:tcBorders>
              <w:top w:val="single" w:sz="12" w:space="0" w:color="auto"/>
              <w:left w:val="single" w:sz="12" w:space="0" w:color="auto"/>
              <w:bottom w:val="single" w:sz="6" w:space="0" w:color="auto"/>
              <w:right w:val="single" w:sz="6" w:space="0" w:color="auto"/>
            </w:tcBorders>
            <w:shd w:val="solid" w:color="FFFFFF" w:fill="auto"/>
            <w:vAlign w:val="center"/>
          </w:tcPr>
          <w:p w14:paraId="00D916A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I</w:t>
            </w:r>
          </w:p>
        </w:tc>
        <w:tc>
          <w:tcPr>
            <w:tcW w:w="1395" w:type="dxa"/>
            <w:tcBorders>
              <w:top w:val="single" w:sz="12" w:space="0" w:color="auto"/>
              <w:left w:val="single" w:sz="6" w:space="0" w:color="auto"/>
              <w:bottom w:val="single" w:sz="6" w:space="0" w:color="auto"/>
              <w:right w:val="single" w:sz="6" w:space="0" w:color="auto"/>
            </w:tcBorders>
            <w:shd w:val="solid" w:color="FFFFFF" w:fill="auto"/>
            <w:vAlign w:val="center"/>
          </w:tcPr>
          <w:p w14:paraId="00D916A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45 149 588 226,00</w:t>
            </w:r>
          </w:p>
        </w:tc>
        <w:tc>
          <w:tcPr>
            <w:tcW w:w="1395" w:type="dxa"/>
            <w:tcBorders>
              <w:top w:val="single" w:sz="12" w:space="0" w:color="auto"/>
              <w:left w:val="single" w:sz="6" w:space="0" w:color="auto"/>
              <w:bottom w:val="single" w:sz="6" w:space="0" w:color="auto"/>
              <w:right w:val="single" w:sz="6" w:space="0" w:color="auto"/>
            </w:tcBorders>
            <w:shd w:val="solid" w:color="FFFFFF" w:fill="auto"/>
            <w:vAlign w:val="center"/>
          </w:tcPr>
          <w:p w14:paraId="00D916A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87 316 202 786,67</w:t>
            </w:r>
          </w:p>
        </w:tc>
        <w:tc>
          <w:tcPr>
            <w:tcW w:w="1395" w:type="dxa"/>
            <w:tcBorders>
              <w:top w:val="single" w:sz="12" w:space="0" w:color="auto"/>
              <w:left w:val="single" w:sz="6" w:space="0" w:color="auto"/>
              <w:bottom w:val="single" w:sz="6" w:space="0" w:color="auto"/>
              <w:right w:val="single" w:sz="6" w:space="0" w:color="auto"/>
            </w:tcBorders>
            <w:shd w:val="solid" w:color="FFFFFF" w:fill="auto"/>
            <w:vAlign w:val="center"/>
          </w:tcPr>
          <w:p w14:paraId="00D916A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85 924 723 695,86</w:t>
            </w:r>
          </w:p>
        </w:tc>
        <w:tc>
          <w:tcPr>
            <w:tcW w:w="1395" w:type="dxa"/>
            <w:tcBorders>
              <w:top w:val="single" w:sz="12" w:space="0" w:color="auto"/>
              <w:left w:val="single" w:sz="6" w:space="0" w:color="auto"/>
              <w:bottom w:val="single" w:sz="6" w:space="0" w:color="auto"/>
              <w:right w:val="single" w:sz="6" w:space="0" w:color="auto"/>
            </w:tcBorders>
            <w:shd w:val="solid" w:color="FFFFFF" w:fill="auto"/>
            <w:vAlign w:val="center"/>
          </w:tcPr>
          <w:p w14:paraId="00D916A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49 549 716 181,35</w:t>
            </w:r>
          </w:p>
        </w:tc>
        <w:tc>
          <w:tcPr>
            <w:tcW w:w="1395" w:type="dxa"/>
            <w:tcBorders>
              <w:top w:val="single" w:sz="12" w:space="0" w:color="auto"/>
              <w:left w:val="single" w:sz="6" w:space="0" w:color="auto"/>
              <w:bottom w:val="single" w:sz="6" w:space="0" w:color="auto"/>
              <w:right w:val="single" w:sz="6" w:space="0" w:color="auto"/>
            </w:tcBorders>
            <w:shd w:val="solid" w:color="FFFFFF" w:fill="auto"/>
            <w:vAlign w:val="center"/>
          </w:tcPr>
          <w:p w14:paraId="00D916A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12" w:space="0" w:color="auto"/>
              <w:left w:val="single" w:sz="6" w:space="0" w:color="auto"/>
              <w:bottom w:val="single" w:sz="6" w:space="0" w:color="auto"/>
              <w:right w:val="single" w:sz="12" w:space="0" w:color="auto"/>
            </w:tcBorders>
            <w:shd w:val="solid" w:color="FFFFFF" w:fill="auto"/>
            <w:vAlign w:val="center"/>
          </w:tcPr>
          <w:p w14:paraId="00D916A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267 940 230 889,88</w:t>
            </w:r>
          </w:p>
        </w:tc>
      </w:tr>
      <w:tr w:rsidR="003111D3" w:rsidRPr="00D12F05" w14:paraId="00D916B2" w14:textId="77777777" w:rsidTr="00260B0C">
        <w:trPr>
          <w:trHeight w:val="136"/>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AB"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II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AC"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AD"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AE"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AF"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0"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67 479 069 913,38</w:t>
            </w: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B1"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67 479 069 913,38</w:t>
            </w:r>
          </w:p>
        </w:tc>
      </w:tr>
      <w:tr w:rsidR="003111D3" w:rsidRPr="00D12F05" w14:paraId="00D916BA" w14:textId="77777777" w:rsidTr="00260B0C">
        <w:trPr>
          <w:trHeight w:val="124"/>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B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III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26 091 385 935,34</w:t>
            </w: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B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26 091 385 935,34</w:t>
            </w:r>
          </w:p>
        </w:tc>
      </w:tr>
      <w:tr w:rsidR="003111D3" w:rsidRPr="00D12F05" w14:paraId="00D916C2" w14:textId="77777777" w:rsidTr="00260B0C">
        <w:trPr>
          <w:trHeight w:val="113"/>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BB"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IV</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C"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D"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488 776 448,75</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E"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420 080 466,98</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BF"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0"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C1"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908 856 915,73</w:t>
            </w:r>
          </w:p>
        </w:tc>
      </w:tr>
      <w:tr w:rsidR="003111D3" w:rsidRPr="00D12F05" w14:paraId="00D916CA" w14:textId="77777777" w:rsidTr="00260B0C">
        <w:trPr>
          <w:trHeight w:val="100"/>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C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V</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10 358 567,30</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11 625 579,56</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C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21 984 146,86</w:t>
            </w:r>
          </w:p>
        </w:tc>
      </w:tr>
      <w:tr w:rsidR="003111D3" w:rsidRPr="00D12F05" w14:paraId="00D916D2" w14:textId="77777777" w:rsidTr="00260B0C">
        <w:trPr>
          <w:trHeight w:val="88"/>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CB"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VI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C"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D"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13 481 792 421,83</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E"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13 803 256 180,15</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CF"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0"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D1"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27 285 048 601,98</w:t>
            </w:r>
          </w:p>
        </w:tc>
      </w:tr>
      <w:tr w:rsidR="003111D3" w:rsidRPr="00D12F05" w14:paraId="00D916DA" w14:textId="77777777" w:rsidTr="00260B0C">
        <w:trPr>
          <w:trHeight w:val="76"/>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D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VII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66 369 440 021,60</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66 366 263 003,70</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D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132 735 703 025,30</w:t>
            </w:r>
          </w:p>
        </w:tc>
      </w:tr>
      <w:tr w:rsidR="003111D3" w:rsidRPr="00D12F05" w14:paraId="00D916E2" w14:textId="77777777" w:rsidTr="00260B0C">
        <w:trPr>
          <w:trHeight w:val="65"/>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DB"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VIII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C"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D"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3 910 155 072,20</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E"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734 846 897,95</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DF"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0"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E1"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4 645 001 970,15</w:t>
            </w:r>
          </w:p>
        </w:tc>
      </w:tr>
      <w:tr w:rsidR="003111D3" w:rsidRPr="00D12F05" w14:paraId="00D916EA" w14:textId="77777777" w:rsidTr="00260B0C">
        <w:trPr>
          <w:trHeight w:val="58"/>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E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IX</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46 741 334,00</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1 580 232 400,00</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E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1 626 973 734,00</w:t>
            </w:r>
          </w:p>
        </w:tc>
      </w:tr>
      <w:tr w:rsidR="003111D3" w:rsidRPr="00D12F05" w14:paraId="00D916F2" w14:textId="77777777" w:rsidTr="00260B0C">
        <w:trPr>
          <w:trHeight w:val="58"/>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EB"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X</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C"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14 065 463 929,83</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D"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34 878 431 974,62</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E"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33 443 329 348,45</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EF"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15 500 205 871,76</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0"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F1"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97 887 431 124,66</w:t>
            </w:r>
          </w:p>
        </w:tc>
      </w:tr>
      <w:tr w:rsidR="003111D3" w:rsidRPr="00D12F05" w14:paraId="00D916FA" w14:textId="77777777" w:rsidTr="00260B0C">
        <w:trPr>
          <w:trHeight w:val="58"/>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F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XI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45 485 709 674,10</w:t>
            </w: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6F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45 485 709 674,10</w:t>
            </w:r>
          </w:p>
        </w:tc>
      </w:tr>
      <w:tr w:rsidR="003111D3" w:rsidRPr="00D12F05" w14:paraId="00D91702" w14:textId="77777777" w:rsidTr="00260B0C">
        <w:trPr>
          <w:trHeight w:val="158"/>
        </w:trPr>
        <w:tc>
          <w:tcPr>
            <w:tcW w:w="738" w:type="dxa"/>
            <w:tcBorders>
              <w:top w:val="single" w:sz="6" w:space="0" w:color="auto"/>
              <w:left w:val="single" w:sz="12" w:space="0" w:color="auto"/>
              <w:bottom w:val="single" w:sz="6" w:space="0" w:color="auto"/>
              <w:right w:val="single" w:sz="6" w:space="0" w:color="auto"/>
            </w:tcBorders>
            <w:shd w:val="solid" w:color="FFFFFF" w:fill="auto"/>
            <w:vAlign w:val="center"/>
          </w:tcPr>
          <w:p w14:paraId="00D916FB"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XII</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C"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D"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E"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48 373 729,15</w:t>
            </w: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6FF"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6" w:space="0" w:color="auto"/>
            </w:tcBorders>
            <w:shd w:val="solid" w:color="FFFFFF" w:fill="auto"/>
            <w:vAlign w:val="center"/>
          </w:tcPr>
          <w:p w14:paraId="00D91700"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6" w:space="0" w:color="auto"/>
              <w:right w:val="single" w:sz="12" w:space="0" w:color="auto"/>
            </w:tcBorders>
            <w:shd w:val="solid" w:color="FFFFFF" w:fill="auto"/>
            <w:vAlign w:val="center"/>
          </w:tcPr>
          <w:p w14:paraId="00D91701"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48 373 729,15</w:t>
            </w:r>
          </w:p>
        </w:tc>
      </w:tr>
      <w:tr w:rsidR="003111D3" w:rsidRPr="00D12F05" w14:paraId="00D9170A" w14:textId="77777777" w:rsidTr="00260B0C">
        <w:trPr>
          <w:trHeight w:val="132"/>
        </w:trPr>
        <w:tc>
          <w:tcPr>
            <w:tcW w:w="738" w:type="dxa"/>
            <w:tcBorders>
              <w:top w:val="single" w:sz="6" w:space="0" w:color="auto"/>
              <w:left w:val="single" w:sz="12" w:space="0" w:color="auto"/>
              <w:bottom w:val="single" w:sz="12" w:space="0" w:color="auto"/>
              <w:right w:val="single" w:sz="6" w:space="0" w:color="auto"/>
            </w:tcBorders>
            <w:shd w:val="solid" w:color="FFFFFF" w:fill="auto"/>
            <w:vAlign w:val="center"/>
          </w:tcPr>
          <w:p w14:paraId="00D91703" w14:textId="77777777" w:rsidR="00E00DF2" w:rsidRPr="00D12F05" w:rsidRDefault="00E00DF2" w:rsidP="007C7817">
            <w:pPr>
              <w:autoSpaceDE w:val="0"/>
              <w:autoSpaceDN w:val="0"/>
              <w:adjustRightInd w:val="0"/>
              <w:rPr>
                <w:rFonts w:ascii="Arial" w:eastAsia="Calibri" w:hAnsi="Arial" w:cs="Arial"/>
                <w:b/>
                <w:bCs/>
                <w:color w:val="000000"/>
                <w:sz w:val="12"/>
                <w:szCs w:val="12"/>
                <w:lang w:eastAsia="cs-CZ"/>
              </w:rPr>
            </w:pPr>
            <w:r w:rsidRPr="00D12F05">
              <w:rPr>
                <w:rFonts w:ascii="Arial" w:eastAsia="Calibri" w:hAnsi="Arial" w:cs="Arial"/>
                <w:b/>
                <w:bCs/>
                <w:color w:val="000000"/>
                <w:sz w:val="12"/>
                <w:szCs w:val="12"/>
                <w:lang w:eastAsia="cs-CZ"/>
              </w:rPr>
              <w:t>Část XIII</w:t>
            </w:r>
          </w:p>
        </w:tc>
        <w:tc>
          <w:tcPr>
            <w:tcW w:w="1395" w:type="dxa"/>
            <w:tcBorders>
              <w:top w:val="single" w:sz="6" w:space="0" w:color="auto"/>
              <w:left w:val="single" w:sz="6" w:space="0" w:color="auto"/>
              <w:bottom w:val="single" w:sz="12" w:space="0" w:color="auto"/>
              <w:right w:val="single" w:sz="6" w:space="0" w:color="auto"/>
            </w:tcBorders>
            <w:shd w:val="solid" w:color="FFFFFF" w:fill="auto"/>
            <w:vAlign w:val="center"/>
          </w:tcPr>
          <w:p w14:paraId="00D91704"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12" w:space="0" w:color="auto"/>
              <w:right w:val="single" w:sz="6" w:space="0" w:color="auto"/>
            </w:tcBorders>
            <w:shd w:val="solid" w:color="FFFFFF" w:fill="auto"/>
            <w:vAlign w:val="center"/>
          </w:tcPr>
          <w:p w14:paraId="00D91705"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r w:rsidRPr="00D12F05">
              <w:rPr>
                <w:rFonts w:ascii="Arial" w:eastAsia="Calibri" w:hAnsi="Arial" w:cs="Arial"/>
                <w:color w:val="000000"/>
                <w:sz w:val="12"/>
                <w:szCs w:val="12"/>
                <w:lang w:eastAsia="cs-CZ"/>
              </w:rPr>
              <w:t>1 580 232 400,00</w:t>
            </w:r>
          </w:p>
        </w:tc>
        <w:tc>
          <w:tcPr>
            <w:tcW w:w="1395" w:type="dxa"/>
            <w:tcBorders>
              <w:top w:val="single" w:sz="6" w:space="0" w:color="auto"/>
              <w:left w:val="single" w:sz="6" w:space="0" w:color="auto"/>
              <w:bottom w:val="single" w:sz="12" w:space="0" w:color="auto"/>
              <w:right w:val="single" w:sz="6" w:space="0" w:color="auto"/>
            </w:tcBorders>
            <w:shd w:val="solid" w:color="FFFFFF" w:fill="auto"/>
            <w:vAlign w:val="center"/>
          </w:tcPr>
          <w:p w14:paraId="00D91706"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12" w:space="0" w:color="auto"/>
              <w:right w:val="single" w:sz="6" w:space="0" w:color="auto"/>
            </w:tcBorders>
            <w:shd w:val="solid" w:color="FFFFFF" w:fill="auto"/>
            <w:vAlign w:val="center"/>
          </w:tcPr>
          <w:p w14:paraId="00D91707"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12" w:space="0" w:color="auto"/>
              <w:right w:val="single" w:sz="6" w:space="0" w:color="auto"/>
            </w:tcBorders>
            <w:shd w:val="solid" w:color="FFFFFF" w:fill="auto"/>
            <w:vAlign w:val="center"/>
          </w:tcPr>
          <w:p w14:paraId="00D91708" w14:textId="77777777" w:rsidR="00E00DF2" w:rsidRPr="00D12F05" w:rsidRDefault="00E00DF2" w:rsidP="007C7817">
            <w:pPr>
              <w:autoSpaceDE w:val="0"/>
              <w:autoSpaceDN w:val="0"/>
              <w:adjustRightInd w:val="0"/>
              <w:jc w:val="right"/>
              <w:rPr>
                <w:rFonts w:ascii="Arial" w:eastAsia="Calibri" w:hAnsi="Arial" w:cs="Arial"/>
                <w:color w:val="000000"/>
                <w:sz w:val="12"/>
                <w:szCs w:val="12"/>
                <w:lang w:eastAsia="cs-CZ"/>
              </w:rPr>
            </w:pPr>
          </w:p>
        </w:tc>
        <w:tc>
          <w:tcPr>
            <w:tcW w:w="1395" w:type="dxa"/>
            <w:tcBorders>
              <w:top w:val="single" w:sz="6" w:space="0" w:color="auto"/>
              <w:left w:val="single" w:sz="6" w:space="0" w:color="auto"/>
              <w:bottom w:val="single" w:sz="12" w:space="0" w:color="auto"/>
              <w:right w:val="single" w:sz="12" w:space="0" w:color="auto"/>
            </w:tcBorders>
            <w:shd w:val="solid" w:color="FFFFFF" w:fill="auto"/>
            <w:vAlign w:val="center"/>
          </w:tcPr>
          <w:p w14:paraId="00D91709" w14:textId="77777777" w:rsidR="00E00DF2" w:rsidRPr="00D12F05" w:rsidRDefault="00E00DF2" w:rsidP="007C7817">
            <w:pPr>
              <w:autoSpaceDE w:val="0"/>
              <w:autoSpaceDN w:val="0"/>
              <w:adjustRightInd w:val="0"/>
              <w:jc w:val="right"/>
              <w:rPr>
                <w:rFonts w:ascii="Arial" w:eastAsia="Calibri" w:hAnsi="Arial" w:cs="Arial"/>
                <w:b/>
                <w:color w:val="000000"/>
                <w:sz w:val="12"/>
                <w:szCs w:val="12"/>
                <w:lang w:eastAsia="cs-CZ"/>
              </w:rPr>
            </w:pPr>
            <w:r w:rsidRPr="00D12F05">
              <w:rPr>
                <w:rFonts w:ascii="Arial" w:eastAsia="Calibri" w:hAnsi="Arial" w:cs="Arial"/>
                <w:b/>
                <w:color w:val="000000"/>
                <w:sz w:val="12"/>
                <w:szCs w:val="12"/>
                <w:lang w:eastAsia="cs-CZ"/>
              </w:rPr>
              <w:t>1 580 232 400,00</w:t>
            </w:r>
          </w:p>
        </w:tc>
      </w:tr>
      <w:tr w:rsidR="003111D3" w:rsidRPr="00D12F05" w14:paraId="00D91712" w14:textId="77777777" w:rsidTr="00260B0C">
        <w:trPr>
          <w:trHeight w:val="290"/>
        </w:trPr>
        <w:tc>
          <w:tcPr>
            <w:tcW w:w="738" w:type="dxa"/>
            <w:tcBorders>
              <w:top w:val="single" w:sz="12" w:space="0" w:color="auto"/>
              <w:left w:val="single" w:sz="12" w:space="0" w:color="auto"/>
              <w:bottom w:val="single" w:sz="12" w:space="0" w:color="auto"/>
              <w:right w:val="single" w:sz="6" w:space="0" w:color="auto"/>
            </w:tcBorders>
            <w:vAlign w:val="center"/>
          </w:tcPr>
          <w:p w14:paraId="00D9170B" w14:textId="77777777" w:rsidR="00E00DF2" w:rsidRPr="00260B0C" w:rsidRDefault="00E00DF2" w:rsidP="007C7817">
            <w:pPr>
              <w:autoSpaceDE w:val="0"/>
              <w:autoSpaceDN w:val="0"/>
              <w:adjustRightInd w:val="0"/>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Celkem</w:t>
            </w:r>
          </w:p>
        </w:tc>
        <w:tc>
          <w:tcPr>
            <w:tcW w:w="1395" w:type="dxa"/>
            <w:tcBorders>
              <w:top w:val="single" w:sz="12" w:space="0" w:color="auto"/>
              <w:left w:val="single" w:sz="6" w:space="0" w:color="auto"/>
              <w:bottom w:val="single" w:sz="12" w:space="0" w:color="auto"/>
              <w:right w:val="single" w:sz="6" w:space="0" w:color="auto"/>
            </w:tcBorders>
            <w:vAlign w:val="center"/>
          </w:tcPr>
          <w:p w14:paraId="00D9170C" w14:textId="77777777" w:rsidR="00E00DF2" w:rsidRPr="00260B0C" w:rsidRDefault="00E00DF2" w:rsidP="00260B0C">
            <w:pPr>
              <w:autoSpaceDE w:val="0"/>
              <w:autoSpaceDN w:val="0"/>
              <w:adjustRightInd w:val="0"/>
              <w:ind w:left="-70"/>
              <w:jc w:val="right"/>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59 215 052 155,83</w:t>
            </w:r>
          </w:p>
        </w:tc>
        <w:tc>
          <w:tcPr>
            <w:tcW w:w="1395" w:type="dxa"/>
            <w:tcBorders>
              <w:top w:val="single" w:sz="12" w:space="0" w:color="auto"/>
              <w:left w:val="single" w:sz="6" w:space="0" w:color="auto"/>
              <w:bottom w:val="single" w:sz="12" w:space="0" w:color="auto"/>
              <w:right w:val="single" w:sz="6" w:space="0" w:color="auto"/>
            </w:tcBorders>
            <w:vAlign w:val="center"/>
          </w:tcPr>
          <w:p w14:paraId="00D9170D" w14:textId="77777777" w:rsidR="00E00DF2" w:rsidRPr="00260B0C" w:rsidRDefault="00E00DF2" w:rsidP="007C7817">
            <w:pPr>
              <w:autoSpaceDE w:val="0"/>
              <w:autoSpaceDN w:val="0"/>
              <w:adjustRightInd w:val="0"/>
              <w:jc w:val="right"/>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208 082 131 026,97</w:t>
            </w:r>
          </w:p>
        </w:tc>
        <w:tc>
          <w:tcPr>
            <w:tcW w:w="1395" w:type="dxa"/>
            <w:tcBorders>
              <w:top w:val="single" w:sz="12" w:space="0" w:color="auto"/>
              <w:left w:val="single" w:sz="6" w:space="0" w:color="auto"/>
              <w:bottom w:val="single" w:sz="12" w:space="0" w:color="auto"/>
              <w:right w:val="single" w:sz="6" w:space="0" w:color="auto"/>
            </w:tcBorders>
            <w:vAlign w:val="center"/>
          </w:tcPr>
          <w:p w14:paraId="00D9170E" w14:textId="77777777" w:rsidR="00E00DF2" w:rsidRPr="00260B0C" w:rsidRDefault="00E00DF2" w:rsidP="007C7817">
            <w:pPr>
              <w:autoSpaceDE w:val="0"/>
              <w:autoSpaceDN w:val="0"/>
              <w:adjustRightInd w:val="0"/>
              <w:jc w:val="right"/>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202 332 731 301,80</w:t>
            </w:r>
          </w:p>
        </w:tc>
        <w:tc>
          <w:tcPr>
            <w:tcW w:w="1395" w:type="dxa"/>
            <w:tcBorders>
              <w:top w:val="single" w:sz="12" w:space="0" w:color="auto"/>
              <w:left w:val="single" w:sz="6" w:space="0" w:color="auto"/>
              <w:bottom w:val="single" w:sz="12" w:space="0" w:color="auto"/>
              <w:right w:val="single" w:sz="6" w:space="0" w:color="auto"/>
            </w:tcBorders>
            <w:vAlign w:val="center"/>
          </w:tcPr>
          <w:p w14:paraId="00D9170F" w14:textId="77777777" w:rsidR="00E00DF2" w:rsidRPr="00260B0C" w:rsidRDefault="00E00DF2" w:rsidP="00260B0C">
            <w:pPr>
              <w:autoSpaceDE w:val="0"/>
              <w:autoSpaceDN w:val="0"/>
              <w:adjustRightInd w:val="0"/>
              <w:ind w:left="-70"/>
              <w:jc w:val="right"/>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65 049 922 053,11</w:t>
            </w:r>
          </w:p>
        </w:tc>
        <w:tc>
          <w:tcPr>
            <w:tcW w:w="1395" w:type="dxa"/>
            <w:tcBorders>
              <w:top w:val="single" w:sz="12" w:space="0" w:color="auto"/>
              <w:left w:val="single" w:sz="6" w:space="0" w:color="auto"/>
              <w:bottom w:val="single" w:sz="12" w:space="0" w:color="auto"/>
              <w:right w:val="single" w:sz="6" w:space="0" w:color="auto"/>
            </w:tcBorders>
            <w:vAlign w:val="center"/>
          </w:tcPr>
          <w:p w14:paraId="00D91710" w14:textId="77777777" w:rsidR="00E00DF2" w:rsidRPr="00260B0C" w:rsidRDefault="00E00DF2" w:rsidP="00260B0C">
            <w:pPr>
              <w:autoSpaceDE w:val="0"/>
              <w:autoSpaceDN w:val="0"/>
              <w:adjustRightInd w:val="0"/>
              <w:ind w:left="-113"/>
              <w:jc w:val="right"/>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139 056 165 522,82</w:t>
            </w:r>
          </w:p>
        </w:tc>
        <w:tc>
          <w:tcPr>
            <w:tcW w:w="1395" w:type="dxa"/>
            <w:tcBorders>
              <w:top w:val="single" w:sz="12" w:space="0" w:color="auto"/>
              <w:left w:val="single" w:sz="6" w:space="0" w:color="auto"/>
              <w:bottom w:val="single" w:sz="12" w:space="0" w:color="auto"/>
              <w:right w:val="single" w:sz="12" w:space="0" w:color="auto"/>
            </w:tcBorders>
            <w:shd w:val="clear" w:color="auto" w:fill="D9D9D9"/>
            <w:vAlign w:val="center"/>
          </w:tcPr>
          <w:p w14:paraId="00D91711" w14:textId="77777777" w:rsidR="00E00DF2" w:rsidRPr="00260B0C" w:rsidRDefault="00E00DF2" w:rsidP="007C7817">
            <w:pPr>
              <w:autoSpaceDE w:val="0"/>
              <w:autoSpaceDN w:val="0"/>
              <w:adjustRightInd w:val="0"/>
              <w:jc w:val="right"/>
              <w:rPr>
                <w:rFonts w:ascii="Arial" w:eastAsia="Calibri" w:hAnsi="Arial" w:cs="Arial"/>
                <w:b/>
                <w:bCs/>
                <w:color w:val="000000"/>
                <w:sz w:val="14"/>
                <w:szCs w:val="14"/>
                <w:lang w:eastAsia="cs-CZ"/>
              </w:rPr>
            </w:pPr>
            <w:r w:rsidRPr="00260B0C">
              <w:rPr>
                <w:rFonts w:ascii="Arial" w:eastAsia="Calibri" w:hAnsi="Arial" w:cs="Arial"/>
                <w:b/>
                <w:bCs/>
                <w:color w:val="000000"/>
                <w:sz w:val="14"/>
                <w:szCs w:val="14"/>
                <w:lang w:eastAsia="cs-CZ"/>
              </w:rPr>
              <w:t>673 736 002 060,53</w:t>
            </w:r>
          </w:p>
        </w:tc>
      </w:tr>
    </w:tbl>
    <w:p w14:paraId="00D91713" w14:textId="77777777" w:rsidR="00E00DF2" w:rsidRPr="00852230" w:rsidRDefault="00E00DF2" w:rsidP="00260B0C">
      <w:pPr>
        <w:spacing w:before="20"/>
        <w:rPr>
          <w:rFonts w:ascii="Arial" w:hAnsi="Arial" w:cs="Arial"/>
          <w:sz w:val="18"/>
          <w:szCs w:val="18"/>
        </w:rPr>
      </w:pPr>
      <w:r w:rsidRPr="00260B0C">
        <w:rPr>
          <w:rFonts w:ascii="Arial" w:hAnsi="Arial" w:cs="Arial"/>
          <w:b/>
          <w:sz w:val="18"/>
          <w:szCs w:val="18"/>
        </w:rPr>
        <w:t>Zdroj:</w:t>
      </w:r>
      <w:r w:rsidRPr="00852230">
        <w:rPr>
          <w:rFonts w:ascii="Arial" w:hAnsi="Arial" w:cs="Arial"/>
          <w:sz w:val="18"/>
          <w:szCs w:val="18"/>
        </w:rPr>
        <w:t xml:space="preserve"> CSÚIS</w:t>
      </w:r>
      <w:r w:rsidR="0053213D">
        <w:rPr>
          <w:rFonts w:ascii="Arial" w:hAnsi="Arial" w:cs="Arial"/>
          <w:sz w:val="18"/>
          <w:szCs w:val="18"/>
        </w:rPr>
        <w:t>.</w:t>
      </w:r>
    </w:p>
    <w:p w14:paraId="00D91714" w14:textId="77777777" w:rsidR="00E00DF2" w:rsidRPr="00374A53" w:rsidRDefault="00E73631" w:rsidP="00260B0C">
      <w:pPr>
        <w:ind w:left="595" w:hanging="595"/>
        <w:rPr>
          <w:rFonts w:ascii="Arial" w:hAnsi="Arial" w:cs="Arial"/>
          <w:sz w:val="18"/>
          <w:szCs w:val="18"/>
        </w:rPr>
      </w:pPr>
      <w:r w:rsidRPr="00260B0C">
        <w:rPr>
          <w:rFonts w:ascii="Arial" w:hAnsi="Arial" w:cs="Arial"/>
          <w:b/>
          <w:bCs/>
          <w:iCs/>
          <w:sz w:val="18"/>
          <w:szCs w:val="18"/>
        </w:rPr>
        <w:t>Pozn.:</w:t>
      </w:r>
      <w:r w:rsidR="009F047D">
        <w:rPr>
          <w:rFonts w:ascii="Arial" w:hAnsi="Arial" w:cs="Arial"/>
          <w:bCs/>
          <w:iCs/>
          <w:sz w:val="18"/>
          <w:szCs w:val="18"/>
        </w:rPr>
        <w:t xml:space="preserve"> </w:t>
      </w:r>
      <w:r w:rsidR="00610CF9">
        <w:rPr>
          <w:rFonts w:ascii="Arial" w:hAnsi="Arial" w:cs="Arial"/>
          <w:bCs/>
          <w:iCs/>
          <w:sz w:val="18"/>
          <w:szCs w:val="18"/>
        </w:rPr>
        <w:t>V</w:t>
      </w:r>
      <w:r w:rsidR="009F047D">
        <w:rPr>
          <w:rFonts w:ascii="Arial" w:hAnsi="Arial" w:cs="Arial"/>
          <w:bCs/>
          <w:iCs/>
          <w:sz w:val="18"/>
          <w:szCs w:val="18"/>
        </w:rPr>
        <w:t> </w:t>
      </w:r>
      <w:r w:rsidR="00610CF9">
        <w:rPr>
          <w:rFonts w:ascii="Arial" w:hAnsi="Arial" w:cs="Arial"/>
          <w:bCs/>
          <w:iCs/>
          <w:sz w:val="18"/>
          <w:szCs w:val="18"/>
        </w:rPr>
        <w:t>jednotlivých částech PAP jsou uváděny údaje o konkrétních položkách; ú</w:t>
      </w:r>
      <w:r w:rsidR="00E00DF2" w:rsidRPr="00374A53">
        <w:rPr>
          <w:rFonts w:ascii="Arial" w:hAnsi="Arial" w:cs="Arial"/>
          <w:bCs/>
          <w:iCs/>
          <w:sz w:val="18"/>
          <w:szCs w:val="18"/>
        </w:rPr>
        <w:t>daje uvedené v tabulce jsou agregací</w:t>
      </w:r>
      <w:r w:rsidR="00610CF9">
        <w:rPr>
          <w:rFonts w:ascii="Arial" w:hAnsi="Arial" w:cs="Arial"/>
          <w:bCs/>
          <w:iCs/>
          <w:sz w:val="18"/>
          <w:szCs w:val="18"/>
        </w:rPr>
        <w:t xml:space="preserve"> těchto údajů</w:t>
      </w:r>
      <w:r w:rsidR="00E00DF2">
        <w:rPr>
          <w:rFonts w:ascii="Arial" w:hAnsi="Arial" w:cs="Arial"/>
          <w:bCs/>
          <w:iCs/>
          <w:sz w:val="18"/>
          <w:szCs w:val="18"/>
        </w:rPr>
        <w:t xml:space="preserve"> proveden</w:t>
      </w:r>
      <w:r w:rsidR="00610CF9">
        <w:rPr>
          <w:rFonts w:ascii="Arial" w:hAnsi="Arial" w:cs="Arial"/>
          <w:bCs/>
          <w:iCs/>
          <w:sz w:val="18"/>
          <w:szCs w:val="18"/>
        </w:rPr>
        <w:t>ou</w:t>
      </w:r>
      <w:r w:rsidR="00E00DF2">
        <w:rPr>
          <w:rFonts w:ascii="Arial" w:hAnsi="Arial" w:cs="Arial"/>
          <w:bCs/>
          <w:iCs/>
          <w:sz w:val="18"/>
          <w:szCs w:val="18"/>
        </w:rPr>
        <w:t xml:space="preserve"> NKÚ. </w:t>
      </w:r>
      <w:r w:rsidR="009F047D">
        <w:rPr>
          <w:rFonts w:ascii="Arial" w:hAnsi="Arial" w:cs="Arial"/>
          <w:bCs/>
          <w:iCs/>
          <w:sz w:val="18"/>
          <w:szCs w:val="18"/>
        </w:rPr>
        <w:t>V </w:t>
      </w:r>
      <w:r w:rsidR="00E00DF2" w:rsidRPr="00374A53">
        <w:rPr>
          <w:rFonts w:ascii="Arial" w:hAnsi="Arial" w:cs="Arial"/>
          <w:bCs/>
          <w:iCs/>
          <w:sz w:val="18"/>
          <w:szCs w:val="18"/>
        </w:rPr>
        <w:t xml:space="preserve">případě rozpadu syntetických účtů na analytické </w:t>
      </w:r>
      <w:r w:rsidR="00E00DF2">
        <w:rPr>
          <w:rFonts w:ascii="Arial" w:hAnsi="Arial" w:cs="Arial"/>
          <w:bCs/>
          <w:iCs/>
          <w:sz w:val="18"/>
          <w:szCs w:val="18"/>
        </w:rPr>
        <w:t>členění pro účely</w:t>
      </w:r>
      <w:r w:rsidR="00E00DF2" w:rsidRPr="00374A53">
        <w:rPr>
          <w:rFonts w:ascii="Arial" w:hAnsi="Arial" w:cs="Arial"/>
          <w:bCs/>
          <w:iCs/>
          <w:sz w:val="18"/>
          <w:szCs w:val="18"/>
        </w:rPr>
        <w:t xml:space="preserve"> PAP tvoří agregovanou položku součet syntetického</w:t>
      </w:r>
      <w:r w:rsidR="00E00DF2">
        <w:rPr>
          <w:rFonts w:ascii="Arial" w:hAnsi="Arial" w:cs="Arial"/>
          <w:bCs/>
          <w:iCs/>
          <w:sz w:val="18"/>
          <w:szCs w:val="18"/>
        </w:rPr>
        <w:t xml:space="preserve"> účtu a jeho analytického členění. </w:t>
      </w:r>
    </w:p>
    <w:p w14:paraId="00D91715" w14:textId="77777777" w:rsidR="007D15A5" w:rsidRDefault="007D15A5" w:rsidP="00E00DF2">
      <w:pPr>
        <w:pStyle w:val="Odstavecseseznamem"/>
        <w:tabs>
          <w:tab w:val="left" w:pos="720"/>
        </w:tabs>
        <w:autoSpaceDE w:val="0"/>
        <w:autoSpaceDN w:val="0"/>
        <w:adjustRightInd w:val="0"/>
        <w:ind w:left="0"/>
        <w:jc w:val="both"/>
        <w:rPr>
          <w:rFonts w:ascii="Arial" w:hAnsi="Arial" w:cs="Arial"/>
          <w:sz w:val="22"/>
          <w:szCs w:val="22"/>
        </w:rPr>
      </w:pPr>
    </w:p>
    <w:p w14:paraId="00D91716" w14:textId="77777777" w:rsidR="00E00DF2" w:rsidRDefault="00E00DF2" w:rsidP="00E00DF2">
      <w:pPr>
        <w:pStyle w:val="Odstavecseseznamem"/>
        <w:tabs>
          <w:tab w:val="left" w:pos="720"/>
        </w:tabs>
        <w:autoSpaceDE w:val="0"/>
        <w:autoSpaceDN w:val="0"/>
        <w:adjustRightInd w:val="0"/>
        <w:ind w:left="0"/>
        <w:jc w:val="both"/>
        <w:rPr>
          <w:rFonts w:ascii="Arial" w:hAnsi="Arial" w:cs="Arial"/>
          <w:sz w:val="22"/>
          <w:szCs w:val="22"/>
        </w:rPr>
      </w:pPr>
      <w:r w:rsidRPr="00374A53">
        <w:rPr>
          <w:rFonts w:ascii="Arial" w:hAnsi="Arial" w:cs="Arial"/>
          <w:sz w:val="22"/>
          <w:szCs w:val="22"/>
        </w:rPr>
        <w:t>Z tabulky vyplývá, že celkem byly v</w:t>
      </w:r>
      <w:r>
        <w:rPr>
          <w:rFonts w:ascii="Arial" w:hAnsi="Arial" w:cs="Arial"/>
          <w:sz w:val="22"/>
          <w:szCs w:val="22"/>
        </w:rPr>
        <w:t> </w:t>
      </w:r>
      <w:r w:rsidRPr="00374A53">
        <w:rPr>
          <w:rFonts w:ascii="Arial" w:hAnsi="Arial" w:cs="Arial"/>
          <w:sz w:val="22"/>
          <w:szCs w:val="22"/>
        </w:rPr>
        <w:t>PAP</w:t>
      </w:r>
      <w:r>
        <w:rPr>
          <w:rFonts w:ascii="Arial" w:hAnsi="Arial" w:cs="Arial"/>
          <w:sz w:val="22"/>
          <w:szCs w:val="22"/>
        </w:rPr>
        <w:t xml:space="preserve"> MPO k 31. prosinci 2012 zachyceny údaje ve výši 673 </w:t>
      </w:r>
      <w:r w:rsidRPr="00374A53">
        <w:rPr>
          <w:rFonts w:ascii="Arial" w:hAnsi="Arial" w:cs="Arial"/>
          <w:sz w:val="22"/>
          <w:szCs w:val="22"/>
        </w:rPr>
        <w:t xml:space="preserve">736 002 060,53 Kč. </w:t>
      </w:r>
      <w:r>
        <w:rPr>
          <w:rFonts w:ascii="Arial" w:hAnsi="Arial" w:cs="Arial"/>
          <w:sz w:val="22"/>
          <w:szCs w:val="22"/>
        </w:rPr>
        <w:t>Strukturu a objem těchto údajů z hlediska jejich návaznosti na účetnictví MPO zobrazuje graf č. 2.</w:t>
      </w:r>
      <w:r w:rsidDel="00B42499">
        <w:rPr>
          <w:rFonts w:ascii="Arial" w:hAnsi="Arial" w:cs="Arial"/>
          <w:sz w:val="22"/>
          <w:szCs w:val="22"/>
        </w:rPr>
        <w:t xml:space="preserve"> </w:t>
      </w:r>
    </w:p>
    <w:p w14:paraId="00D91717" w14:textId="77777777" w:rsidR="00E00DF2" w:rsidRDefault="00E00DF2" w:rsidP="00E00DF2">
      <w:pPr>
        <w:pStyle w:val="Odstavecseseznamem"/>
        <w:tabs>
          <w:tab w:val="left" w:pos="720"/>
        </w:tabs>
        <w:autoSpaceDE w:val="0"/>
        <w:autoSpaceDN w:val="0"/>
        <w:adjustRightInd w:val="0"/>
        <w:ind w:left="0"/>
        <w:jc w:val="both"/>
        <w:rPr>
          <w:rFonts w:ascii="Arial" w:hAnsi="Arial" w:cs="Arial"/>
          <w:sz w:val="22"/>
          <w:szCs w:val="22"/>
        </w:rPr>
      </w:pPr>
    </w:p>
    <w:p w14:paraId="00D91718" w14:textId="77777777" w:rsidR="00E00DF2" w:rsidRDefault="00E00DF2" w:rsidP="00607E92">
      <w:pPr>
        <w:pStyle w:val="Odstavecseseznamem"/>
        <w:tabs>
          <w:tab w:val="left" w:pos="720"/>
        </w:tabs>
        <w:autoSpaceDE w:val="0"/>
        <w:autoSpaceDN w:val="0"/>
        <w:adjustRightInd w:val="0"/>
        <w:spacing w:after="40"/>
        <w:ind w:left="0"/>
        <w:contextualSpacing w:val="0"/>
        <w:jc w:val="both"/>
        <w:rPr>
          <w:rFonts w:ascii="Arial" w:hAnsi="Arial" w:cs="Arial"/>
          <w:b/>
          <w:sz w:val="22"/>
          <w:szCs w:val="22"/>
        </w:rPr>
      </w:pPr>
      <w:r w:rsidRPr="00980EAB">
        <w:rPr>
          <w:rFonts w:ascii="Arial" w:hAnsi="Arial" w:cs="Arial"/>
          <w:b/>
          <w:sz w:val="22"/>
          <w:szCs w:val="22"/>
        </w:rPr>
        <w:t xml:space="preserve">Graf č. 2 – </w:t>
      </w:r>
      <w:r>
        <w:rPr>
          <w:rFonts w:ascii="Arial" w:hAnsi="Arial" w:cs="Arial"/>
          <w:b/>
          <w:sz w:val="22"/>
          <w:szCs w:val="22"/>
        </w:rPr>
        <w:t>Struktura a o</w:t>
      </w:r>
      <w:r w:rsidR="001663DF">
        <w:rPr>
          <w:rFonts w:ascii="Arial" w:hAnsi="Arial" w:cs="Arial"/>
          <w:b/>
          <w:sz w:val="22"/>
          <w:szCs w:val="22"/>
        </w:rPr>
        <w:t xml:space="preserve">bjem údajů PAP </w:t>
      </w:r>
      <w:r w:rsidRPr="00980EAB">
        <w:rPr>
          <w:rFonts w:ascii="Arial" w:hAnsi="Arial" w:cs="Arial"/>
          <w:b/>
          <w:sz w:val="22"/>
          <w:szCs w:val="22"/>
        </w:rPr>
        <w:t>MPO k 31. prosinci 2012 (v mld. Kč)</w:t>
      </w:r>
    </w:p>
    <w:p w14:paraId="00D91719" w14:textId="77777777" w:rsidR="00821B17" w:rsidRDefault="001E468F" w:rsidP="00607E92">
      <w:pPr>
        <w:pStyle w:val="Odstavecseseznamem"/>
        <w:tabs>
          <w:tab w:val="left" w:pos="720"/>
        </w:tabs>
        <w:autoSpaceDE w:val="0"/>
        <w:autoSpaceDN w:val="0"/>
        <w:adjustRightInd w:val="0"/>
        <w:spacing w:after="40"/>
        <w:ind w:left="0"/>
        <w:contextualSpacing w:val="0"/>
        <w:jc w:val="both"/>
        <w:rPr>
          <w:rFonts w:ascii="Arial" w:hAnsi="Arial" w:cs="Arial"/>
          <w:b/>
          <w:sz w:val="22"/>
          <w:szCs w:val="22"/>
        </w:rPr>
      </w:pPr>
      <w:r>
        <w:rPr>
          <w:rFonts w:ascii="Arial" w:hAnsi="Arial" w:cs="Arial"/>
          <w:b/>
          <w:noProof/>
          <w:sz w:val="22"/>
          <w:szCs w:val="22"/>
          <w:lang w:eastAsia="cs-CZ"/>
        </w:rPr>
        <w:drawing>
          <wp:inline distT="0" distB="0" distL="0" distR="0" wp14:anchorId="00D91931" wp14:editId="00D91932">
            <wp:extent cx="5247861" cy="3562184"/>
            <wp:effectExtent l="0" t="0" r="0" b="635"/>
            <wp:docPr id="9" name="Obrázek 9" descr="H:\KZ ke korekturám\2013\2013, IV\Grafy 13-11\graf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Z ke korekturám\2013\2013, IV\Grafy 13-11\graf 2.2.jpg"/>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10000"/>
                              </a14:imgEffect>
                              <a14:imgEffect>
                                <a14:saturation sat="110000"/>
                              </a14:imgEffect>
                              <a14:imgEffect>
                                <a14:brightnessContrast contrast="2000"/>
                              </a14:imgEffect>
                            </a14:imgLayer>
                          </a14:imgProps>
                        </a:ext>
                        <a:ext uri="{28A0092B-C50C-407E-A947-70E740481C1C}">
                          <a14:useLocalDpi xmlns:a14="http://schemas.microsoft.com/office/drawing/2010/main" val="0"/>
                        </a:ext>
                      </a:extLst>
                    </a:blip>
                    <a:srcRect/>
                    <a:stretch>
                      <a:fillRect/>
                    </a:stretch>
                  </pic:blipFill>
                  <pic:spPr bwMode="auto">
                    <a:xfrm>
                      <a:off x="0" y="0"/>
                      <a:ext cx="5251485" cy="3564644"/>
                    </a:xfrm>
                    <a:prstGeom prst="rect">
                      <a:avLst/>
                    </a:prstGeom>
                    <a:noFill/>
                    <a:ln>
                      <a:noFill/>
                    </a:ln>
                  </pic:spPr>
                </pic:pic>
              </a:graphicData>
            </a:graphic>
          </wp:inline>
        </w:drawing>
      </w:r>
    </w:p>
    <w:p w14:paraId="00D9171A" w14:textId="77777777" w:rsidR="00BA0003" w:rsidRDefault="00BA0003" w:rsidP="00E00DF2">
      <w:pPr>
        <w:pStyle w:val="Odstavecseseznamem"/>
        <w:tabs>
          <w:tab w:val="left" w:pos="720"/>
        </w:tabs>
        <w:autoSpaceDE w:val="0"/>
        <w:autoSpaceDN w:val="0"/>
        <w:adjustRightInd w:val="0"/>
        <w:ind w:left="0"/>
        <w:jc w:val="both"/>
        <w:rPr>
          <w:rFonts w:ascii="Arial" w:hAnsi="Arial" w:cs="Arial"/>
          <w:b/>
          <w:sz w:val="22"/>
          <w:szCs w:val="22"/>
        </w:rPr>
      </w:pPr>
    </w:p>
    <w:p w14:paraId="00D9171B" w14:textId="77777777" w:rsidR="00E00DF2" w:rsidRDefault="00E00DF2" w:rsidP="00E00DF2">
      <w:pPr>
        <w:pStyle w:val="Odstavecseseznamem"/>
        <w:tabs>
          <w:tab w:val="left" w:pos="720"/>
        </w:tabs>
        <w:autoSpaceDE w:val="0"/>
        <w:autoSpaceDN w:val="0"/>
        <w:adjustRightInd w:val="0"/>
        <w:ind w:left="0"/>
        <w:jc w:val="both"/>
        <w:rPr>
          <w:rFonts w:ascii="Arial" w:hAnsi="Arial" w:cs="Arial"/>
          <w:sz w:val="22"/>
          <w:szCs w:val="22"/>
        </w:rPr>
      </w:pPr>
      <w:r w:rsidRPr="00A23694">
        <w:rPr>
          <w:rFonts w:ascii="Arial" w:hAnsi="Arial" w:cs="Arial"/>
          <w:sz w:val="22"/>
          <w:szCs w:val="22"/>
        </w:rPr>
        <w:t xml:space="preserve">Z grafu </w:t>
      </w:r>
      <w:r w:rsidR="00245C09">
        <w:rPr>
          <w:rFonts w:ascii="Arial" w:hAnsi="Arial" w:cs="Arial"/>
          <w:sz w:val="22"/>
          <w:szCs w:val="22"/>
        </w:rPr>
        <w:t xml:space="preserve">č. 2 </w:t>
      </w:r>
      <w:r>
        <w:rPr>
          <w:rFonts w:ascii="Arial" w:hAnsi="Arial" w:cs="Arial"/>
          <w:sz w:val="22"/>
          <w:szCs w:val="22"/>
        </w:rPr>
        <w:t xml:space="preserve">je zřejmé, že největší objem údajů </w:t>
      </w:r>
      <w:r w:rsidR="009F047D">
        <w:rPr>
          <w:rFonts w:ascii="Arial" w:hAnsi="Arial" w:cs="Arial"/>
          <w:sz w:val="22"/>
          <w:szCs w:val="22"/>
        </w:rPr>
        <w:t>v </w:t>
      </w:r>
      <w:r>
        <w:rPr>
          <w:rFonts w:ascii="Arial" w:hAnsi="Arial" w:cs="Arial"/>
          <w:sz w:val="22"/>
          <w:szCs w:val="22"/>
        </w:rPr>
        <w:t>PAP (68 %) vzniká v důsledku řetězení</w:t>
      </w:r>
      <w:r w:rsidR="00610CF9">
        <w:rPr>
          <w:rFonts w:ascii="Arial" w:hAnsi="Arial" w:cs="Arial"/>
          <w:sz w:val="22"/>
          <w:szCs w:val="22"/>
        </w:rPr>
        <w:t>,</w:t>
      </w:r>
      <w:r>
        <w:rPr>
          <w:rFonts w:ascii="Arial" w:hAnsi="Arial" w:cs="Arial"/>
          <w:sz w:val="22"/>
          <w:szCs w:val="22"/>
        </w:rPr>
        <w:t xml:space="preserve"> tzn.</w:t>
      </w:r>
      <w:r w:rsidR="0053213D">
        <w:rPr>
          <w:rFonts w:ascii="Arial" w:hAnsi="Arial" w:cs="Arial"/>
          <w:sz w:val="22"/>
          <w:szCs w:val="22"/>
        </w:rPr>
        <w:t> </w:t>
      </w:r>
      <w:r>
        <w:rPr>
          <w:rFonts w:ascii="Arial" w:hAnsi="Arial" w:cs="Arial"/>
          <w:sz w:val="22"/>
          <w:szCs w:val="22"/>
        </w:rPr>
        <w:t xml:space="preserve">promítání údajů </w:t>
      </w:r>
      <w:r w:rsidR="009F047D">
        <w:rPr>
          <w:rFonts w:ascii="Arial" w:hAnsi="Arial" w:cs="Arial"/>
          <w:sz w:val="22"/>
          <w:szCs w:val="22"/>
        </w:rPr>
        <w:t>z </w:t>
      </w:r>
      <w:r>
        <w:rPr>
          <w:rFonts w:ascii="Arial" w:hAnsi="Arial" w:cs="Arial"/>
          <w:sz w:val="22"/>
          <w:szCs w:val="22"/>
        </w:rPr>
        <w:t>jedné části PAP do další části, ve které jsou dále členěny.</w:t>
      </w:r>
    </w:p>
    <w:p w14:paraId="00D9171C" w14:textId="77777777" w:rsidR="00E00DF2" w:rsidRPr="00A23694" w:rsidRDefault="00E00DF2" w:rsidP="00E00DF2">
      <w:pPr>
        <w:pStyle w:val="Odstavecseseznamem"/>
        <w:tabs>
          <w:tab w:val="left" w:pos="720"/>
        </w:tabs>
        <w:autoSpaceDE w:val="0"/>
        <w:autoSpaceDN w:val="0"/>
        <w:adjustRightInd w:val="0"/>
        <w:ind w:left="0"/>
        <w:jc w:val="both"/>
        <w:rPr>
          <w:rFonts w:ascii="Arial" w:hAnsi="Arial" w:cs="Arial"/>
          <w:sz w:val="22"/>
          <w:szCs w:val="22"/>
        </w:rPr>
      </w:pPr>
    </w:p>
    <w:p w14:paraId="00D9171D" w14:textId="77777777" w:rsidR="00E00DF2" w:rsidRDefault="00E00DF2" w:rsidP="00E00DF2">
      <w:pPr>
        <w:pStyle w:val="Odstavecseseznamem"/>
        <w:tabs>
          <w:tab w:val="left" w:pos="720"/>
        </w:tabs>
        <w:autoSpaceDE w:val="0"/>
        <w:autoSpaceDN w:val="0"/>
        <w:adjustRightInd w:val="0"/>
        <w:ind w:left="0"/>
        <w:jc w:val="both"/>
        <w:rPr>
          <w:rFonts w:ascii="Arial" w:hAnsi="Arial" w:cs="Arial"/>
          <w:b/>
          <w:sz w:val="22"/>
          <w:szCs w:val="22"/>
        </w:rPr>
      </w:pPr>
      <w:r w:rsidRPr="005B505D">
        <w:rPr>
          <w:rFonts w:ascii="Arial" w:hAnsi="Arial" w:cs="Arial"/>
          <w:b/>
          <w:sz w:val="22"/>
          <w:szCs w:val="22"/>
        </w:rPr>
        <w:t>2</w:t>
      </w:r>
      <w:r w:rsidR="0053213D">
        <w:rPr>
          <w:rFonts w:ascii="Arial" w:hAnsi="Arial" w:cs="Arial"/>
          <w:b/>
          <w:sz w:val="22"/>
          <w:szCs w:val="22"/>
        </w:rPr>
        <w:t>.</w:t>
      </w:r>
      <w:r w:rsidRPr="005B505D">
        <w:rPr>
          <w:rFonts w:ascii="Arial" w:hAnsi="Arial" w:cs="Arial"/>
          <w:b/>
          <w:sz w:val="22"/>
          <w:szCs w:val="22"/>
        </w:rPr>
        <w:t xml:space="preserve"> Právní </w:t>
      </w:r>
      <w:r>
        <w:rPr>
          <w:rFonts w:ascii="Arial" w:hAnsi="Arial" w:cs="Arial"/>
          <w:b/>
          <w:sz w:val="22"/>
          <w:szCs w:val="22"/>
        </w:rPr>
        <w:t>předpisy pro</w:t>
      </w:r>
      <w:r w:rsidRPr="005B505D">
        <w:rPr>
          <w:rFonts w:ascii="Arial" w:hAnsi="Arial" w:cs="Arial"/>
          <w:b/>
          <w:sz w:val="22"/>
          <w:szCs w:val="22"/>
        </w:rPr>
        <w:t xml:space="preserve"> PAP</w:t>
      </w:r>
      <w:r>
        <w:rPr>
          <w:rFonts w:ascii="Arial" w:hAnsi="Arial" w:cs="Arial"/>
          <w:b/>
          <w:sz w:val="22"/>
          <w:szCs w:val="22"/>
        </w:rPr>
        <w:t xml:space="preserve"> v roce 2012 a Metodika tvorby PAP</w:t>
      </w:r>
    </w:p>
    <w:p w14:paraId="00D9171E" w14:textId="77777777" w:rsidR="00E00DF2" w:rsidRDefault="00E00DF2" w:rsidP="00E00DF2">
      <w:pPr>
        <w:pStyle w:val="Odstavecseseznamem"/>
        <w:tabs>
          <w:tab w:val="left" w:pos="720"/>
        </w:tabs>
        <w:autoSpaceDE w:val="0"/>
        <w:autoSpaceDN w:val="0"/>
        <w:adjustRightInd w:val="0"/>
        <w:ind w:left="0"/>
        <w:jc w:val="both"/>
        <w:rPr>
          <w:rFonts w:ascii="Arial" w:hAnsi="Arial" w:cs="Arial"/>
          <w:b/>
          <w:sz w:val="22"/>
          <w:szCs w:val="22"/>
        </w:rPr>
      </w:pPr>
    </w:p>
    <w:p w14:paraId="00D9171F" w14:textId="77777777" w:rsidR="00E00DF2" w:rsidRDefault="00245C09" w:rsidP="00E00DF2">
      <w:pPr>
        <w:tabs>
          <w:tab w:val="left" w:pos="720"/>
        </w:tabs>
        <w:autoSpaceDE w:val="0"/>
        <w:autoSpaceDN w:val="0"/>
        <w:adjustRightInd w:val="0"/>
        <w:jc w:val="both"/>
        <w:rPr>
          <w:rFonts w:ascii="Arial" w:hAnsi="Arial" w:cs="Arial"/>
          <w:bCs/>
          <w:iCs/>
          <w:sz w:val="22"/>
          <w:szCs w:val="22"/>
        </w:rPr>
      </w:pPr>
      <w:r>
        <w:rPr>
          <w:rFonts w:ascii="Arial" w:hAnsi="Arial" w:cs="Arial"/>
          <w:sz w:val="22"/>
          <w:szCs w:val="22"/>
        </w:rPr>
        <w:t>P</w:t>
      </w:r>
      <w:r w:rsidR="00E00DF2" w:rsidRPr="00A13AFA">
        <w:rPr>
          <w:rFonts w:ascii="Arial" w:hAnsi="Arial" w:cs="Arial"/>
          <w:sz w:val="22"/>
          <w:szCs w:val="22"/>
        </w:rPr>
        <w:t>rávním předpisem</w:t>
      </w:r>
      <w:r w:rsidR="00E00DF2">
        <w:rPr>
          <w:rFonts w:ascii="Arial" w:hAnsi="Arial" w:cs="Arial"/>
          <w:sz w:val="22"/>
          <w:szCs w:val="22"/>
        </w:rPr>
        <w:t xml:space="preserve"> stanovujícím</w:t>
      </w:r>
      <w:r w:rsidR="00E00DF2" w:rsidRPr="00A13AFA">
        <w:rPr>
          <w:rFonts w:ascii="Arial" w:hAnsi="Arial" w:cs="Arial"/>
          <w:sz w:val="22"/>
          <w:szCs w:val="22"/>
        </w:rPr>
        <w:t xml:space="preserve"> povinnost</w:t>
      </w:r>
      <w:r w:rsidR="00E00DF2">
        <w:rPr>
          <w:rFonts w:ascii="Arial" w:hAnsi="Arial" w:cs="Arial"/>
          <w:sz w:val="22"/>
          <w:szCs w:val="22"/>
        </w:rPr>
        <w:t xml:space="preserve"> předávat údaje PAP a upravujícím jeho</w:t>
      </w:r>
      <w:r w:rsidR="00E00DF2" w:rsidRPr="00A13AFA">
        <w:rPr>
          <w:rFonts w:ascii="Arial" w:hAnsi="Arial" w:cs="Arial"/>
          <w:sz w:val="22"/>
          <w:szCs w:val="22"/>
        </w:rPr>
        <w:t xml:space="preserve"> obsah je vyhláška č. 383/2009 Sb</w:t>
      </w:r>
      <w:r w:rsidR="00E00DF2">
        <w:rPr>
          <w:rFonts w:ascii="Arial" w:hAnsi="Arial" w:cs="Arial"/>
          <w:sz w:val="22"/>
          <w:szCs w:val="22"/>
        </w:rPr>
        <w:t>.</w:t>
      </w:r>
      <w:r w:rsidR="00E00DF2" w:rsidRPr="001220D7">
        <w:rPr>
          <w:rFonts w:ascii="Arial" w:hAnsi="Arial" w:cs="Arial"/>
          <w:sz w:val="22"/>
          <w:szCs w:val="22"/>
        </w:rPr>
        <w:t xml:space="preserve"> </w:t>
      </w:r>
      <w:r w:rsidR="00E00DF2">
        <w:rPr>
          <w:rFonts w:ascii="Arial" w:hAnsi="Arial" w:cs="Arial"/>
          <w:sz w:val="22"/>
          <w:szCs w:val="22"/>
        </w:rPr>
        <w:t xml:space="preserve">Údaje PAP jsou datovým souborem, který je do CSÚIS předáván elektronicky v zašifrovaném tvaru osobou odpovědnou za přenos dat, což je fyzická osoba jmenovaná </w:t>
      </w:r>
      <w:r w:rsidR="002738F0">
        <w:rPr>
          <w:rFonts w:ascii="Arial" w:hAnsi="Arial" w:cs="Arial"/>
          <w:sz w:val="22"/>
          <w:szCs w:val="22"/>
        </w:rPr>
        <w:t>pro tyto účely účetní jednotkou</w:t>
      </w:r>
      <w:r w:rsidR="00796921">
        <w:rPr>
          <w:rFonts w:ascii="Arial" w:hAnsi="Arial" w:cs="Arial"/>
          <w:sz w:val="22"/>
          <w:szCs w:val="22"/>
        </w:rPr>
        <w:t>;</w:t>
      </w:r>
      <w:r w:rsidR="002738F0">
        <w:rPr>
          <w:rFonts w:ascii="Arial" w:hAnsi="Arial" w:cs="Arial"/>
          <w:sz w:val="22"/>
          <w:szCs w:val="22"/>
        </w:rPr>
        <w:t xml:space="preserve"> </w:t>
      </w:r>
      <w:r w:rsidR="0053213D">
        <w:rPr>
          <w:rFonts w:ascii="Arial" w:hAnsi="Arial" w:cs="Arial"/>
          <w:sz w:val="22"/>
          <w:szCs w:val="22"/>
        </w:rPr>
        <w:t xml:space="preserve">tento soubor </w:t>
      </w:r>
      <w:r w:rsidR="00796921">
        <w:rPr>
          <w:rFonts w:ascii="Arial" w:hAnsi="Arial" w:cs="Arial"/>
          <w:sz w:val="22"/>
          <w:szCs w:val="22"/>
        </w:rPr>
        <w:t xml:space="preserve">však </w:t>
      </w:r>
      <w:r w:rsidR="0053213D">
        <w:rPr>
          <w:rFonts w:ascii="Arial" w:hAnsi="Arial" w:cs="Arial"/>
          <w:sz w:val="22"/>
          <w:szCs w:val="22"/>
        </w:rPr>
        <w:t xml:space="preserve">není </w:t>
      </w:r>
      <w:r w:rsidR="002738F0">
        <w:rPr>
          <w:rFonts w:ascii="Arial" w:hAnsi="Arial" w:cs="Arial"/>
          <w:sz w:val="22"/>
          <w:szCs w:val="22"/>
        </w:rPr>
        <w:t xml:space="preserve">opatřen podpisovým </w:t>
      </w:r>
      <w:r w:rsidR="00E00DF2">
        <w:rPr>
          <w:rFonts w:ascii="Arial" w:hAnsi="Arial" w:cs="Arial"/>
          <w:sz w:val="22"/>
          <w:szCs w:val="22"/>
        </w:rPr>
        <w:t xml:space="preserve">záznamem osoby, která by </w:t>
      </w:r>
      <w:r w:rsidR="0053213D">
        <w:rPr>
          <w:rFonts w:ascii="Arial" w:hAnsi="Arial" w:cs="Arial"/>
          <w:sz w:val="22"/>
          <w:szCs w:val="22"/>
        </w:rPr>
        <w:t>nesla</w:t>
      </w:r>
      <w:r w:rsidR="00E00DF2">
        <w:rPr>
          <w:rFonts w:ascii="Arial" w:hAnsi="Arial" w:cs="Arial"/>
          <w:sz w:val="22"/>
          <w:szCs w:val="22"/>
        </w:rPr>
        <w:t xml:space="preserve"> odpovědn</w:t>
      </w:r>
      <w:r w:rsidR="0053213D">
        <w:rPr>
          <w:rFonts w:ascii="Arial" w:hAnsi="Arial" w:cs="Arial"/>
          <w:sz w:val="22"/>
          <w:szCs w:val="22"/>
        </w:rPr>
        <w:t>ost</w:t>
      </w:r>
      <w:r w:rsidR="00E00DF2">
        <w:rPr>
          <w:rFonts w:ascii="Arial" w:hAnsi="Arial" w:cs="Arial"/>
          <w:sz w:val="22"/>
          <w:szCs w:val="22"/>
        </w:rPr>
        <w:t xml:space="preserve"> za obsahovou správnost předávaných údajů.</w:t>
      </w:r>
      <w:r w:rsidR="00E00DF2" w:rsidRPr="000A70EE">
        <w:rPr>
          <w:rFonts w:ascii="Arial" w:hAnsi="Arial" w:cs="Arial"/>
          <w:bCs/>
          <w:iCs/>
          <w:sz w:val="22"/>
          <w:szCs w:val="22"/>
        </w:rPr>
        <w:t xml:space="preserve"> </w:t>
      </w:r>
      <w:r w:rsidR="002738F0">
        <w:rPr>
          <w:rFonts w:ascii="Arial" w:hAnsi="Arial" w:cs="Arial"/>
          <w:bCs/>
          <w:iCs/>
          <w:sz w:val="22"/>
          <w:szCs w:val="22"/>
        </w:rPr>
        <w:lastRenderedPageBreak/>
        <w:t>Takovou povinnost totiž vyhláška č. 383/2009 Sb. neobsahuje, stejně jako</w:t>
      </w:r>
      <w:r w:rsidR="0053213D">
        <w:rPr>
          <w:rFonts w:ascii="Arial" w:hAnsi="Arial" w:cs="Arial"/>
          <w:bCs/>
          <w:iCs/>
          <w:sz w:val="22"/>
          <w:szCs w:val="22"/>
        </w:rPr>
        <w:t xml:space="preserve"> neobsahuje</w:t>
      </w:r>
      <w:r w:rsidR="002738F0">
        <w:rPr>
          <w:rFonts w:ascii="Arial" w:hAnsi="Arial" w:cs="Arial"/>
          <w:bCs/>
          <w:iCs/>
          <w:sz w:val="22"/>
          <w:szCs w:val="22"/>
        </w:rPr>
        <w:t xml:space="preserve"> povinnost sestavovat PAP v listinné formě.</w:t>
      </w:r>
    </w:p>
    <w:p w14:paraId="00D91720" w14:textId="77777777" w:rsidR="00240467" w:rsidRDefault="00240467" w:rsidP="00E00DF2">
      <w:pPr>
        <w:tabs>
          <w:tab w:val="left" w:pos="720"/>
        </w:tabs>
        <w:autoSpaceDE w:val="0"/>
        <w:autoSpaceDN w:val="0"/>
        <w:adjustRightInd w:val="0"/>
        <w:jc w:val="both"/>
        <w:rPr>
          <w:rFonts w:ascii="Arial" w:hAnsi="Arial" w:cs="Arial"/>
          <w:bCs/>
          <w:iCs/>
          <w:sz w:val="22"/>
          <w:szCs w:val="22"/>
        </w:rPr>
      </w:pPr>
    </w:p>
    <w:p w14:paraId="00D91721" w14:textId="77777777" w:rsidR="00E00DF2" w:rsidRPr="00AB1A64" w:rsidRDefault="00E00DF2" w:rsidP="00E00DF2">
      <w:pPr>
        <w:tabs>
          <w:tab w:val="left" w:pos="720"/>
        </w:tabs>
        <w:autoSpaceDE w:val="0"/>
        <w:autoSpaceDN w:val="0"/>
        <w:adjustRightInd w:val="0"/>
        <w:jc w:val="both"/>
        <w:rPr>
          <w:rFonts w:ascii="Arial" w:hAnsi="Arial" w:cs="Arial"/>
          <w:sz w:val="22"/>
          <w:szCs w:val="22"/>
        </w:rPr>
      </w:pPr>
      <w:r>
        <w:rPr>
          <w:rFonts w:ascii="Arial" w:hAnsi="Arial" w:cs="Arial"/>
          <w:sz w:val="22"/>
          <w:szCs w:val="22"/>
        </w:rPr>
        <w:t>P</w:t>
      </w:r>
      <w:r w:rsidRPr="00A13AFA">
        <w:rPr>
          <w:rFonts w:ascii="Arial" w:hAnsi="Arial" w:cs="Arial"/>
          <w:sz w:val="22"/>
          <w:szCs w:val="22"/>
        </w:rPr>
        <w:t>říloha č. 2a</w:t>
      </w:r>
      <w:r>
        <w:rPr>
          <w:rFonts w:ascii="Arial" w:hAnsi="Arial" w:cs="Arial"/>
          <w:sz w:val="22"/>
          <w:szCs w:val="22"/>
        </w:rPr>
        <w:t xml:space="preserve"> vyhlášky č. 383/2009 Sb.</w:t>
      </w:r>
      <w:r w:rsidRPr="00A13AFA">
        <w:rPr>
          <w:rFonts w:ascii="Arial" w:hAnsi="Arial" w:cs="Arial"/>
          <w:sz w:val="22"/>
          <w:szCs w:val="22"/>
        </w:rPr>
        <w:t xml:space="preserve"> obsahu</w:t>
      </w:r>
      <w:r>
        <w:rPr>
          <w:rFonts w:ascii="Arial" w:hAnsi="Arial" w:cs="Arial"/>
          <w:sz w:val="22"/>
          <w:szCs w:val="22"/>
        </w:rPr>
        <w:t>je</w:t>
      </w:r>
      <w:r w:rsidRPr="00A13AFA">
        <w:rPr>
          <w:rFonts w:ascii="Arial" w:hAnsi="Arial" w:cs="Arial"/>
          <w:sz w:val="22"/>
          <w:szCs w:val="22"/>
        </w:rPr>
        <w:t xml:space="preserve"> závazné vzory</w:t>
      </w:r>
      <w:r>
        <w:rPr>
          <w:rFonts w:ascii="Arial" w:hAnsi="Arial" w:cs="Arial"/>
          <w:sz w:val="22"/>
          <w:szCs w:val="22"/>
        </w:rPr>
        <w:t xml:space="preserve"> všech třinácti částí PAP</w:t>
      </w:r>
      <w:r w:rsidR="00426897">
        <w:rPr>
          <w:rFonts w:ascii="Arial" w:hAnsi="Arial" w:cs="Arial"/>
          <w:sz w:val="22"/>
          <w:szCs w:val="22"/>
        </w:rPr>
        <w:t xml:space="preserve"> a </w:t>
      </w:r>
      <w:r w:rsidRPr="00A13AFA">
        <w:rPr>
          <w:rFonts w:ascii="Arial" w:hAnsi="Arial" w:cs="Arial"/>
          <w:sz w:val="22"/>
          <w:szCs w:val="22"/>
        </w:rPr>
        <w:t xml:space="preserve">některé požadavky na jejich sestavení. </w:t>
      </w:r>
      <w:r>
        <w:rPr>
          <w:rFonts w:ascii="Arial" w:hAnsi="Arial" w:cs="Arial"/>
          <w:sz w:val="22"/>
          <w:szCs w:val="22"/>
        </w:rPr>
        <w:t>V této příloze jsou také</w:t>
      </w:r>
      <w:r w:rsidRPr="00A13AFA">
        <w:rPr>
          <w:rFonts w:ascii="Arial" w:hAnsi="Arial" w:cs="Arial"/>
          <w:sz w:val="22"/>
          <w:szCs w:val="22"/>
        </w:rPr>
        <w:t xml:space="preserve"> obsahově vymezen</w:t>
      </w:r>
      <w:r>
        <w:rPr>
          <w:rFonts w:ascii="Arial" w:hAnsi="Arial" w:cs="Arial"/>
          <w:sz w:val="22"/>
          <w:szCs w:val="22"/>
        </w:rPr>
        <w:t xml:space="preserve">a </w:t>
      </w:r>
      <w:r w:rsidRPr="00980EAB">
        <w:rPr>
          <w:rFonts w:ascii="Arial" w:hAnsi="Arial" w:cs="Arial"/>
          <w:sz w:val="22"/>
          <w:szCs w:val="22"/>
        </w:rPr>
        <w:t>analytická členění PAP (</w:t>
      </w:r>
      <w:r>
        <w:rPr>
          <w:rFonts w:ascii="Arial" w:hAnsi="Arial" w:cs="Arial"/>
          <w:sz w:val="22"/>
          <w:szCs w:val="22"/>
        </w:rPr>
        <w:t xml:space="preserve">používaná </w:t>
      </w:r>
      <w:r w:rsidR="009F047D">
        <w:rPr>
          <w:rFonts w:ascii="Arial" w:hAnsi="Arial" w:cs="Arial"/>
          <w:sz w:val="22"/>
          <w:szCs w:val="22"/>
        </w:rPr>
        <w:t>v </w:t>
      </w:r>
      <w:r>
        <w:rPr>
          <w:rFonts w:ascii="Arial" w:hAnsi="Arial" w:cs="Arial"/>
          <w:sz w:val="22"/>
          <w:szCs w:val="22"/>
        </w:rPr>
        <w:t>č</w:t>
      </w:r>
      <w:r w:rsidRPr="00980EAB">
        <w:rPr>
          <w:rFonts w:ascii="Arial" w:hAnsi="Arial" w:cs="Arial"/>
          <w:sz w:val="22"/>
          <w:szCs w:val="22"/>
        </w:rPr>
        <w:t xml:space="preserve">ástech I, II a III) </w:t>
      </w:r>
      <w:r>
        <w:rPr>
          <w:rFonts w:ascii="Arial" w:hAnsi="Arial" w:cs="Arial"/>
          <w:sz w:val="22"/>
          <w:szCs w:val="22"/>
        </w:rPr>
        <w:t xml:space="preserve">a </w:t>
      </w:r>
      <w:r w:rsidRPr="00AB1A64">
        <w:rPr>
          <w:rFonts w:ascii="Arial" w:hAnsi="Arial" w:cs="Arial"/>
          <w:sz w:val="22"/>
          <w:szCs w:val="22"/>
        </w:rPr>
        <w:t>názvem</w:t>
      </w:r>
      <w:r w:rsidR="00DD6DA9">
        <w:rPr>
          <w:rFonts w:ascii="Arial" w:hAnsi="Arial" w:cs="Arial"/>
          <w:sz w:val="22"/>
          <w:szCs w:val="22"/>
        </w:rPr>
        <w:t xml:space="preserve"> jsou</w:t>
      </w:r>
      <w:r w:rsidRPr="00AB1A64">
        <w:rPr>
          <w:rFonts w:ascii="Arial" w:hAnsi="Arial" w:cs="Arial"/>
          <w:sz w:val="22"/>
          <w:szCs w:val="22"/>
        </w:rPr>
        <w:t xml:space="preserve"> stanoveny jednotlivé druhy</w:t>
      </w:r>
      <w:r w:rsidR="00DD6DA9">
        <w:rPr>
          <w:rFonts w:ascii="Arial" w:hAnsi="Arial" w:cs="Arial"/>
          <w:sz w:val="22"/>
          <w:szCs w:val="22"/>
        </w:rPr>
        <w:t xml:space="preserve"> </w:t>
      </w:r>
      <w:r w:rsidR="0053213D">
        <w:rPr>
          <w:rFonts w:ascii="Arial" w:hAnsi="Arial" w:cs="Arial"/>
          <w:sz w:val="22"/>
          <w:szCs w:val="22"/>
        </w:rPr>
        <w:t>„</w:t>
      </w:r>
      <w:r w:rsidRPr="00DD6DA9">
        <w:rPr>
          <w:rFonts w:ascii="Arial" w:hAnsi="Arial" w:cs="Arial"/>
          <w:i/>
          <w:sz w:val="22"/>
          <w:szCs w:val="22"/>
        </w:rPr>
        <w:t>typů změn</w:t>
      </w:r>
      <w:r w:rsidR="00DD6DA9">
        <w:rPr>
          <w:rFonts w:ascii="Arial" w:hAnsi="Arial" w:cs="Arial"/>
          <w:sz w:val="22"/>
          <w:szCs w:val="22"/>
        </w:rPr>
        <w:t>“</w:t>
      </w:r>
      <w:r w:rsidRPr="00AB1A64">
        <w:rPr>
          <w:rFonts w:ascii="Arial" w:hAnsi="Arial" w:cs="Arial"/>
          <w:sz w:val="22"/>
          <w:szCs w:val="22"/>
        </w:rPr>
        <w:t xml:space="preserve"> (používan</w:t>
      </w:r>
      <w:r>
        <w:rPr>
          <w:rFonts w:ascii="Arial" w:hAnsi="Arial" w:cs="Arial"/>
          <w:sz w:val="22"/>
          <w:szCs w:val="22"/>
        </w:rPr>
        <w:t>ých</w:t>
      </w:r>
      <w:r w:rsidRPr="00AB1A64">
        <w:rPr>
          <w:rFonts w:ascii="Arial" w:hAnsi="Arial" w:cs="Arial"/>
          <w:sz w:val="22"/>
          <w:szCs w:val="22"/>
        </w:rPr>
        <w:t xml:space="preserve"> </w:t>
      </w:r>
      <w:r w:rsidR="009F047D">
        <w:rPr>
          <w:rFonts w:ascii="Arial" w:hAnsi="Arial" w:cs="Arial"/>
          <w:sz w:val="22"/>
          <w:szCs w:val="22"/>
        </w:rPr>
        <w:t>v </w:t>
      </w:r>
      <w:r w:rsidRPr="00AB1A64">
        <w:rPr>
          <w:rFonts w:ascii="Arial" w:hAnsi="Arial" w:cs="Arial"/>
          <w:sz w:val="22"/>
          <w:szCs w:val="22"/>
        </w:rPr>
        <w:t>částech IV</w:t>
      </w:r>
      <w:r w:rsidR="00426897">
        <w:rPr>
          <w:rFonts w:ascii="Arial" w:hAnsi="Arial" w:cs="Arial"/>
          <w:sz w:val="22"/>
          <w:szCs w:val="22"/>
        </w:rPr>
        <w:t>–</w:t>
      </w:r>
      <w:r w:rsidRPr="00AB1A64">
        <w:rPr>
          <w:rFonts w:ascii="Arial" w:hAnsi="Arial" w:cs="Arial"/>
          <w:sz w:val="22"/>
          <w:szCs w:val="22"/>
        </w:rPr>
        <w:t xml:space="preserve">IX). </w:t>
      </w:r>
    </w:p>
    <w:p w14:paraId="00D91722" w14:textId="77777777" w:rsidR="00E00DF2" w:rsidRDefault="00E00DF2" w:rsidP="00E00DF2">
      <w:pPr>
        <w:tabs>
          <w:tab w:val="left" w:pos="720"/>
        </w:tabs>
        <w:autoSpaceDE w:val="0"/>
        <w:autoSpaceDN w:val="0"/>
        <w:adjustRightInd w:val="0"/>
        <w:jc w:val="both"/>
        <w:rPr>
          <w:rFonts w:ascii="Arial" w:hAnsi="Arial" w:cs="Arial"/>
          <w:sz w:val="22"/>
          <w:szCs w:val="22"/>
        </w:rPr>
      </w:pPr>
    </w:p>
    <w:p w14:paraId="00D91723" w14:textId="77777777" w:rsidR="00E00DF2" w:rsidRDefault="00E00DF2" w:rsidP="00E00DF2">
      <w:pPr>
        <w:tabs>
          <w:tab w:val="left" w:pos="720"/>
        </w:tabs>
        <w:autoSpaceDE w:val="0"/>
        <w:autoSpaceDN w:val="0"/>
        <w:adjustRightInd w:val="0"/>
        <w:jc w:val="both"/>
        <w:rPr>
          <w:rFonts w:ascii="Arial" w:hAnsi="Arial" w:cs="Arial"/>
          <w:sz w:val="22"/>
          <w:szCs w:val="22"/>
        </w:rPr>
      </w:pPr>
      <w:r>
        <w:rPr>
          <w:rFonts w:ascii="Arial" w:hAnsi="Arial" w:cs="Arial"/>
          <w:sz w:val="22"/>
          <w:szCs w:val="22"/>
        </w:rPr>
        <w:t>V právním předpisu však není uvedeno obsahové v</w:t>
      </w:r>
      <w:r w:rsidRPr="00A13AFA">
        <w:rPr>
          <w:rFonts w:ascii="Arial" w:hAnsi="Arial" w:cs="Arial"/>
          <w:sz w:val="22"/>
          <w:szCs w:val="22"/>
        </w:rPr>
        <w:t xml:space="preserve">ymezení </w:t>
      </w:r>
      <w:r>
        <w:rPr>
          <w:rFonts w:ascii="Arial" w:hAnsi="Arial" w:cs="Arial"/>
          <w:sz w:val="22"/>
          <w:szCs w:val="22"/>
        </w:rPr>
        <w:t xml:space="preserve">položky </w:t>
      </w:r>
      <w:r w:rsidRPr="00A13AFA">
        <w:rPr>
          <w:rFonts w:ascii="Arial" w:hAnsi="Arial" w:cs="Arial"/>
          <w:sz w:val="22"/>
          <w:szCs w:val="22"/>
        </w:rPr>
        <w:t>„</w:t>
      </w:r>
      <w:r w:rsidRPr="00F556FE">
        <w:rPr>
          <w:rFonts w:ascii="Arial" w:hAnsi="Arial" w:cs="Arial"/>
          <w:i/>
          <w:sz w:val="22"/>
          <w:szCs w:val="22"/>
        </w:rPr>
        <w:t>partner aktiva/pasiva</w:t>
      </w:r>
      <w:r w:rsidRPr="00260B0C">
        <w:rPr>
          <w:rFonts w:ascii="Arial" w:hAnsi="Arial" w:cs="Arial"/>
          <w:sz w:val="22"/>
          <w:szCs w:val="22"/>
        </w:rPr>
        <w:t>“</w:t>
      </w:r>
      <w:r w:rsidRPr="0053213D">
        <w:rPr>
          <w:rFonts w:ascii="Arial" w:hAnsi="Arial" w:cs="Arial"/>
          <w:sz w:val="22"/>
          <w:szCs w:val="22"/>
        </w:rPr>
        <w:t xml:space="preserve"> </w:t>
      </w:r>
      <w:r w:rsidRPr="00A13AFA">
        <w:rPr>
          <w:rFonts w:ascii="Arial" w:hAnsi="Arial" w:cs="Arial"/>
          <w:sz w:val="22"/>
          <w:szCs w:val="22"/>
        </w:rPr>
        <w:t>a</w:t>
      </w:r>
      <w:r w:rsidR="004222D1">
        <w:rPr>
          <w:rFonts w:ascii="Arial" w:hAnsi="Arial" w:cs="Arial"/>
          <w:sz w:val="22"/>
          <w:szCs w:val="22"/>
        </w:rPr>
        <w:t> </w:t>
      </w:r>
      <w:r>
        <w:rPr>
          <w:rFonts w:ascii="Arial" w:hAnsi="Arial" w:cs="Arial"/>
          <w:sz w:val="22"/>
          <w:szCs w:val="22"/>
        </w:rPr>
        <w:t>„</w:t>
      </w:r>
      <w:r w:rsidRPr="00F556FE">
        <w:rPr>
          <w:rFonts w:ascii="Arial" w:hAnsi="Arial" w:cs="Arial"/>
          <w:i/>
          <w:sz w:val="22"/>
          <w:szCs w:val="22"/>
        </w:rPr>
        <w:t>partner transakce</w:t>
      </w:r>
      <w:r>
        <w:rPr>
          <w:rFonts w:ascii="Arial" w:hAnsi="Arial" w:cs="Arial"/>
          <w:sz w:val="22"/>
          <w:szCs w:val="22"/>
        </w:rPr>
        <w:t>“,</w:t>
      </w:r>
      <w:r w:rsidRPr="00A13AFA">
        <w:rPr>
          <w:rFonts w:ascii="Arial" w:hAnsi="Arial" w:cs="Arial"/>
          <w:sz w:val="22"/>
          <w:szCs w:val="22"/>
        </w:rPr>
        <w:t xml:space="preserve"> stejně </w:t>
      </w:r>
      <w:r>
        <w:rPr>
          <w:rFonts w:ascii="Arial" w:hAnsi="Arial" w:cs="Arial"/>
          <w:sz w:val="22"/>
          <w:szCs w:val="22"/>
        </w:rPr>
        <w:t xml:space="preserve">jako </w:t>
      </w:r>
      <w:r w:rsidRPr="00A13AFA">
        <w:rPr>
          <w:rFonts w:ascii="Arial" w:hAnsi="Arial" w:cs="Arial"/>
          <w:sz w:val="22"/>
          <w:szCs w:val="22"/>
        </w:rPr>
        <w:t>přehled identifikátorů</w:t>
      </w:r>
      <w:r>
        <w:rPr>
          <w:rFonts w:ascii="Arial" w:hAnsi="Arial" w:cs="Arial"/>
          <w:sz w:val="22"/>
          <w:szCs w:val="22"/>
        </w:rPr>
        <w:t xml:space="preserve"> partnerů</w:t>
      </w:r>
      <w:r w:rsidRPr="00A13AFA">
        <w:rPr>
          <w:rFonts w:ascii="Arial" w:hAnsi="Arial" w:cs="Arial"/>
          <w:sz w:val="22"/>
          <w:szCs w:val="22"/>
        </w:rPr>
        <w:t xml:space="preserve">, které </w:t>
      </w:r>
      <w:r w:rsidR="009F047D">
        <w:rPr>
          <w:rFonts w:ascii="Arial" w:hAnsi="Arial" w:cs="Arial"/>
          <w:sz w:val="22"/>
          <w:szCs w:val="22"/>
        </w:rPr>
        <w:t>v </w:t>
      </w:r>
      <w:r w:rsidRPr="00A13AFA">
        <w:rPr>
          <w:rFonts w:ascii="Arial" w:hAnsi="Arial" w:cs="Arial"/>
          <w:sz w:val="22"/>
          <w:szCs w:val="22"/>
        </w:rPr>
        <w:t>PAP</w:t>
      </w:r>
      <w:r>
        <w:rPr>
          <w:rFonts w:ascii="Arial" w:hAnsi="Arial" w:cs="Arial"/>
          <w:sz w:val="22"/>
          <w:szCs w:val="22"/>
        </w:rPr>
        <w:t xml:space="preserve"> musí </w:t>
      </w:r>
      <w:r w:rsidRPr="00A13AFA">
        <w:rPr>
          <w:rFonts w:ascii="Arial" w:hAnsi="Arial" w:cs="Arial"/>
          <w:sz w:val="22"/>
          <w:szCs w:val="22"/>
        </w:rPr>
        <w:t>být</w:t>
      </w:r>
      <w:r>
        <w:rPr>
          <w:rFonts w:ascii="Arial" w:hAnsi="Arial" w:cs="Arial"/>
          <w:sz w:val="22"/>
          <w:szCs w:val="22"/>
        </w:rPr>
        <w:t xml:space="preserve"> </w:t>
      </w:r>
      <w:r w:rsidRPr="00A13AFA">
        <w:rPr>
          <w:rFonts w:ascii="Arial" w:hAnsi="Arial" w:cs="Arial"/>
          <w:sz w:val="22"/>
          <w:szCs w:val="22"/>
        </w:rPr>
        <w:t>použity.</w:t>
      </w:r>
      <w:r>
        <w:rPr>
          <w:rFonts w:ascii="Arial" w:hAnsi="Arial" w:cs="Arial"/>
          <w:sz w:val="22"/>
          <w:szCs w:val="22"/>
        </w:rPr>
        <w:t xml:space="preserve"> S</w:t>
      </w:r>
      <w:r w:rsidRPr="00A13AFA">
        <w:rPr>
          <w:rFonts w:ascii="Arial" w:hAnsi="Arial" w:cs="Arial"/>
          <w:sz w:val="22"/>
          <w:szCs w:val="22"/>
        </w:rPr>
        <w:t>chází také bližší obsahové vymezení „</w:t>
      </w:r>
      <w:r w:rsidRPr="00F556FE">
        <w:rPr>
          <w:rFonts w:ascii="Arial" w:hAnsi="Arial" w:cs="Arial"/>
          <w:i/>
          <w:sz w:val="22"/>
          <w:szCs w:val="22"/>
        </w:rPr>
        <w:t>typ</w:t>
      </w:r>
      <w:r w:rsidR="0053213D">
        <w:rPr>
          <w:rFonts w:ascii="Arial" w:hAnsi="Arial" w:cs="Arial"/>
          <w:i/>
          <w:sz w:val="22"/>
          <w:szCs w:val="22"/>
        </w:rPr>
        <w:t>ů</w:t>
      </w:r>
      <w:r w:rsidRPr="00F556FE">
        <w:rPr>
          <w:rFonts w:ascii="Arial" w:hAnsi="Arial" w:cs="Arial"/>
          <w:i/>
          <w:sz w:val="22"/>
          <w:szCs w:val="22"/>
        </w:rPr>
        <w:t xml:space="preserve"> změn</w:t>
      </w:r>
      <w:r w:rsidRPr="00A13AFA">
        <w:rPr>
          <w:rFonts w:ascii="Arial" w:hAnsi="Arial" w:cs="Arial"/>
          <w:sz w:val="22"/>
          <w:szCs w:val="22"/>
        </w:rPr>
        <w:t>“, neboť pou</w:t>
      </w:r>
      <w:r w:rsidR="0053213D">
        <w:rPr>
          <w:rFonts w:ascii="Arial" w:hAnsi="Arial" w:cs="Arial"/>
          <w:sz w:val="22"/>
          <w:szCs w:val="22"/>
        </w:rPr>
        <w:t>hý</w:t>
      </w:r>
      <w:r w:rsidRPr="00A13AFA">
        <w:rPr>
          <w:rFonts w:ascii="Arial" w:hAnsi="Arial" w:cs="Arial"/>
          <w:sz w:val="22"/>
          <w:szCs w:val="22"/>
        </w:rPr>
        <w:t xml:space="preserve"> název nemusí být dostatečně určitý např. pro rozliš</w:t>
      </w:r>
      <w:r w:rsidR="0053213D">
        <w:rPr>
          <w:rFonts w:ascii="Arial" w:hAnsi="Arial" w:cs="Arial"/>
          <w:sz w:val="22"/>
          <w:szCs w:val="22"/>
        </w:rPr>
        <w:t>ování</w:t>
      </w:r>
      <w:r w:rsidRPr="00A13AFA">
        <w:rPr>
          <w:rFonts w:ascii="Arial" w:hAnsi="Arial" w:cs="Arial"/>
          <w:sz w:val="22"/>
          <w:szCs w:val="22"/>
        </w:rPr>
        <w:t xml:space="preserve"> různých druhů bezúplatného převodu majetku. </w:t>
      </w:r>
    </w:p>
    <w:p w14:paraId="00D91724" w14:textId="77777777" w:rsidR="00E00DF2" w:rsidRPr="00A13AFA" w:rsidRDefault="00E00DF2" w:rsidP="00E00DF2">
      <w:pPr>
        <w:tabs>
          <w:tab w:val="left" w:pos="720"/>
        </w:tabs>
        <w:autoSpaceDE w:val="0"/>
        <w:autoSpaceDN w:val="0"/>
        <w:adjustRightInd w:val="0"/>
        <w:jc w:val="both"/>
        <w:rPr>
          <w:rFonts w:ascii="Arial" w:hAnsi="Arial" w:cs="Arial"/>
          <w:sz w:val="22"/>
          <w:szCs w:val="22"/>
        </w:rPr>
      </w:pPr>
    </w:p>
    <w:p w14:paraId="00D91725" w14:textId="77777777" w:rsidR="00E00DF2" w:rsidRPr="00F94213" w:rsidRDefault="0098655E" w:rsidP="00E00DF2">
      <w:pPr>
        <w:tabs>
          <w:tab w:val="left" w:pos="720"/>
        </w:tabs>
        <w:autoSpaceDE w:val="0"/>
        <w:autoSpaceDN w:val="0"/>
        <w:adjustRightInd w:val="0"/>
        <w:jc w:val="both"/>
        <w:rPr>
          <w:rFonts w:ascii="Arial" w:hAnsi="Arial" w:cs="Arial"/>
          <w:sz w:val="22"/>
          <w:szCs w:val="22"/>
        </w:rPr>
      </w:pPr>
      <w:r>
        <w:rPr>
          <w:rFonts w:ascii="Arial" w:hAnsi="Arial" w:cs="Arial"/>
          <w:b/>
          <w:sz w:val="22"/>
          <w:szCs w:val="22"/>
        </w:rPr>
        <w:t xml:space="preserve">Absence některých </w:t>
      </w:r>
      <w:r w:rsidR="00E00DF2" w:rsidRPr="00AB1A64">
        <w:rPr>
          <w:rFonts w:ascii="Arial" w:hAnsi="Arial" w:cs="Arial"/>
          <w:b/>
          <w:sz w:val="22"/>
          <w:szCs w:val="22"/>
        </w:rPr>
        <w:t>vymezení by mohla ve svém důsledku vést u účetních jednotek k uvádění různých údajů, které by následně nebyly srovnatelné</w:t>
      </w:r>
      <w:r w:rsidR="00DD6DA9">
        <w:rPr>
          <w:rFonts w:ascii="Arial" w:hAnsi="Arial" w:cs="Arial"/>
          <w:b/>
          <w:sz w:val="22"/>
          <w:szCs w:val="22"/>
        </w:rPr>
        <w:t>,</w:t>
      </w:r>
      <w:r w:rsidR="00E00DF2" w:rsidRPr="00AB1A64">
        <w:rPr>
          <w:rFonts w:ascii="Arial" w:hAnsi="Arial" w:cs="Arial"/>
          <w:b/>
          <w:sz w:val="22"/>
          <w:szCs w:val="22"/>
        </w:rPr>
        <w:t xml:space="preserve"> </w:t>
      </w:r>
      <w:r w:rsidR="00391D85">
        <w:rPr>
          <w:rFonts w:ascii="Arial" w:hAnsi="Arial" w:cs="Arial"/>
          <w:b/>
          <w:sz w:val="22"/>
          <w:szCs w:val="22"/>
        </w:rPr>
        <w:t>a proto v principu ne</w:t>
      </w:r>
      <w:r w:rsidR="00E00DF2" w:rsidRPr="00AB1A64">
        <w:rPr>
          <w:rFonts w:ascii="Arial" w:hAnsi="Arial" w:cs="Arial"/>
          <w:b/>
          <w:sz w:val="22"/>
          <w:szCs w:val="22"/>
        </w:rPr>
        <w:t>agregovatelné. Ministerstvo financí</w:t>
      </w:r>
      <w:r w:rsidR="00391D85">
        <w:rPr>
          <w:rFonts w:ascii="Arial" w:hAnsi="Arial" w:cs="Arial"/>
          <w:b/>
          <w:sz w:val="22"/>
          <w:szCs w:val="22"/>
        </w:rPr>
        <w:t xml:space="preserve"> </w:t>
      </w:r>
      <w:r w:rsidR="00E00DF2" w:rsidRPr="00AB1A64">
        <w:rPr>
          <w:rFonts w:ascii="Arial" w:hAnsi="Arial" w:cs="Arial"/>
          <w:b/>
          <w:sz w:val="22"/>
          <w:szCs w:val="22"/>
        </w:rPr>
        <w:t xml:space="preserve">zveřejnilo na svých webových stránkách dokument </w:t>
      </w:r>
      <w:r w:rsidR="00E00DF2" w:rsidRPr="00260B0C">
        <w:rPr>
          <w:rFonts w:ascii="Arial" w:hAnsi="Arial" w:cs="Arial"/>
          <w:b/>
          <w:i/>
          <w:sz w:val="22"/>
          <w:szCs w:val="22"/>
        </w:rPr>
        <w:t>Metodika tvorby PAP</w:t>
      </w:r>
      <w:r w:rsidR="00E00DF2" w:rsidRPr="00AB1A64">
        <w:rPr>
          <w:rFonts w:ascii="Arial" w:hAnsi="Arial" w:cs="Arial"/>
          <w:b/>
          <w:sz w:val="22"/>
          <w:szCs w:val="22"/>
        </w:rPr>
        <w:t>, kter</w:t>
      </w:r>
      <w:r w:rsidR="001C4EE6">
        <w:rPr>
          <w:rFonts w:ascii="Arial" w:hAnsi="Arial" w:cs="Arial"/>
          <w:b/>
          <w:sz w:val="22"/>
          <w:szCs w:val="22"/>
        </w:rPr>
        <w:t>ý</w:t>
      </w:r>
      <w:r w:rsidR="00E00DF2" w:rsidRPr="00AB1A64">
        <w:rPr>
          <w:rFonts w:ascii="Arial" w:hAnsi="Arial" w:cs="Arial"/>
          <w:b/>
          <w:sz w:val="22"/>
          <w:szCs w:val="22"/>
        </w:rPr>
        <w:t xml:space="preserve"> obsahuje řadu pokynů, návodů a bližších obsahových vymezení</w:t>
      </w:r>
      <w:r w:rsidR="0053213D" w:rsidRPr="00AB1A64">
        <w:rPr>
          <w:rStyle w:val="Znakapoznpodarou"/>
          <w:rFonts w:ascii="Arial" w:hAnsi="Arial" w:cs="Arial"/>
          <w:b/>
          <w:sz w:val="22"/>
          <w:szCs w:val="22"/>
        </w:rPr>
        <w:footnoteReference w:id="4"/>
      </w:r>
      <w:r w:rsidR="00E00DF2" w:rsidRPr="00AB1A64">
        <w:rPr>
          <w:rFonts w:ascii="Arial" w:hAnsi="Arial" w:cs="Arial"/>
          <w:b/>
          <w:sz w:val="22"/>
          <w:szCs w:val="22"/>
        </w:rPr>
        <w:t xml:space="preserve"> některých položek PAP. Metodika však není právním předpisem a ani žádné ustanovení právního předpisu ji za závaznou nestanoví. </w:t>
      </w:r>
      <w:r w:rsidR="00E00DF2" w:rsidRPr="00F94213">
        <w:rPr>
          <w:rFonts w:ascii="Arial" w:hAnsi="Arial" w:cs="Arial"/>
          <w:sz w:val="22"/>
          <w:szCs w:val="22"/>
        </w:rPr>
        <w:t xml:space="preserve">Pokud </w:t>
      </w:r>
      <w:r w:rsidR="00E00DF2">
        <w:rPr>
          <w:rFonts w:ascii="Arial" w:hAnsi="Arial" w:cs="Arial"/>
          <w:sz w:val="22"/>
          <w:szCs w:val="22"/>
        </w:rPr>
        <w:t xml:space="preserve">by </w:t>
      </w:r>
      <w:r w:rsidR="00E00DF2" w:rsidRPr="00F94213">
        <w:rPr>
          <w:rFonts w:ascii="Arial" w:hAnsi="Arial" w:cs="Arial"/>
          <w:sz w:val="22"/>
          <w:szCs w:val="22"/>
        </w:rPr>
        <w:t xml:space="preserve">účetní jednotky dle této metodiky </w:t>
      </w:r>
      <w:r w:rsidR="00E00DF2">
        <w:rPr>
          <w:rFonts w:ascii="Arial" w:hAnsi="Arial" w:cs="Arial"/>
          <w:sz w:val="22"/>
          <w:szCs w:val="22"/>
        </w:rPr>
        <w:t>ne</w:t>
      </w:r>
      <w:r w:rsidR="00E00DF2" w:rsidRPr="00F94213">
        <w:rPr>
          <w:rFonts w:ascii="Arial" w:hAnsi="Arial" w:cs="Arial"/>
          <w:sz w:val="22"/>
          <w:szCs w:val="22"/>
        </w:rPr>
        <w:t>postupova</w:t>
      </w:r>
      <w:r w:rsidR="00E00DF2">
        <w:rPr>
          <w:rFonts w:ascii="Arial" w:hAnsi="Arial" w:cs="Arial"/>
          <w:sz w:val="22"/>
          <w:szCs w:val="22"/>
        </w:rPr>
        <w:t>ly</w:t>
      </w:r>
      <w:r w:rsidR="00E00DF2" w:rsidRPr="00F94213">
        <w:rPr>
          <w:rFonts w:ascii="Arial" w:hAnsi="Arial" w:cs="Arial"/>
          <w:sz w:val="22"/>
          <w:szCs w:val="22"/>
        </w:rPr>
        <w:t>, pak</w:t>
      </w:r>
      <w:r w:rsidR="00E00DF2">
        <w:rPr>
          <w:rFonts w:ascii="Arial" w:hAnsi="Arial" w:cs="Arial"/>
          <w:sz w:val="22"/>
          <w:szCs w:val="22"/>
        </w:rPr>
        <w:t xml:space="preserve"> by</w:t>
      </w:r>
      <w:r w:rsidR="00E00DF2" w:rsidRPr="00F94213">
        <w:rPr>
          <w:rFonts w:ascii="Arial" w:hAnsi="Arial" w:cs="Arial"/>
          <w:sz w:val="22"/>
          <w:szCs w:val="22"/>
        </w:rPr>
        <w:t xml:space="preserve"> údaje PAP neb</w:t>
      </w:r>
      <w:r w:rsidR="00E00DF2">
        <w:rPr>
          <w:rFonts w:ascii="Arial" w:hAnsi="Arial" w:cs="Arial"/>
          <w:sz w:val="22"/>
          <w:szCs w:val="22"/>
        </w:rPr>
        <w:t>yly</w:t>
      </w:r>
      <w:r w:rsidR="00E00DF2" w:rsidRPr="00F94213">
        <w:rPr>
          <w:rFonts w:ascii="Arial" w:hAnsi="Arial" w:cs="Arial"/>
          <w:sz w:val="22"/>
          <w:szCs w:val="22"/>
        </w:rPr>
        <w:t xml:space="preserve"> vytvářeny</w:t>
      </w:r>
      <w:r w:rsidR="00E00DF2">
        <w:rPr>
          <w:rFonts w:ascii="Arial" w:hAnsi="Arial" w:cs="Arial"/>
          <w:sz w:val="22"/>
          <w:szCs w:val="22"/>
        </w:rPr>
        <w:t xml:space="preserve"> </w:t>
      </w:r>
      <w:r w:rsidR="00E00DF2" w:rsidRPr="00F94213">
        <w:rPr>
          <w:rFonts w:ascii="Arial" w:hAnsi="Arial" w:cs="Arial"/>
          <w:sz w:val="22"/>
          <w:szCs w:val="22"/>
        </w:rPr>
        <w:t>konzistentně</w:t>
      </w:r>
      <w:r w:rsidR="00E00DF2">
        <w:rPr>
          <w:rFonts w:ascii="Arial" w:hAnsi="Arial" w:cs="Arial"/>
          <w:sz w:val="22"/>
          <w:szCs w:val="22"/>
        </w:rPr>
        <w:t xml:space="preserve"> a byly</w:t>
      </w:r>
      <w:r w:rsidR="00E00DF2" w:rsidRPr="00F94213">
        <w:rPr>
          <w:rFonts w:ascii="Arial" w:hAnsi="Arial" w:cs="Arial"/>
          <w:sz w:val="22"/>
          <w:szCs w:val="22"/>
        </w:rPr>
        <w:t xml:space="preserve"> by v takovém případě nesrovnatelné</w:t>
      </w:r>
      <w:r w:rsidR="00E00DF2">
        <w:rPr>
          <w:rFonts w:ascii="Arial" w:hAnsi="Arial" w:cs="Arial"/>
          <w:sz w:val="22"/>
          <w:szCs w:val="22"/>
        </w:rPr>
        <w:t xml:space="preserve"> a prakticky nepoužitelné</w:t>
      </w:r>
      <w:r w:rsidR="00E00DF2" w:rsidRPr="00F94213">
        <w:rPr>
          <w:rFonts w:ascii="Arial" w:hAnsi="Arial" w:cs="Arial"/>
          <w:sz w:val="22"/>
          <w:szCs w:val="22"/>
        </w:rPr>
        <w:t>. Ú</w:t>
      </w:r>
      <w:r w:rsidR="00E00DF2">
        <w:rPr>
          <w:rFonts w:ascii="Arial" w:hAnsi="Arial" w:cs="Arial"/>
          <w:sz w:val="22"/>
          <w:szCs w:val="22"/>
        </w:rPr>
        <w:t xml:space="preserve">četní jednotky, které </w:t>
      </w:r>
      <w:r w:rsidR="00E00DF2" w:rsidRPr="00F94213">
        <w:rPr>
          <w:rFonts w:ascii="Arial" w:hAnsi="Arial" w:cs="Arial"/>
          <w:sz w:val="22"/>
          <w:szCs w:val="22"/>
        </w:rPr>
        <w:t>by nepostupovaly v souladu s </w:t>
      </w:r>
      <w:r w:rsidR="00E00DF2" w:rsidRPr="00260B0C">
        <w:rPr>
          <w:rFonts w:ascii="Arial" w:hAnsi="Arial" w:cs="Arial"/>
          <w:i/>
          <w:sz w:val="22"/>
          <w:szCs w:val="22"/>
        </w:rPr>
        <w:t>Metodikou tvorby PAP</w:t>
      </w:r>
      <w:r w:rsidR="00E00DF2" w:rsidRPr="00F94213">
        <w:rPr>
          <w:rFonts w:ascii="Arial" w:hAnsi="Arial" w:cs="Arial"/>
          <w:sz w:val="22"/>
          <w:szCs w:val="22"/>
        </w:rPr>
        <w:t>,</w:t>
      </w:r>
      <w:r w:rsidR="00E00DF2">
        <w:rPr>
          <w:rFonts w:ascii="Arial" w:hAnsi="Arial" w:cs="Arial"/>
          <w:sz w:val="22"/>
          <w:szCs w:val="22"/>
        </w:rPr>
        <w:t xml:space="preserve"> by tak sice neporušily</w:t>
      </w:r>
      <w:r w:rsidR="00E00DF2" w:rsidRPr="00F94213">
        <w:rPr>
          <w:rFonts w:ascii="Arial" w:hAnsi="Arial" w:cs="Arial"/>
          <w:sz w:val="22"/>
          <w:szCs w:val="22"/>
        </w:rPr>
        <w:t xml:space="preserve"> právní předpis, ale z důvodu nejednotného postupu by byly v </w:t>
      </w:r>
      <w:r w:rsidR="00E00DF2">
        <w:rPr>
          <w:rFonts w:ascii="Arial" w:hAnsi="Arial" w:cs="Arial"/>
          <w:sz w:val="22"/>
          <w:szCs w:val="22"/>
        </w:rPr>
        <w:t>PAP</w:t>
      </w:r>
      <w:r w:rsidR="00E00DF2" w:rsidRPr="00F94213">
        <w:rPr>
          <w:rFonts w:ascii="Arial" w:hAnsi="Arial" w:cs="Arial"/>
          <w:sz w:val="22"/>
          <w:szCs w:val="22"/>
        </w:rPr>
        <w:t xml:space="preserve"> uváděny nerelevantní údaje a výsledný produkt</w:t>
      </w:r>
      <w:r w:rsidR="00E00DF2">
        <w:rPr>
          <w:rFonts w:ascii="Arial" w:hAnsi="Arial" w:cs="Arial"/>
          <w:sz w:val="22"/>
          <w:szCs w:val="22"/>
        </w:rPr>
        <w:t>,</w:t>
      </w:r>
      <w:r w:rsidR="00E00DF2" w:rsidRPr="00F94213">
        <w:rPr>
          <w:rFonts w:ascii="Arial" w:hAnsi="Arial" w:cs="Arial"/>
          <w:sz w:val="22"/>
          <w:szCs w:val="22"/>
        </w:rPr>
        <w:t xml:space="preserve"> vytvořen</w:t>
      </w:r>
      <w:r w:rsidR="00426897">
        <w:rPr>
          <w:rFonts w:ascii="Arial" w:hAnsi="Arial" w:cs="Arial"/>
          <w:sz w:val="22"/>
          <w:szCs w:val="22"/>
        </w:rPr>
        <w:t>ý souhrnem všech zpracovaných a do </w:t>
      </w:r>
      <w:r w:rsidR="00E00DF2" w:rsidRPr="00F94213">
        <w:rPr>
          <w:rFonts w:ascii="Arial" w:hAnsi="Arial" w:cs="Arial"/>
          <w:sz w:val="22"/>
          <w:szCs w:val="22"/>
        </w:rPr>
        <w:t>CSÚIS předaných údajů</w:t>
      </w:r>
      <w:r w:rsidR="00E00DF2">
        <w:rPr>
          <w:rFonts w:ascii="Arial" w:hAnsi="Arial" w:cs="Arial"/>
          <w:sz w:val="22"/>
          <w:szCs w:val="22"/>
        </w:rPr>
        <w:t>,</w:t>
      </w:r>
      <w:r w:rsidR="00E00DF2" w:rsidRPr="00F94213">
        <w:rPr>
          <w:rFonts w:ascii="Arial" w:hAnsi="Arial" w:cs="Arial"/>
          <w:sz w:val="22"/>
          <w:szCs w:val="22"/>
        </w:rPr>
        <w:t xml:space="preserve"> by nemohl objektivně sloužit jako efektivní nástroj k monitorování a řízení veřejných financí</w:t>
      </w:r>
      <w:r w:rsidR="00E00DF2">
        <w:rPr>
          <w:rFonts w:ascii="Arial" w:hAnsi="Arial" w:cs="Arial"/>
          <w:sz w:val="22"/>
          <w:szCs w:val="22"/>
        </w:rPr>
        <w:t>.</w:t>
      </w:r>
    </w:p>
    <w:p w14:paraId="00D91726" w14:textId="77777777" w:rsidR="00E00DF2" w:rsidRDefault="00E00DF2" w:rsidP="00E00DF2">
      <w:pPr>
        <w:jc w:val="both"/>
        <w:rPr>
          <w:rFonts w:ascii="Arial" w:hAnsi="Arial" w:cs="Arial"/>
          <w:sz w:val="22"/>
          <w:szCs w:val="22"/>
        </w:rPr>
      </w:pPr>
    </w:p>
    <w:p w14:paraId="00D91727" w14:textId="77777777" w:rsidR="00E00DF2" w:rsidRPr="005B58DC" w:rsidRDefault="00E00DF2" w:rsidP="00E00DF2">
      <w:pPr>
        <w:autoSpaceDE w:val="0"/>
        <w:autoSpaceDN w:val="0"/>
        <w:adjustRightInd w:val="0"/>
        <w:jc w:val="both"/>
        <w:rPr>
          <w:rFonts w:ascii="Arial" w:hAnsi="Arial" w:cs="Arial"/>
          <w:sz w:val="22"/>
          <w:szCs w:val="22"/>
        </w:rPr>
      </w:pPr>
      <w:r w:rsidRPr="005B58DC">
        <w:rPr>
          <w:rFonts w:ascii="Arial" w:hAnsi="Arial" w:cs="Arial"/>
          <w:sz w:val="22"/>
          <w:szCs w:val="22"/>
        </w:rPr>
        <w:t xml:space="preserve">Účetní jednotky, které byly v roce 2012 povinny sestavovat </w:t>
      </w:r>
      <w:r w:rsidR="00DD1641">
        <w:rPr>
          <w:rFonts w:ascii="Arial" w:hAnsi="Arial" w:cs="Arial"/>
          <w:sz w:val="22"/>
          <w:szCs w:val="22"/>
        </w:rPr>
        <w:t>pomocný analytický přehled</w:t>
      </w:r>
      <w:r w:rsidRPr="005B58DC">
        <w:rPr>
          <w:rFonts w:ascii="Arial" w:hAnsi="Arial" w:cs="Arial"/>
          <w:sz w:val="22"/>
          <w:szCs w:val="22"/>
        </w:rPr>
        <w:t xml:space="preserve"> a</w:t>
      </w:r>
      <w:r w:rsidR="004222D1">
        <w:rPr>
          <w:rFonts w:ascii="Arial" w:hAnsi="Arial" w:cs="Arial"/>
          <w:sz w:val="22"/>
          <w:szCs w:val="22"/>
        </w:rPr>
        <w:t> </w:t>
      </w:r>
      <w:r>
        <w:rPr>
          <w:rFonts w:ascii="Arial" w:hAnsi="Arial" w:cs="Arial"/>
          <w:sz w:val="22"/>
          <w:szCs w:val="22"/>
        </w:rPr>
        <w:t>postupovaly</w:t>
      </w:r>
      <w:r w:rsidRPr="005B58DC">
        <w:rPr>
          <w:rFonts w:ascii="Arial" w:hAnsi="Arial" w:cs="Arial"/>
          <w:sz w:val="22"/>
          <w:szCs w:val="22"/>
        </w:rPr>
        <w:t xml:space="preserve"> podle </w:t>
      </w:r>
      <w:r w:rsidRPr="00260B0C">
        <w:rPr>
          <w:rFonts w:ascii="Arial" w:hAnsi="Arial" w:cs="Arial"/>
          <w:i/>
          <w:sz w:val="22"/>
          <w:szCs w:val="22"/>
        </w:rPr>
        <w:t>Metodiky tvorby PAP</w:t>
      </w:r>
      <w:r w:rsidRPr="005B58DC">
        <w:rPr>
          <w:rFonts w:ascii="Arial" w:hAnsi="Arial" w:cs="Arial"/>
          <w:sz w:val="22"/>
          <w:szCs w:val="22"/>
        </w:rPr>
        <w:t>, pracovaly s metodik</w:t>
      </w:r>
      <w:r w:rsidR="00534D05">
        <w:rPr>
          <w:rFonts w:ascii="Arial" w:hAnsi="Arial" w:cs="Arial"/>
          <w:sz w:val="22"/>
          <w:szCs w:val="22"/>
        </w:rPr>
        <w:t>ou</w:t>
      </w:r>
      <w:r w:rsidRPr="005B58DC">
        <w:rPr>
          <w:rFonts w:ascii="Arial" w:hAnsi="Arial" w:cs="Arial"/>
          <w:sz w:val="22"/>
          <w:szCs w:val="22"/>
        </w:rPr>
        <w:t xml:space="preserve"> </w:t>
      </w:r>
      <w:r>
        <w:rPr>
          <w:rFonts w:ascii="Arial" w:hAnsi="Arial" w:cs="Arial"/>
          <w:sz w:val="22"/>
          <w:szCs w:val="22"/>
        </w:rPr>
        <w:t>zveřejněn</w:t>
      </w:r>
      <w:r w:rsidR="00534D05">
        <w:rPr>
          <w:rFonts w:ascii="Arial" w:hAnsi="Arial" w:cs="Arial"/>
          <w:sz w:val="22"/>
          <w:szCs w:val="22"/>
        </w:rPr>
        <w:t>ou</w:t>
      </w:r>
      <w:r>
        <w:rPr>
          <w:rFonts w:ascii="Arial" w:hAnsi="Arial" w:cs="Arial"/>
          <w:sz w:val="22"/>
          <w:szCs w:val="22"/>
        </w:rPr>
        <w:t xml:space="preserve"> </w:t>
      </w:r>
      <w:r w:rsidRPr="005B58DC">
        <w:rPr>
          <w:rFonts w:ascii="Arial" w:hAnsi="Arial" w:cs="Arial"/>
          <w:sz w:val="22"/>
          <w:szCs w:val="22"/>
        </w:rPr>
        <w:t>na webových stránkách MF</w:t>
      </w:r>
      <w:r w:rsidR="00DD1641">
        <w:rPr>
          <w:rFonts w:ascii="Arial" w:hAnsi="Arial" w:cs="Arial"/>
          <w:sz w:val="22"/>
          <w:szCs w:val="22"/>
        </w:rPr>
        <w:t>.</w:t>
      </w:r>
      <w:r>
        <w:rPr>
          <w:rStyle w:val="Znakapoznpodarou"/>
          <w:rFonts w:ascii="Arial" w:hAnsi="Arial" w:cs="Arial"/>
          <w:sz w:val="22"/>
          <w:szCs w:val="22"/>
        </w:rPr>
        <w:footnoteReference w:id="5"/>
      </w:r>
      <w:r>
        <w:rPr>
          <w:rFonts w:ascii="Arial" w:hAnsi="Arial" w:cs="Arial"/>
          <w:sz w:val="22"/>
          <w:szCs w:val="22"/>
        </w:rPr>
        <w:t xml:space="preserve"> Metodik</w:t>
      </w:r>
      <w:r w:rsidR="00534D05">
        <w:rPr>
          <w:rFonts w:ascii="Arial" w:hAnsi="Arial" w:cs="Arial"/>
          <w:sz w:val="22"/>
          <w:szCs w:val="22"/>
        </w:rPr>
        <w:t>a</w:t>
      </w:r>
      <w:r>
        <w:rPr>
          <w:rFonts w:ascii="Arial" w:hAnsi="Arial" w:cs="Arial"/>
          <w:sz w:val="22"/>
          <w:szCs w:val="22"/>
        </w:rPr>
        <w:t xml:space="preserve"> se však</w:t>
      </w:r>
      <w:r w:rsidRPr="005B58DC">
        <w:rPr>
          <w:rFonts w:ascii="Arial" w:hAnsi="Arial" w:cs="Arial"/>
          <w:sz w:val="22"/>
          <w:szCs w:val="22"/>
        </w:rPr>
        <w:t xml:space="preserve"> různými verzemi měnil</w:t>
      </w:r>
      <w:r w:rsidR="00534D05">
        <w:rPr>
          <w:rFonts w:ascii="Arial" w:hAnsi="Arial" w:cs="Arial"/>
          <w:sz w:val="22"/>
          <w:szCs w:val="22"/>
        </w:rPr>
        <w:t>a</w:t>
      </w:r>
      <w:r w:rsidRPr="005B58DC">
        <w:rPr>
          <w:rFonts w:ascii="Arial" w:hAnsi="Arial" w:cs="Arial"/>
          <w:sz w:val="22"/>
          <w:szCs w:val="22"/>
        </w:rPr>
        <w:t>, jejich samotné vyhledávání</w:t>
      </w:r>
      <w:r>
        <w:rPr>
          <w:rFonts w:ascii="Arial" w:hAnsi="Arial" w:cs="Arial"/>
          <w:sz w:val="22"/>
          <w:szCs w:val="22"/>
        </w:rPr>
        <w:t xml:space="preserve"> (</w:t>
      </w:r>
      <w:r w:rsidRPr="005B58DC">
        <w:rPr>
          <w:rFonts w:ascii="Arial" w:hAnsi="Arial" w:cs="Arial"/>
          <w:sz w:val="22"/>
          <w:szCs w:val="22"/>
        </w:rPr>
        <w:t>zvláště s odstupem času</w:t>
      </w:r>
      <w:r>
        <w:rPr>
          <w:rFonts w:ascii="Arial" w:hAnsi="Arial" w:cs="Arial"/>
          <w:sz w:val="22"/>
          <w:szCs w:val="22"/>
        </w:rPr>
        <w:t>)</w:t>
      </w:r>
      <w:r w:rsidRPr="005B58DC">
        <w:rPr>
          <w:rFonts w:ascii="Arial" w:hAnsi="Arial" w:cs="Arial"/>
          <w:sz w:val="22"/>
          <w:szCs w:val="22"/>
        </w:rPr>
        <w:t xml:space="preserve"> je komplikované a nejsou</w:t>
      </w:r>
      <w:r>
        <w:rPr>
          <w:rFonts w:ascii="Arial" w:hAnsi="Arial" w:cs="Arial"/>
          <w:sz w:val="22"/>
          <w:szCs w:val="22"/>
        </w:rPr>
        <w:t xml:space="preserve"> u nich</w:t>
      </w:r>
      <w:r w:rsidRPr="005B58DC">
        <w:rPr>
          <w:rFonts w:ascii="Arial" w:hAnsi="Arial" w:cs="Arial"/>
          <w:sz w:val="22"/>
          <w:szCs w:val="22"/>
        </w:rPr>
        <w:t xml:space="preserve"> jasná či známá pravidla pro monitorování vzniku, publikace, platnosti a</w:t>
      </w:r>
      <w:r w:rsidR="00F556FE">
        <w:rPr>
          <w:rFonts w:ascii="Arial" w:hAnsi="Arial" w:cs="Arial"/>
          <w:sz w:val="22"/>
          <w:szCs w:val="22"/>
        </w:rPr>
        <w:t>ni</w:t>
      </w:r>
      <w:r w:rsidRPr="005B58DC">
        <w:rPr>
          <w:rFonts w:ascii="Arial" w:hAnsi="Arial" w:cs="Arial"/>
          <w:sz w:val="22"/>
          <w:szCs w:val="22"/>
        </w:rPr>
        <w:t xml:space="preserve"> stanovení účinnosti</w:t>
      </w:r>
      <w:r>
        <w:rPr>
          <w:rFonts w:ascii="Arial" w:hAnsi="Arial" w:cs="Arial"/>
          <w:sz w:val="22"/>
          <w:szCs w:val="22"/>
        </w:rPr>
        <w:t xml:space="preserve"> jednotlivých</w:t>
      </w:r>
      <w:r w:rsidRPr="005B58DC">
        <w:rPr>
          <w:rFonts w:ascii="Arial" w:hAnsi="Arial" w:cs="Arial"/>
          <w:sz w:val="22"/>
          <w:szCs w:val="22"/>
        </w:rPr>
        <w:t xml:space="preserve"> verzí</w:t>
      </w:r>
      <w:r>
        <w:rPr>
          <w:rFonts w:ascii="Arial" w:hAnsi="Arial" w:cs="Arial"/>
          <w:sz w:val="22"/>
          <w:szCs w:val="22"/>
        </w:rPr>
        <w:t>.</w:t>
      </w:r>
      <w:r w:rsidRPr="005B58DC">
        <w:rPr>
          <w:rFonts w:ascii="Arial" w:hAnsi="Arial" w:cs="Arial"/>
          <w:sz w:val="22"/>
          <w:szCs w:val="22"/>
        </w:rPr>
        <w:t xml:space="preserve"> </w:t>
      </w:r>
    </w:p>
    <w:p w14:paraId="00D91728" w14:textId="77777777" w:rsidR="00E00DF2" w:rsidRPr="005B58DC" w:rsidRDefault="00E00DF2" w:rsidP="00E00DF2">
      <w:pPr>
        <w:autoSpaceDE w:val="0"/>
        <w:autoSpaceDN w:val="0"/>
        <w:adjustRightInd w:val="0"/>
        <w:jc w:val="both"/>
        <w:rPr>
          <w:rFonts w:ascii="Arial" w:hAnsi="Arial" w:cs="Arial"/>
          <w:sz w:val="22"/>
          <w:szCs w:val="22"/>
        </w:rPr>
      </w:pPr>
    </w:p>
    <w:p w14:paraId="00D91729" w14:textId="77777777" w:rsidR="00E00DF2" w:rsidRPr="00C4465F" w:rsidRDefault="00E00DF2" w:rsidP="00E00DF2">
      <w:pPr>
        <w:tabs>
          <w:tab w:val="left" w:pos="720"/>
        </w:tabs>
        <w:autoSpaceDE w:val="0"/>
        <w:autoSpaceDN w:val="0"/>
        <w:adjustRightInd w:val="0"/>
        <w:jc w:val="both"/>
        <w:rPr>
          <w:rFonts w:ascii="Arial" w:hAnsi="Arial" w:cs="Arial"/>
          <w:sz w:val="22"/>
          <w:szCs w:val="22"/>
        </w:rPr>
      </w:pPr>
      <w:r w:rsidRPr="00C4465F">
        <w:rPr>
          <w:rFonts w:ascii="Arial" w:hAnsi="Arial" w:cs="Arial"/>
          <w:sz w:val="22"/>
          <w:szCs w:val="22"/>
        </w:rPr>
        <w:t xml:space="preserve">Vzhledem k zásadnímu významu </w:t>
      </w:r>
      <w:r w:rsidRPr="00260B0C">
        <w:rPr>
          <w:rFonts w:ascii="Arial" w:hAnsi="Arial" w:cs="Arial"/>
          <w:i/>
          <w:sz w:val="22"/>
          <w:szCs w:val="22"/>
        </w:rPr>
        <w:t>Metodiky tvorby PAP</w:t>
      </w:r>
      <w:r w:rsidRPr="00C4465F">
        <w:rPr>
          <w:rFonts w:ascii="Arial" w:hAnsi="Arial" w:cs="Arial"/>
          <w:sz w:val="22"/>
          <w:szCs w:val="22"/>
        </w:rPr>
        <w:t xml:space="preserve"> pro tvorbu</w:t>
      </w:r>
      <w:r>
        <w:rPr>
          <w:rFonts w:ascii="Arial" w:hAnsi="Arial" w:cs="Arial"/>
          <w:sz w:val="22"/>
          <w:szCs w:val="22"/>
        </w:rPr>
        <w:t xml:space="preserve"> údajů PAP</w:t>
      </w:r>
      <w:r w:rsidRPr="00C4465F">
        <w:rPr>
          <w:rFonts w:ascii="Arial" w:hAnsi="Arial" w:cs="Arial"/>
          <w:sz w:val="22"/>
          <w:szCs w:val="22"/>
        </w:rPr>
        <w:t xml:space="preserve"> </w:t>
      </w:r>
      <w:r>
        <w:rPr>
          <w:rFonts w:ascii="Arial" w:hAnsi="Arial" w:cs="Arial"/>
          <w:sz w:val="22"/>
          <w:szCs w:val="22"/>
        </w:rPr>
        <w:t>u</w:t>
      </w:r>
      <w:r w:rsidRPr="00C4465F">
        <w:rPr>
          <w:rFonts w:ascii="Arial" w:hAnsi="Arial" w:cs="Arial"/>
          <w:sz w:val="22"/>
          <w:szCs w:val="22"/>
        </w:rPr>
        <w:t xml:space="preserve"> účetních jednotek</w:t>
      </w:r>
      <w:r>
        <w:rPr>
          <w:rFonts w:ascii="Arial" w:hAnsi="Arial" w:cs="Arial"/>
          <w:sz w:val="22"/>
          <w:szCs w:val="22"/>
        </w:rPr>
        <w:t xml:space="preserve"> </w:t>
      </w:r>
      <w:r w:rsidRPr="00C4465F">
        <w:rPr>
          <w:rFonts w:ascii="Arial" w:hAnsi="Arial" w:cs="Arial"/>
          <w:sz w:val="22"/>
          <w:szCs w:val="22"/>
        </w:rPr>
        <w:t>byl</w:t>
      </w:r>
      <w:r>
        <w:rPr>
          <w:rFonts w:ascii="Arial" w:hAnsi="Arial" w:cs="Arial"/>
          <w:sz w:val="22"/>
          <w:szCs w:val="22"/>
        </w:rPr>
        <w:t>o</w:t>
      </w:r>
      <w:r w:rsidRPr="00C4465F">
        <w:rPr>
          <w:rFonts w:ascii="Arial" w:hAnsi="Arial" w:cs="Arial"/>
          <w:sz w:val="22"/>
          <w:szCs w:val="22"/>
        </w:rPr>
        <w:t xml:space="preserve"> </w:t>
      </w:r>
      <w:r>
        <w:rPr>
          <w:rFonts w:ascii="Arial" w:hAnsi="Arial" w:cs="Arial"/>
          <w:sz w:val="22"/>
          <w:szCs w:val="22"/>
        </w:rPr>
        <w:t>v</w:t>
      </w:r>
      <w:r w:rsidRPr="00C4465F">
        <w:rPr>
          <w:rFonts w:ascii="Arial" w:hAnsi="Arial" w:cs="Arial"/>
          <w:sz w:val="22"/>
          <w:szCs w:val="22"/>
        </w:rPr>
        <w:t> rámci kontroly</w:t>
      </w:r>
      <w:r>
        <w:rPr>
          <w:rFonts w:ascii="Arial" w:hAnsi="Arial" w:cs="Arial"/>
          <w:sz w:val="22"/>
          <w:szCs w:val="22"/>
        </w:rPr>
        <w:t xml:space="preserve"> také zjišťováno,</w:t>
      </w:r>
      <w:r w:rsidRPr="00C4465F">
        <w:rPr>
          <w:rFonts w:ascii="Arial" w:hAnsi="Arial" w:cs="Arial"/>
          <w:sz w:val="22"/>
          <w:szCs w:val="22"/>
        </w:rPr>
        <w:t xml:space="preserve"> zda </w:t>
      </w:r>
      <w:r>
        <w:rPr>
          <w:rFonts w:ascii="Arial" w:hAnsi="Arial" w:cs="Arial"/>
          <w:sz w:val="22"/>
          <w:szCs w:val="22"/>
        </w:rPr>
        <w:t xml:space="preserve">MPO </w:t>
      </w:r>
      <w:r w:rsidRPr="00C4465F">
        <w:rPr>
          <w:rFonts w:ascii="Arial" w:hAnsi="Arial" w:cs="Arial"/>
          <w:sz w:val="22"/>
          <w:szCs w:val="22"/>
        </w:rPr>
        <w:t>postupoval</w:t>
      </w:r>
      <w:r>
        <w:rPr>
          <w:rFonts w:ascii="Arial" w:hAnsi="Arial" w:cs="Arial"/>
          <w:sz w:val="22"/>
          <w:szCs w:val="22"/>
        </w:rPr>
        <w:t>o</w:t>
      </w:r>
      <w:r w:rsidRPr="00C4465F">
        <w:rPr>
          <w:rFonts w:ascii="Arial" w:hAnsi="Arial" w:cs="Arial"/>
          <w:sz w:val="22"/>
          <w:szCs w:val="22"/>
        </w:rPr>
        <w:t xml:space="preserve"> v souladu </w:t>
      </w:r>
      <w:r w:rsidR="009F047D">
        <w:rPr>
          <w:rFonts w:ascii="Arial" w:hAnsi="Arial" w:cs="Arial"/>
          <w:sz w:val="22"/>
          <w:szCs w:val="22"/>
        </w:rPr>
        <w:t>s </w:t>
      </w:r>
      <w:r>
        <w:rPr>
          <w:rFonts w:ascii="Arial" w:hAnsi="Arial" w:cs="Arial"/>
          <w:sz w:val="22"/>
          <w:szCs w:val="22"/>
        </w:rPr>
        <w:t>touto metodikou (verze 1.3 z června 2012).</w:t>
      </w:r>
    </w:p>
    <w:p w14:paraId="00D9172A" w14:textId="77777777" w:rsidR="00E00DF2" w:rsidRDefault="00E00DF2" w:rsidP="00E00DF2">
      <w:pPr>
        <w:tabs>
          <w:tab w:val="left" w:pos="720"/>
        </w:tabs>
        <w:autoSpaceDE w:val="0"/>
        <w:autoSpaceDN w:val="0"/>
        <w:adjustRightInd w:val="0"/>
        <w:jc w:val="both"/>
        <w:rPr>
          <w:rFonts w:ascii="Arial" w:hAnsi="Arial" w:cs="Arial"/>
          <w:sz w:val="22"/>
          <w:szCs w:val="22"/>
        </w:rPr>
      </w:pPr>
    </w:p>
    <w:p w14:paraId="00D9172B" w14:textId="77777777" w:rsidR="00E00DF2" w:rsidRDefault="00E00DF2" w:rsidP="00E00DF2">
      <w:pPr>
        <w:pStyle w:val="Odstavecseseznamem"/>
        <w:ind w:left="0"/>
        <w:jc w:val="both"/>
        <w:rPr>
          <w:rFonts w:ascii="Arial" w:hAnsi="Arial" w:cs="Arial"/>
          <w:sz w:val="22"/>
          <w:szCs w:val="22"/>
        </w:rPr>
      </w:pPr>
      <w:r>
        <w:rPr>
          <w:rFonts w:ascii="Arial" w:hAnsi="Arial" w:cs="Arial"/>
          <w:sz w:val="22"/>
          <w:szCs w:val="22"/>
        </w:rPr>
        <w:t>Z právních předpisů ani z </w:t>
      </w:r>
      <w:r w:rsidRPr="00260B0C">
        <w:rPr>
          <w:rFonts w:ascii="Arial" w:hAnsi="Arial" w:cs="Arial"/>
          <w:i/>
          <w:sz w:val="22"/>
          <w:szCs w:val="22"/>
        </w:rPr>
        <w:t>Metodiky tvorby PAP</w:t>
      </w:r>
      <w:r>
        <w:rPr>
          <w:rFonts w:ascii="Arial" w:hAnsi="Arial" w:cs="Arial"/>
          <w:sz w:val="22"/>
          <w:szCs w:val="22"/>
        </w:rPr>
        <w:t xml:space="preserve"> však nevyplývá</w:t>
      </w:r>
      <w:r w:rsidRPr="00597D49">
        <w:rPr>
          <w:rFonts w:ascii="Arial" w:hAnsi="Arial" w:cs="Arial"/>
          <w:sz w:val="22"/>
          <w:szCs w:val="22"/>
        </w:rPr>
        <w:t>, jak</w:t>
      </w:r>
      <w:r>
        <w:rPr>
          <w:rFonts w:ascii="Arial" w:hAnsi="Arial" w:cs="Arial"/>
          <w:sz w:val="22"/>
          <w:szCs w:val="22"/>
        </w:rPr>
        <w:t>ý „</w:t>
      </w:r>
      <w:r w:rsidRPr="00F556FE">
        <w:rPr>
          <w:rFonts w:ascii="Arial" w:hAnsi="Arial" w:cs="Arial"/>
          <w:i/>
          <w:sz w:val="22"/>
          <w:szCs w:val="22"/>
        </w:rPr>
        <w:t>typ změny</w:t>
      </w:r>
      <w:r>
        <w:rPr>
          <w:rFonts w:ascii="Arial" w:hAnsi="Arial" w:cs="Arial"/>
          <w:sz w:val="22"/>
          <w:szCs w:val="22"/>
        </w:rPr>
        <w:t>“ by měl být</w:t>
      </w:r>
      <w:r w:rsidRPr="00597D49">
        <w:rPr>
          <w:rFonts w:ascii="Arial" w:hAnsi="Arial" w:cs="Arial"/>
          <w:sz w:val="22"/>
          <w:szCs w:val="22"/>
        </w:rPr>
        <w:t xml:space="preserve"> v</w:t>
      </w:r>
      <w:r>
        <w:rPr>
          <w:rFonts w:ascii="Arial" w:hAnsi="Arial" w:cs="Arial"/>
          <w:sz w:val="22"/>
          <w:szCs w:val="22"/>
        </w:rPr>
        <w:t> </w:t>
      </w:r>
      <w:r w:rsidRPr="00597D49">
        <w:rPr>
          <w:rFonts w:ascii="Arial" w:hAnsi="Arial" w:cs="Arial"/>
          <w:sz w:val="22"/>
          <w:szCs w:val="22"/>
        </w:rPr>
        <w:t>PAP</w:t>
      </w:r>
      <w:r>
        <w:rPr>
          <w:rFonts w:ascii="Arial" w:hAnsi="Arial" w:cs="Arial"/>
          <w:sz w:val="22"/>
          <w:szCs w:val="22"/>
        </w:rPr>
        <w:t xml:space="preserve"> použit</w:t>
      </w:r>
      <w:r w:rsidRPr="00597D49">
        <w:rPr>
          <w:rFonts w:ascii="Arial" w:hAnsi="Arial" w:cs="Arial"/>
          <w:sz w:val="22"/>
          <w:szCs w:val="22"/>
        </w:rPr>
        <w:t xml:space="preserve"> </w:t>
      </w:r>
      <w:r>
        <w:rPr>
          <w:rFonts w:ascii="Arial" w:hAnsi="Arial" w:cs="Arial"/>
          <w:sz w:val="22"/>
          <w:szCs w:val="22"/>
        </w:rPr>
        <w:t xml:space="preserve">v případě účetních oprav. Není stanoveno, </w:t>
      </w:r>
      <w:r w:rsidRPr="00597D49">
        <w:rPr>
          <w:rFonts w:ascii="Arial" w:hAnsi="Arial" w:cs="Arial"/>
          <w:sz w:val="22"/>
          <w:szCs w:val="22"/>
        </w:rPr>
        <w:t>že by účetní opravy nebo přeúčtování údajů mezi analytickými účty</w:t>
      </w:r>
      <w:r>
        <w:rPr>
          <w:rFonts w:ascii="Arial" w:hAnsi="Arial" w:cs="Arial"/>
          <w:sz w:val="22"/>
          <w:szCs w:val="22"/>
        </w:rPr>
        <w:t xml:space="preserve"> </w:t>
      </w:r>
      <w:r w:rsidR="009F047D">
        <w:rPr>
          <w:rFonts w:ascii="Arial" w:hAnsi="Arial" w:cs="Arial"/>
          <w:sz w:val="22"/>
          <w:szCs w:val="22"/>
        </w:rPr>
        <w:t>v </w:t>
      </w:r>
      <w:r>
        <w:rPr>
          <w:rFonts w:ascii="Arial" w:hAnsi="Arial" w:cs="Arial"/>
          <w:sz w:val="22"/>
          <w:szCs w:val="22"/>
        </w:rPr>
        <w:t xml:space="preserve">účetnictví </w:t>
      </w:r>
      <w:r w:rsidRPr="00597D49">
        <w:rPr>
          <w:rFonts w:ascii="Arial" w:hAnsi="Arial" w:cs="Arial"/>
          <w:sz w:val="22"/>
          <w:szCs w:val="22"/>
        </w:rPr>
        <w:t>neměly být předmětem zachycení v</w:t>
      </w:r>
      <w:r>
        <w:rPr>
          <w:rFonts w:ascii="Arial" w:hAnsi="Arial" w:cs="Arial"/>
          <w:sz w:val="22"/>
          <w:szCs w:val="22"/>
        </w:rPr>
        <w:t> </w:t>
      </w:r>
      <w:r w:rsidRPr="00597D49">
        <w:rPr>
          <w:rFonts w:ascii="Arial" w:hAnsi="Arial" w:cs="Arial"/>
          <w:sz w:val="22"/>
          <w:szCs w:val="22"/>
        </w:rPr>
        <w:t>PAP</w:t>
      </w:r>
      <w:r>
        <w:rPr>
          <w:rFonts w:ascii="Arial" w:hAnsi="Arial" w:cs="Arial"/>
          <w:sz w:val="22"/>
          <w:szCs w:val="22"/>
        </w:rPr>
        <w:t xml:space="preserve">. Není </w:t>
      </w:r>
      <w:r w:rsidR="00280057">
        <w:rPr>
          <w:rFonts w:ascii="Arial" w:hAnsi="Arial" w:cs="Arial"/>
          <w:sz w:val="22"/>
          <w:szCs w:val="22"/>
        </w:rPr>
        <w:t xml:space="preserve">ani </w:t>
      </w:r>
      <w:r>
        <w:rPr>
          <w:rFonts w:ascii="Arial" w:hAnsi="Arial" w:cs="Arial"/>
          <w:sz w:val="22"/>
          <w:szCs w:val="22"/>
        </w:rPr>
        <w:t>stanoveno, jak tyto opravy mají být jednotně v účetnictví účtovány</w:t>
      </w:r>
      <w:r w:rsidR="00280057">
        <w:rPr>
          <w:rFonts w:ascii="Arial" w:hAnsi="Arial" w:cs="Arial"/>
          <w:sz w:val="22"/>
          <w:szCs w:val="22"/>
        </w:rPr>
        <w:t>,</w:t>
      </w:r>
      <w:r>
        <w:rPr>
          <w:rFonts w:ascii="Arial" w:hAnsi="Arial" w:cs="Arial"/>
          <w:sz w:val="22"/>
          <w:szCs w:val="22"/>
        </w:rPr>
        <w:t xml:space="preserve"> a není </w:t>
      </w:r>
      <w:r>
        <w:rPr>
          <w:rFonts w:ascii="Arial" w:hAnsi="Arial" w:cs="Arial"/>
          <w:sz w:val="22"/>
          <w:szCs w:val="22"/>
        </w:rPr>
        <w:lastRenderedPageBreak/>
        <w:t>ani zřejmé, jaký „</w:t>
      </w:r>
      <w:r w:rsidRPr="00F556FE">
        <w:rPr>
          <w:rFonts w:ascii="Arial" w:hAnsi="Arial" w:cs="Arial"/>
          <w:i/>
          <w:sz w:val="22"/>
          <w:szCs w:val="22"/>
        </w:rPr>
        <w:t>typ změny</w:t>
      </w:r>
      <w:r>
        <w:rPr>
          <w:rFonts w:ascii="Arial" w:hAnsi="Arial" w:cs="Arial"/>
          <w:sz w:val="22"/>
          <w:szCs w:val="22"/>
        </w:rPr>
        <w:t xml:space="preserve">“ by měl být tomuto účetnímu případu přiřazen. Přitom </w:t>
      </w:r>
      <w:r w:rsidRPr="00597D49">
        <w:rPr>
          <w:rFonts w:ascii="Arial" w:hAnsi="Arial" w:cs="Arial"/>
          <w:sz w:val="22"/>
          <w:szCs w:val="22"/>
        </w:rPr>
        <w:t>údaje PAP</w:t>
      </w:r>
      <w:r>
        <w:rPr>
          <w:rFonts w:ascii="Arial" w:hAnsi="Arial" w:cs="Arial"/>
          <w:sz w:val="22"/>
          <w:szCs w:val="22"/>
        </w:rPr>
        <w:t xml:space="preserve"> tím, jak</w:t>
      </w:r>
      <w:r w:rsidRPr="00597D49">
        <w:rPr>
          <w:rFonts w:ascii="Arial" w:hAnsi="Arial" w:cs="Arial"/>
          <w:sz w:val="22"/>
          <w:szCs w:val="22"/>
        </w:rPr>
        <w:t xml:space="preserve"> jsou navázány na údaje z účetnictví, jsou velmi citlivé i na způsob průběžného vedení účetnictví</w:t>
      </w:r>
      <w:r>
        <w:rPr>
          <w:rFonts w:ascii="Arial" w:hAnsi="Arial" w:cs="Arial"/>
          <w:sz w:val="22"/>
          <w:szCs w:val="22"/>
        </w:rPr>
        <w:t>. Tím i</w:t>
      </w:r>
      <w:r w:rsidRPr="00597D49">
        <w:rPr>
          <w:rFonts w:ascii="Arial" w:hAnsi="Arial" w:cs="Arial"/>
          <w:sz w:val="22"/>
          <w:szCs w:val="22"/>
        </w:rPr>
        <w:t xml:space="preserve"> </w:t>
      </w:r>
      <w:r>
        <w:rPr>
          <w:rFonts w:ascii="Arial" w:hAnsi="Arial" w:cs="Arial"/>
          <w:sz w:val="22"/>
          <w:szCs w:val="22"/>
        </w:rPr>
        <w:t xml:space="preserve">např. </w:t>
      </w:r>
      <w:r w:rsidRPr="00597D49">
        <w:rPr>
          <w:rFonts w:ascii="Arial" w:hAnsi="Arial" w:cs="Arial"/>
          <w:sz w:val="22"/>
          <w:szCs w:val="22"/>
        </w:rPr>
        <w:t xml:space="preserve">na to, zda účetní jednotka o přeúčtování a opravách účtuje </w:t>
      </w:r>
      <w:r>
        <w:rPr>
          <w:rFonts w:ascii="Arial" w:hAnsi="Arial" w:cs="Arial"/>
          <w:sz w:val="22"/>
          <w:szCs w:val="22"/>
        </w:rPr>
        <w:t>vždy na</w:t>
      </w:r>
      <w:r w:rsidRPr="00597D49">
        <w:rPr>
          <w:rFonts w:ascii="Arial" w:hAnsi="Arial" w:cs="Arial"/>
          <w:sz w:val="22"/>
          <w:szCs w:val="22"/>
        </w:rPr>
        <w:t xml:space="preserve"> stejné straně účtu </w:t>
      </w:r>
      <w:r>
        <w:rPr>
          <w:rFonts w:ascii="Arial" w:hAnsi="Arial" w:cs="Arial"/>
          <w:sz w:val="22"/>
          <w:szCs w:val="22"/>
        </w:rPr>
        <w:t>(a tedy se znaménkem m</w:t>
      </w:r>
      <w:r w:rsidR="00DD1641">
        <w:rPr>
          <w:rFonts w:ascii="Arial" w:hAnsi="Arial" w:cs="Arial"/>
          <w:sz w:val="22"/>
          <w:szCs w:val="22"/>
        </w:rPr>
        <w:t>i</w:t>
      </w:r>
      <w:r>
        <w:rPr>
          <w:rFonts w:ascii="Arial" w:hAnsi="Arial" w:cs="Arial"/>
          <w:sz w:val="22"/>
          <w:szCs w:val="22"/>
        </w:rPr>
        <w:t>nus)</w:t>
      </w:r>
      <w:r w:rsidR="00DD1641">
        <w:rPr>
          <w:rFonts w:ascii="Arial" w:hAnsi="Arial" w:cs="Arial"/>
          <w:sz w:val="22"/>
          <w:szCs w:val="22"/>
        </w:rPr>
        <w:t>,</w:t>
      </w:r>
      <w:r>
        <w:rPr>
          <w:rFonts w:ascii="Arial" w:hAnsi="Arial" w:cs="Arial"/>
          <w:sz w:val="22"/>
          <w:szCs w:val="22"/>
        </w:rPr>
        <w:t xml:space="preserve"> nebo vždy</w:t>
      </w:r>
      <w:r w:rsidRPr="00597D49">
        <w:rPr>
          <w:rFonts w:ascii="Arial" w:hAnsi="Arial" w:cs="Arial"/>
          <w:sz w:val="22"/>
          <w:szCs w:val="22"/>
        </w:rPr>
        <w:t xml:space="preserve"> na</w:t>
      </w:r>
      <w:r>
        <w:rPr>
          <w:rFonts w:ascii="Arial" w:hAnsi="Arial" w:cs="Arial"/>
          <w:sz w:val="22"/>
          <w:szCs w:val="22"/>
        </w:rPr>
        <w:t xml:space="preserve"> opačné straně účtu (a tedy se znaménkem plus)</w:t>
      </w:r>
      <w:r w:rsidR="00DD1641">
        <w:rPr>
          <w:rFonts w:ascii="Arial" w:hAnsi="Arial" w:cs="Arial"/>
          <w:sz w:val="22"/>
          <w:szCs w:val="22"/>
        </w:rPr>
        <w:t>,</w:t>
      </w:r>
      <w:r>
        <w:rPr>
          <w:rFonts w:ascii="Arial" w:hAnsi="Arial" w:cs="Arial"/>
          <w:sz w:val="22"/>
          <w:szCs w:val="22"/>
        </w:rPr>
        <w:t xml:space="preserve"> či nejednotně v průběhu účetního období na</w:t>
      </w:r>
      <w:r w:rsidRPr="00597D49">
        <w:rPr>
          <w:rFonts w:ascii="Arial" w:hAnsi="Arial" w:cs="Arial"/>
          <w:sz w:val="22"/>
          <w:szCs w:val="22"/>
        </w:rPr>
        <w:t xml:space="preserve"> různých stranách účtů (na</w:t>
      </w:r>
      <w:r>
        <w:rPr>
          <w:rFonts w:ascii="Arial" w:hAnsi="Arial" w:cs="Arial"/>
          <w:sz w:val="22"/>
          <w:szCs w:val="22"/>
        </w:rPr>
        <w:t xml:space="preserve"> straně</w:t>
      </w:r>
      <w:r w:rsidRPr="00597D49">
        <w:rPr>
          <w:rFonts w:ascii="Arial" w:hAnsi="Arial" w:cs="Arial"/>
          <w:sz w:val="22"/>
          <w:szCs w:val="22"/>
        </w:rPr>
        <w:t xml:space="preserve"> MD </w:t>
      </w:r>
      <w:r w:rsidR="00785333">
        <w:rPr>
          <w:rFonts w:ascii="Arial" w:hAnsi="Arial" w:cs="Arial"/>
          <w:sz w:val="22"/>
          <w:szCs w:val="22"/>
        </w:rPr>
        <w:t>nebo</w:t>
      </w:r>
      <w:r>
        <w:rPr>
          <w:rFonts w:ascii="Arial" w:hAnsi="Arial" w:cs="Arial"/>
          <w:sz w:val="22"/>
          <w:szCs w:val="22"/>
        </w:rPr>
        <w:t xml:space="preserve"> na straně</w:t>
      </w:r>
      <w:r w:rsidRPr="00597D49">
        <w:rPr>
          <w:rFonts w:ascii="Arial" w:hAnsi="Arial" w:cs="Arial"/>
          <w:sz w:val="22"/>
          <w:szCs w:val="22"/>
        </w:rPr>
        <w:t xml:space="preserve"> D)</w:t>
      </w:r>
      <w:r>
        <w:rPr>
          <w:rFonts w:ascii="Arial" w:hAnsi="Arial" w:cs="Arial"/>
          <w:sz w:val="22"/>
          <w:szCs w:val="22"/>
        </w:rPr>
        <w:t xml:space="preserve"> u jednotlivých účetních případů</w:t>
      </w:r>
      <w:r w:rsidRPr="00597D49">
        <w:rPr>
          <w:rFonts w:ascii="Arial" w:hAnsi="Arial" w:cs="Arial"/>
          <w:sz w:val="22"/>
          <w:szCs w:val="22"/>
        </w:rPr>
        <w:t xml:space="preserve">. </w:t>
      </w:r>
    </w:p>
    <w:p w14:paraId="00D9172C" w14:textId="77777777" w:rsidR="00E00DF2" w:rsidRDefault="00E00DF2" w:rsidP="00E00DF2">
      <w:pPr>
        <w:pStyle w:val="Odstavecseseznamem"/>
        <w:ind w:left="0"/>
        <w:jc w:val="both"/>
        <w:rPr>
          <w:rFonts w:ascii="Arial" w:hAnsi="Arial" w:cs="Arial"/>
          <w:sz w:val="22"/>
          <w:szCs w:val="22"/>
        </w:rPr>
      </w:pPr>
    </w:p>
    <w:p w14:paraId="00D9172D" w14:textId="77777777" w:rsidR="00E00DF2" w:rsidRPr="00AB1A64" w:rsidRDefault="00E00DF2" w:rsidP="00E00DF2">
      <w:pPr>
        <w:pStyle w:val="Odstavecseseznamem"/>
        <w:ind w:left="0"/>
        <w:jc w:val="both"/>
        <w:rPr>
          <w:rFonts w:ascii="Arial" w:hAnsi="Arial" w:cs="Arial"/>
          <w:b/>
          <w:bCs/>
          <w:sz w:val="22"/>
          <w:szCs w:val="22"/>
        </w:rPr>
      </w:pPr>
      <w:r w:rsidRPr="00AB1A64">
        <w:rPr>
          <w:rFonts w:ascii="Arial" w:hAnsi="Arial" w:cs="Arial"/>
          <w:b/>
          <w:bCs/>
          <w:sz w:val="22"/>
          <w:szCs w:val="22"/>
        </w:rPr>
        <w:t>Pro PAP je</w:t>
      </w:r>
      <w:r w:rsidR="00785333">
        <w:rPr>
          <w:rFonts w:ascii="Arial" w:hAnsi="Arial" w:cs="Arial"/>
          <w:b/>
          <w:bCs/>
          <w:sz w:val="22"/>
          <w:szCs w:val="22"/>
        </w:rPr>
        <w:t xml:space="preserve"> tak</w:t>
      </w:r>
      <w:r w:rsidRPr="00AB1A64">
        <w:rPr>
          <w:rFonts w:ascii="Arial" w:hAnsi="Arial" w:cs="Arial"/>
          <w:b/>
          <w:bCs/>
          <w:sz w:val="22"/>
          <w:szCs w:val="22"/>
        </w:rPr>
        <w:t xml:space="preserve"> </w:t>
      </w:r>
      <w:r>
        <w:rPr>
          <w:rFonts w:ascii="Arial" w:hAnsi="Arial" w:cs="Arial"/>
          <w:b/>
          <w:bCs/>
          <w:sz w:val="22"/>
          <w:szCs w:val="22"/>
        </w:rPr>
        <w:t>o</w:t>
      </w:r>
      <w:r w:rsidRPr="00AB1A64">
        <w:rPr>
          <w:rFonts w:ascii="Arial" w:hAnsi="Arial" w:cs="Arial"/>
          <w:b/>
          <w:bCs/>
          <w:sz w:val="22"/>
          <w:szCs w:val="22"/>
        </w:rPr>
        <w:t>proti účetní závěrce důležitá existenc</w:t>
      </w:r>
      <w:r w:rsidR="00D47F64">
        <w:rPr>
          <w:rFonts w:ascii="Arial" w:hAnsi="Arial" w:cs="Arial"/>
          <w:b/>
          <w:bCs/>
          <w:sz w:val="22"/>
          <w:szCs w:val="22"/>
        </w:rPr>
        <w:t>e detailnější, unifikovanější a </w:t>
      </w:r>
      <w:r w:rsidRPr="00AB1A64">
        <w:rPr>
          <w:rFonts w:ascii="Arial" w:hAnsi="Arial" w:cs="Arial"/>
          <w:b/>
          <w:bCs/>
          <w:sz w:val="22"/>
          <w:szCs w:val="22"/>
        </w:rPr>
        <w:t>rozsáhlejší účetní regulace</w:t>
      </w:r>
      <w:r w:rsidR="00280057">
        <w:rPr>
          <w:rFonts w:ascii="Arial" w:hAnsi="Arial" w:cs="Arial"/>
          <w:b/>
          <w:bCs/>
          <w:sz w:val="22"/>
          <w:szCs w:val="22"/>
        </w:rPr>
        <w:t>,</w:t>
      </w:r>
      <w:r w:rsidRPr="00AB1A64">
        <w:rPr>
          <w:rFonts w:ascii="Arial" w:hAnsi="Arial" w:cs="Arial"/>
          <w:b/>
          <w:bCs/>
          <w:sz w:val="22"/>
          <w:szCs w:val="22"/>
        </w:rPr>
        <w:t xml:space="preserve"> a to až do úrovně postupů účtování na sledovaných účtech.</w:t>
      </w:r>
      <w:r>
        <w:rPr>
          <w:rFonts w:ascii="Arial" w:hAnsi="Arial" w:cs="Arial"/>
          <w:b/>
          <w:bCs/>
          <w:sz w:val="22"/>
          <w:szCs w:val="22"/>
        </w:rPr>
        <w:t xml:space="preserve"> </w:t>
      </w:r>
      <w:r w:rsidRPr="00AB1A64">
        <w:rPr>
          <w:rFonts w:ascii="Arial" w:hAnsi="Arial" w:cs="Arial"/>
          <w:b/>
          <w:bCs/>
          <w:sz w:val="22"/>
          <w:szCs w:val="22"/>
        </w:rPr>
        <w:t>Jinak existuje riziko, že údaje v</w:t>
      </w:r>
      <w:r>
        <w:rPr>
          <w:rFonts w:ascii="Arial" w:hAnsi="Arial" w:cs="Arial"/>
          <w:b/>
          <w:bCs/>
          <w:sz w:val="22"/>
          <w:szCs w:val="22"/>
        </w:rPr>
        <w:t> </w:t>
      </w:r>
      <w:r w:rsidRPr="00AB1A64">
        <w:rPr>
          <w:rFonts w:ascii="Arial" w:hAnsi="Arial" w:cs="Arial"/>
          <w:b/>
          <w:bCs/>
          <w:sz w:val="22"/>
          <w:szCs w:val="22"/>
        </w:rPr>
        <w:t>PAP</w:t>
      </w:r>
      <w:r>
        <w:rPr>
          <w:rFonts w:ascii="Arial" w:hAnsi="Arial" w:cs="Arial"/>
          <w:b/>
          <w:bCs/>
          <w:sz w:val="22"/>
          <w:szCs w:val="22"/>
        </w:rPr>
        <w:t xml:space="preserve"> </w:t>
      </w:r>
      <w:r w:rsidRPr="00AB1A64">
        <w:rPr>
          <w:rFonts w:ascii="Arial" w:hAnsi="Arial" w:cs="Arial"/>
          <w:b/>
          <w:bCs/>
          <w:sz w:val="22"/>
          <w:szCs w:val="22"/>
        </w:rPr>
        <w:t>o obratech na straně MD a na straně D budou</w:t>
      </w:r>
      <w:r w:rsidR="00245C09">
        <w:rPr>
          <w:rFonts w:ascii="Arial" w:hAnsi="Arial" w:cs="Arial"/>
          <w:b/>
          <w:bCs/>
          <w:sz w:val="22"/>
          <w:szCs w:val="22"/>
        </w:rPr>
        <w:t xml:space="preserve"> různé, a proto</w:t>
      </w:r>
      <w:r w:rsidRPr="00AB1A64">
        <w:rPr>
          <w:rFonts w:ascii="Arial" w:hAnsi="Arial" w:cs="Arial"/>
          <w:b/>
          <w:bCs/>
          <w:sz w:val="22"/>
          <w:szCs w:val="22"/>
        </w:rPr>
        <w:t xml:space="preserve"> mezi účetními jednotkami nesrovnatelné.</w:t>
      </w:r>
    </w:p>
    <w:p w14:paraId="00D9172E" w14:textId="77777777" w:rsidR="00E03926" w:rsidRDefault="00E03926" w:rsidP="00E00DF2">
      <w:pPr>
        <w:tabs>
          <w:tab w:val="left" w:pos="720"/>
        </w:tabs>
        <w:autoSpaceDE w:val="0"/>
        <w:autoSpaceDN w:val="0"/>
        <w:adjustRightInd w:val="0"/>
        <w:jc w:val="both"/>
        <w:rPr>
          <w:rFonts w:cs="Arial"/>
        </w:rPr>
      </w:pPr>
    </w:p>
    <w:p w14:paraId="00D9172F" w14:textId="77777777" w:rsidR="00E00DF2" w:rsidRDefault="00373B37" w:rsidP="00E00DF2">
      <w:pPr>
        <w:tabs>
          <w:tab w:val="left" w:pos="720"/>
        </w:tabs>
        <w:autoSpaceDE w:val="0"/>
        <w:autoSpaceDN w:val="0"/>
        <w:adjustRightInd w:val="0"/>
        <w:jc w:val="both"/>
        <w:rPr>
          <w:rFonts w:ascii="Arial" w:hAnsi="Arial" w:cs="Arial"/>
          <w:b/>
          <w:sz w:val="22"/>
          <w:szCs w:val="22"/>
        </w:rPr>
      </w:pPr>
      <w:r>
        <w:rPr>
          <w:rFonts w:ascii="Arial" w:hAnsi="Arial" w:cs="Arial"/>
          <w:b/>
          <w:sz w:val="22"/>
          <w:szCs w:val="22"/>
        </w:rPr>
        <w:t>3</w:t>
      </w:r>
      <w:r w:rsidR="00DD1641">
        <w:rPr>
          <w:rFonts w:ascii="Arial" w:hAnsi="Arial" w:cs="Arial"/>
          <w:b/>
          <w:sz w:val="22"/>
          <w:szCs w:val="22"/>
        </w:rPr>
        <w:t>.</w:t>
      </w:r>
      <w:r w:rsidR="00E00DF2">
        <w:rPr>
          <w:rFonts w:ascii="Arial" w:hAnsi="Arial" w:cs="Arial"/>
          <w:b/>
          <w:sz w:val="22"/>
          <w:szCs w:val="22"/>
        </w:rPr>
        <w:t xml:space="preserve"> Údaje PAP nevyhodnocené </w:t>
      </w:r>
      <w:r w:rsidR="00BF0C90">
        <w:rPr>
          <w:rFonts w:ascii="Arial" w:hAnsi="Arial" w:cs="Arial"/>
          <w:b/>
          <w:sz w:val="22"/>
          <w:szCs w:val="22"/>
        </w:rPr>
        <w:t xml:space="preserve">z hlediska souladu </w:t>
      </w:r>
      <w:r w:rsidR="00E00DF2">
        <w:rPr>
          <w:rFonts w:ascii="Arial" w:hAnsi="Arial" w:cs="Arial"/>
          <w:b/>
          <w:sz w:val="22"/>
          <w:szCs w:val="22"/>
        </w:rPr>
        <w:t>s</w:t>
      </w:r>
      <w:r w:rsidR="004B2BD1">
        <w:rPr>
          <w:rFonts w:ascii="Arial" w:hAnsi="Arial" w:cs="Arial"/>
          <w:b/>
          <w:sz w:val="22"/>
          <w:szCs w:val="22"/>
        </w:rPr>
        <w:t> účetní regulací</w:t>
      </w:r>
      <w:r w:rsidR="00E00DF2">
        <w:rPr>
          <w:rFonts w:ascii="Arial" w:hAnsi="Arial" w:cs="Arial"/>
          <w:b/>
          <w:sz w:val="22"/>
          <w:szCs w:val="22"/>
        </w:rPr>
        <w:t xml:space="preserve"> </w:t>
      </w:r>
    </w:p>
    <w:p w14:paraId="00D91730" w14:textId="77777777" w:rsidR="00E00DF2" w:rsidRPr="005B58DC" w:rsidRDefault="00E00DF2" w:rsidP="00E00DF2">
      <w:pPr>
        <w:tabs>
          <w:tab w:val="left" w:pos="720"/>
        </w:tabs>
        <w:autoSpaceDE w:val="0"/>
        <w:autoSpaceDN w:val="0"/>
        <w:adjustRightInd w:val="0"/>
        <w:jc w:val="both"/>
        <w:rPr>
          <w:rFonts w:ascii="Arial" w:hAnsi="Arial" w:cs="Arial"/>
          <w:b/>
          <w:sz w:val="22"/>
          <w:szCs w:val="22"/>
        </w:rPr>
      </w:pPr>
    </w:p>
    <w:p w14:paraId="00D91731" w14:textId="77777777" w:rsidR="00E00DF2" w:rsidRDefault="00E00DF2" w:rsidP="00E00DF2">
      <w:pPr>
        <w:tabs>
          <w:tab w:val="left" w:pos="720"/>
        </w:tabs>
        <w:autoSpaceDE w:val="0"/>
        <w:autoSpaceDN w:val="0"/>
        <w:adjustRightInd w:val="0"/>
        <w:jc w:val="both"/>
        <w:rPr>
          <w:rFonts w:ascii="Arial" w:hAnsi="Arial" w:cs="Arial"/>
          <w:bCs/>
          <w:iCs/>
          <w:sz w:val="22"/>
          <w:szCs w:val="22"/>
        </w:rPr>
      </w:pPr>
      <w:r>
        <w:rPr>
          <w:rFonts w:ascii="Arial" w:hAnsi="Arial" w:cs="Arial"/>
          <w:bCs/>
          <w:iCs/>
          <w:sz w:val="22"/>
          <w:szCs w:val="22"/>
        </w:rPr>
        <w:t>Vzhledem k návaznosti PAP na účetnictví závisí p</w:t>
      </w:r>
      <w:r w:rsidRPr="00390391">
        <w:rPr>
          <w:rFonts w:ascii="Arial" w:hAnsi="Arial" w:cs="Arial"/>
          <w:bCs/>
          <w:iCs/>
          <w:sz w:val="22"/>
          <w:szCs w:val="22"/>
        </w:rPr>
        <w:t xml:space="preserve">oužitelnost údajů PAP </w:t>
      </w:r>
      <w:r>
        <w:rPr>
          <w:rFonts w:ascii="Arial" w:hAnsi="Arial" w:cs="Arial"/>
          <w:bCs/>
          <w:iCs/>
          <w:sz w:val="22"/>
          <w:szCs w:val="22"/>
        </w:rPr>
        <w:t xml:space="preserve">do značné míry </w:t>
      </w:r>
      <w:r w:rsidRPr="00390391">
        <w:rPr>
          <w:rFonts w:ascii="Arial" w:hAnsi="Arial" w:cs="Arial"/>
          <w:bCs/>
          <w:iCs/>
          <w:sz w:val="22"/>
          <w:szCs w:val="22"/>
        </w:rPr>
        <w:t>na tom, zda údaje v něm uvedené jsou v souladu s</w:t>
      </w:r>
      <w:r w:rsidR="001A002D">
        <w:rPr>
          <w:rFonts w:ascii="Arial" w:hAnsi="Arial" w:cs="Arial"/>
          <w:bCs/>
          <w:iCs/>
          <w:sz w:val="22"/>
          <w:szCs w:val="22"/>
        </w:rPr>
        <w:t>e stanovenou</w:t>
      </w:r>
      <w:r w:rsidR="0040551F">
        <w:rPr>
          <w:rFonts w:ascii="Arial" w:hAnsi="Arial" w:cs="Arial"/>
          <w:bCs/>
          <w:iCs/>
          <w:sz w:val="22"/>
          <w:szCs w:val="22"/>
        </w:rPr>
        <w:t> účetní regulací</w:t>
      </w:r>
      <w:r w:rsidR="00280057">
        <w:rPr>
          <w:rFonts w:ascii="Arial" w:hAnsi="Arial" w:cs="Arial"/>
          <w:bCs/>
          <w:iCs/>
          <w:sz w:val="22"/>
          <w:szCs w:val="22"/>
        </w:rPr>
        <w:t>,</w:t>
      </w:r>
      <w:r w:rsidRPr="00390391">
        <w:rPr>
          <w:rFonts w:ascii="Arial" w:hAnsi="Arial" w:cs="Arial"/>
          <w:bCs/>
          <w:iCs/>
          <w:sz w:val="22"/>
          <w:szCs w:val="22"/>
        </w:rPr>
        <w:t xml:space="preserve"> tj. v </w:t>
      </w:r>
      <w:r>
        <w:rPr>
          <w:rFonts w:ascii="Arial" w:hAnsi="Arial" w:cs="Arial"/>
          <w:bCs/>
          <w:iCs/>
          <w:sz w:val="22"/>
          <w:szCs w:val="22"/>
        </w:rPr>
        <w:t>souladu</w:t>
      </w:r>
      <w:r w:rsidRPr="00390391">
        <w:rPr>
          <w:rFonts w:ascii="Arial" w:hAnsi="Arial" w:cs="Arial"/>
          <w:bCs/>
          <w:iCs/>
          <w:sz w:val="22"/>
          <w:szCs w:val="22"/>
        </w:rPr>
        <w:t xml:space="preserve"> se zákonem </w:t>
      </w:r>
      <w:r>
        <w:rPr>
          <w:rFonts w:ascii="Arial" w:hAnsi="Arial" w:cs="Arial"/>
          <w:bCs/>
          <w:iCs/>
          <w:sz w:val="22"/>
          <w:szCs w:val="22"/>
        </w:rPr>
        <w:t>o účetnictví</w:t>
      </w:r>
      <w:r w:rsidRPr="00390391">
        <w:rPr>
          <w:rFonts w:ascii="Arial" w:hAnsi="Arial" w:cs="Arial"/>
          <w:bCs/>
          <w:iCs/>
          <w:sz w:val="22"/>
          <w:szCs w:val="22"/>
        </w:rPr>
        <w:t>, vyhláškou č. 410/2009 Sb.</w:t>
      </w:r>
      <w:r w:rsidR="005E0ECC">
        <w:rPr>
          <w:rStyle w:val="Znakapoznpodarou"/>
          <w:rFonts w:ascii="Arial" w:hAnsi="Arial" w:cs="Arial"/>
          <w:bCs/>
          <w:iCs/>
          <w:sz w:val="22"/>
          <w:szCs w:val="22"/>
        </w:rPr>
        <w:footnoteReference w:id="6"/>
      </w:r>
      <w:r w:rsidRPr="00390391">
        <w:rPr>
          <w:rFonts w:ascii="Arial" w:hAnsi="Arial" w:cs="Arial"/>
          <w:bCs/>
          <w:iCs/>
          <w:sz w:val="22"/>
          <w:szCs w:val="22"/>
        </w:rPr>
        <w:t xml:space="preserve"> </w:t>
      </w:r>
      <w:r>
        <w:rPr>
          <w:rFonts w:ascii="Arial" w:hAnsi="Arial" w:cs="Arial"/>
          <w:bCs/>
          <w:iCs/>
          <w:sz w:val="22"/>
          <w:szCs w:val="22"/>
        </w:rPr>
        <w:t>a</w:t>
      </w:r>
      <w:r w:rsidRPr="00390391">
        <w:rPr>
          <w:rFonts w:ascii="Arial" w:hAnsi="Arial" w:cs="Arial"/>
          <w:bCs/>
          <w:iCs/>
          <w:sz w:val="22"/>
          <w:szCs w:val="22"/>
        </w:rPr>
        <w:t xml:space="preserve"> </w:t>
      </w:r>
      <w:r w:rsidR="0040551F">
        <w:rPr>
          <w:rFonts w:ascii="Arial" w:hAnsi="Arial" w:cs="Arial"/>
          <w:bCs/>
          <w:iCs/>
          <w:sz w:val="22"/>
          <w:szCs w:val="22"/>
        </w:rPr>
        <w:t xml:space="preserve">českými </w:t>
      </w:r>
      <w:r w:rsidRPr="00390391">
        <w:rPr>
          <w:rFonts w:ascii="Arial" w:hAnsi="Arial" w:cs="Arial"/>
          <w:bCs/>
          <w:iCs/>
          <w:sz w:val="22"/>
          <w:szCs w:val="22"/>
        </w:rPr>
        <w:t>účetními standardy</w:t>
      </w:r>
      <w:r w:rsidR="001A002D">
        <w:rPr>
          <w:rFonts w:ascii="Arial" w:hAnsi="Arial" w:cs="Arial"/>
          <w:bCs/>
          <w:iCs/>
          <w:sz w:val="22"/>
          <w:szCs w:val="22"/>
        </w:rPr>
        <w:t xml:space="preserve"> pro některé vybrané účetní jednotky</w:t>
      </w:r>
      <w:r w:rsidR="0040551F">
        <w:rPr>
          <w:rFonts w:ascii="Arial" w:hAnsi="Arial" w:cs="Arial"/>
          <w:bCs/>
          <w:iCs/>
          <w:sz w:val="22"/>
          <w:szCs w:val="22"/>
        </w:rPr>
        <w:t xml:space="preserve"> (dále také „ČÚS“)</w:t>
      </w:r>
      <w:r>
        <w:rPr>
          <w:rFonts w:ascii="Arial" w:hAnsi="Arial" w:cs="Arial"/>
          <w:bCs/>
          <w:iCs/>
          <w:sz w:val="22"/>
          <w:szCs w:val="22"/>
        </w:rPr>
        <w:t>. P</w:t>
      </w:r>
      <w:r w:rsidRPr="00390391">
        <w:rPr>
          <w:rFonts w:ascii="Arial" w:hAnsi="Arial" w:cs="Arial"/>
          <w:bCs/>
          <w:iCs/>
          <w:sz w:val="22"/>
          <w:szCs w:val="22"/>
        </w:rPr>
        <w:t>oužitelnost údajů PAP</w:t>
      </w:r>
      <w:r>
        <w:rPr>
          <w:rFonts w:ascii="Arial" w:hAnsi="Arial" w:cs="Arial"/>
          <w:bCs/>
          <w:iCs/>
          <w:sz w:val="22"/>
          <w:szCs w:val="22"/>
        </w:rPr>
        <w:t xml:space="preserve"> tak závisí mimo jiné i </w:t>
      </w:r>
      <w:r w:rsidRPr="00390391">
        <w:rPr>
          <w:rFonts w:ascii="Arial" w:hAnsi="Arial" w:cs="Arial"/>
          <w:bCs/>
          <w:iCs/>
          <w:sz w:val="22"/>
          <w:szCs w:val="22"/>
        </w:rPr>
        <w:t xml:space="preserve">na tom, </w:t>
      </w:r>
      <w:r>
        <w:rPr>
          <w:rFonts w:ascii="Arial" w:hAnsi="Arial" w:cs="Arial"/>
          <w:bCs/>
          <w:iCs/>
          <w:sz w:val="22"/>
          <w:szCs w:val="22"/>
        </w:rPr>
        <w:t xml:space="preserve">zda </w:t>
      </w:r>
      <w:r w:rsidR="008E1722">
        <w:rPr>
          <w:rFonts w:ascii="Arial" w:hAnsi="Arial" w:cs="Arial"/>
          <w:bCs/>
          <w:iCs/>
          <w:sz w:val="22"/>
          <w:szCs w:val="22"/>
        </w:rPr>
        <w:t xml:space="preserve">je </w:t>
      </w:r>
      <w:r>
        <w:rPr>
          <w:rFonts w:ascii="Arial" w:hAnsi="Arial" w:cs="Arial"/>
          <w:bCs/>
          <w:iCs/>
          <w:sz w:val="22"/>
          <w:szCs w:val="22"/>
        </w:rPr>
        <w:t xml:space="preserve">účetní regulace úplná a srozumitelná. </w:t>
      </w:r>
    </w:p>
    <w:p w14:paraId="00D91732" w14:textId="77777777" w:rsidR="00F556FE" w:rsidRDefault="00F556FE" w:rsidP="00E00DF2">
      <w:pPr>
        <w:tabs>
          <w:tab w:val="left" w:pos="720"/>
        </w:tabs>
        <w:autoSpaceDE w:val="0"/>
        <w:autoSpaceDN w:val="0"/>
        <w:adjustRightInd w:val="0"/>
        <w:jc w:val="both"/>
        <w:rPr>
          <w:rFonts w:ascii="Arial" w:hAnsi="Arial" w:cs="Arial"/>
          <w:bCs/>
          <w:iCs/>
          <w:sz w:val="22"/>
          <w:szCs w:val="22"/>
        </w:rPr>
      </w:pPr>
    </w:p>
    <w:p w14:paraId="00D91733" w14:textId="77777777" w:rsidR="00E00DF2" w:rsidRDefault="00E00DF2" w:rsidP="00E00DF2">
      <w:pPr>
        <w:tabs>
          <w:tab w:val="left" w:pos="720"/>
        </w:tabs>
        <w:autoSpaceDE w:val="0"/>
        <w:autoSpaceDN w:val="0"/>
        <w:adjustRightInd w:val="0"/>
        <w:jc w:val="both"/>
        <w:rPr>
          <w:rFonts w:ascii="Arial" w:hAnsi="Arial" w:cs="Arial"/>
          <w:bCs/>
          <w:iCs/>
          <w:sz w:val="22"/>
          <w:szCs w:val="22"/>
        </w:rPr>
      </w:pPr>
      <w:r>
        <w:rPr>
          <w:rFonts w:ascii="Arial" w:hAnsi="Arial" w:cs="Arial"/>
          <w:bCs/>
          <w:iCs/>
          <w:sz w:val="22"/>
          <w:szCs w:val="22"/>
        </w:rPr>
        <w:t>Od roku 2010 jsou n</w:t>
      </w:r>
      <w:r w:rsidRPr="00701D7D">
        <w:rPr>
          <w:rFonts w:ascii="Arial" w:hAnsi="Arial" w:cs="Arial"/>
          <w:bCs/>
          <w:iCs/>
          <w:sz w:val="22"/>
          <w:szCs w:val="22"/>
        </w:rPr>
        <w:t>ěkteré údaje vedené v</w:t>
      </w:r>
      <w:r>
        <w:rPr>
          <w:rFonts w:ascii="Arial" w:hAnsi="Arial" w:cs="Arial"/>
          <w:bCs/>
          <w:iCs/>
          <w:sz w:val="22"/>
          <w:szCs w:val="22"/>
        </w:rPr>
        <w:t> </w:t>
      </w:r>
      <w:r w:rsidRPr="00701D7D">
        <w:rPr>
          <w:rFonts w:ascii="Arial" w:hAnsi="Arial" w:cs="Arial"/>
          <w:bCs/>
          <w:iCs/>
          <w:sz w:val="22"/>
          <w:szCs w:val="22"/>
        </w:rPr>
        <w:t>účetnictví</w:t>
      </w:r>
      <w:r>
        <w:rPr>
          <w:rFonts w:ascii="Arial" w:hAnsi="Arial" w:cs="Arial"/>
          <w:bCs/>
          <w:iCs/>
          <w:sz w:val="22"/>
          <w:szCs w:val="22"/>
        </w:rPr>
        <w:t xml:space="preserve"> </w:t>
      </w:r>
      <w:r w:rsidR="00BF0C90">
        <w:rPr>
          <w:rFonts w:ascii="Arial" w:hAnsi="Arial" w:cs="Arial"/>
          <w:bCs/>
          <w:iCs/>
          <w:sz w:val="22"/>
          <w:szCs w:val="22"/>
        </w:rPr>
        <w:t>organizačních složek státu</w:t>
      </w:r>
      <w:r>
        <w:rPr>
          <w:rFonts w:ascii="Arial" w:hAnsi="Arial" w:cs="Arial"/>
          <w:bCs/>
          <w:iCs/>
          <w:sz w:val="22"/>
          <w:szCs w:val="22"/>
        </w:rPr>
        <w:t xml:space="preserve"> </w:t>
      </w:r>
      <w:r w:rsidRPr="00701D7D">
        <w:rPr>
          <w:rFonts w:ascii="Arial" w:hAnsi="Arial" w:cs="Arial"/>
          <w:bCs/>
          <w:iCs/>
          <w:sz w:val="22"/>
          <w:szCs w:val="22"/>
        </w:rPr>
        <w:t>zatíženy nejasnostmi při aplikaci účetní</w:t>
      </w:r>
      <w:r>
        <w:rPr>
          <w:rFonts w:ascii="Arial" w:hAnsi="Arial" w:cs="Arial"/>
          <w:bCs/>
          <w:iCs/>
          <w:sz w:val="22"/>
          <w:szCs w:val="22"/>
        </w:rPr>
        <w:t xml:space="preserve"> regulace. Jde o případy týkající se:</w:t>
      </w:r>
      <w:r w:rsidRPr="00701D7D">
        <w:rPr>
          <w:rFonts w:ascii="Arial" w:hAnsi="Arial" w:cs="Arial"/>
          <w:bCs/>
          <w:iCs/>
          <w:sz w:val="22"/>
          <w:szCs w:val="22"/>
        </w:rPr>
        <w:t xml:space="preserve"> </w:t>
      </w:r>
    </w:p>
    <w:p w14:paraId="00D91734" w14:textId="77777777" w:rsidR="00E00DF2" w:rsidRPr="00D47F64" w:rsidRDefault="00E00DF2" w:rsidP="00D660F6">
      <w:pPr>
        <w:pStyle w:val="Odstavecseseznamem"/>
        <w:numPr>
          <w:ilvl w:val="0"/>
          <w:numId w:val="42"/>
        </w:numPr>
        <w:autoSpaceDE w:val="0"/>
        <w:autoSpaceDN w:val="0"/>
        <w:adjustRightInd w:val="0"/>
        <w:ind w:left="284" w:hanging="284"/>
        <w:jc w:val="both"/>
        <w:rPr>
          <w:rFonts w:ascii="Arial" w:hAnsi="Arial" w:cs="Arial"/>
          <w:bCs/>
          <w:iCs/>
          <w:sz w:val="22"/>
          <w:szCs w:val="22"/>
        </w:rPr>
      </w:pPr>
      <w:r w:rsidRPr="00D47F64">
        <w:rPr>
          <w:rFonts w:ascii="Arial" w:hAnsi="Arial" w:cs="Arial"/>
          <w:sz w:val="22"/>
          <w:szCs w:val="22"/>
        </w:rPr>
        <w:t xml:space="preserve">peněžních prostředků státního rozpočtu určených na předfinancování výdajů, které mají být následně kryty prostředky </w:t>
      </w:r>
      <w:r w:rsidR="009F047D">
        <w:rPr>
          <w:rFonts w:ascii="Arial" w:hAnsi="Arial" w:cs="Arial"/>
          <w:sz w:val="22"/>
          <w:szCs w:val="22"/>
        </w:rPr>
        <w:t>z </w:t>
      </w:r>
      <w:r w:rsidRPr="00D47F64">
        <w:rPr>
          <w:rFonts w:ascii="Arial" w:hAnsi="Arial" w:cs="Arial"/>
          <w:sz w:val="22"/>
          <w:szCs w:val="22"/>
        </w:rPr>
        <w:t>rozpočtu Evropské unie (dále také „EU“) prostřednictvím Národního fondu (dále také „transfery spolufinancované Evropskou unií“)</w:t>
      </w:r>
      <w:r>
        <w:rPr>
          <w:rStyle w:val="Znakapoznpodarou"/>
          <w:rFonts w:ascii="Arial" w:hAnsi="Arial" w:cs="Arial"/>
          <w:sz w:val="22"/>
          <w:szCs w:val="22"/>
        </w:rPr>
        <w:footnoteReference w:id="7"/>
      </w:r>
      <w:r w:rsidR="008E1722">
        <w:rPr>
          <w:rFonts w:ascii="Arial" w:hAnsi="Arial" w:cs="Arial"/>
          <w:sz w:val="22"/>
          <w:szCs w:val="22"/>
        </w:rPr>
        <w:t>;</w:t>
      </w:r>
    </w:p>
    <w:p w14:paraId="00D91735" w14:textId="77777777" w:rsidR="00E00DF2" w:rsidRPr="00D47F64" w:rsidRDefault="00E00DF2" w:rsidP="00D660F6">
      <w:pPr>
        <w:pStyle w:val="Odstavecseseznamem"/>
        <w:numPr>
          <w:ilvl w:val="0"/>
          <w:numId w:val="42"/>
        </w:numPr>
        <w:autoSpaceDE w:val="0"/>
        <w:autoSpaceDN w:val="0"/>
        <w:adjustRightInd w:val="0"/>
        <w:ind w:left="284" w:hanging="284"/>
        <w:jc w:val="both"/>
        <w:rPr>
          <w:rFonts w:ascii="Arial" w:hAnsi="Arial" w:cs="Arial"/>
          <w:sz w:val="22"/>
          <w:szCs w:val="22"/>
        </w:rPr>
      </w:pPr>
      <w:r w:rsidRPr="00D47F64">
        <w:rPr>
          <w:rFonts w:ascii="Arial" w:hAnsi="Arial" w:cs="Arial"/>
          <w:sz w:val="22"/>
          <w:szCs w:val="22"/>
        </w:rPr>
        <w:t>majetkových účastí státu v obchodních společnostech</w:t>
      </w:r>
      <w:r>
        <w:rPr>
          <w:rStyle w:val="Znakapoznpodarou"/>
          <w:rFonts w:ascii="Arial" w:hAnsi="Arial" w:cs="Arial"/>
          <w:sz w:val="22"/>
          <w:szCs w:val="22"/>
        </w:rPr>
        <w:footnoteReference w:id="8"/>
      </w:r>
      <w:r w:rsidRPr="00D47F64">
        <w:rPr>
          <w:rFonts w:ascii="Arial" w:hAnsi="Arial" w:cs="Arial"/>
          <w:sz w:val="22"/>
          <w:szCs w:val="22"/>
        </w:rPr>
        <w:t>.</w:t>
      </w:r>
    </w:p>
    <w:p w14:paraId="00D91736" w14:textId="77777777" w:rsidR="00E00DF2" w:rsidRDefault="00E00DF2" w:rsidP="00E00DF2">
      <w:pPr>
        <w:pStyle w:val="Odstavecseseznamem"/>
        <w:tabs>
          <w:tab w:val="left" w:pos="720"/>
        </w:tabs>
        <w:autoSpaceDE w:val="0"/>
        <w:autoSpaceDN w:val="0"/>
        <w:adjustRightInd w:val="0"/>
        <w:ind w:left="0"/>
        <w:jc w:val="both"/>
        <w:rPr>
          <w:rFonts w:ascii="Arial" w:hAnsi="Arial" w:cs="Arial"/>
          <w:sz w:val="22"/>
          <w:szCs w:val="22"/>
          <w:lang w:eastAsia="cs-CZ"/>
        </w:rPr>
      </w:pPr>
    </w:p>
    <w:p w14:paraId="00D91737" w14:textId="77777777" w:rsidR="00E00DF2" w:rsidRPr="001B221B" w:rsidRDefault="00F45B52" w:rsidP="00E00DF2">
      <w:pPr>
        <w:pStyle w:val="Odstavecseseznamem"/>
        <w:tabs>
          <w:tab w:val="left" w:pos="720"/>
        </w:tabs>
        <w:autoSpaceDE w:val="0"/>
        <w:autoSpaceDN w:val="0"/>
        <w:adjustRightInd w:val="0"/>
        <w:ind w:left="0"/>
        <w:jc w:val="both"/>
        <w:rPr>
          <w:rFonts w:ascii="Arial" w:hAnsi="Arial" w:cs="Arial"/>
          <w:b/>
          <w:sz w:val="22"/>
          <w:szCs w:val="22"/>
          <w:u w:val="single"/>
          <w:lang w:eastAsia="cs-CZ"/>
        </w:rPr>
      </w:pPr>
      <w:r w:rsidRPr="00260B0C">
        <w:rPr>
          <w:rFonts w:ascii="Arial" w:hAnsi="Arial" w:cs="Arial"/>
          <w:b/>
          <w:sz w:val="22"/>
          <w:szCs w:val="22"/>
          <w:lang w:eastAsia="cs-CZ"/>
        </w:rPr>
        <w:t xml:space="preserve">3.1 </w:t>
      </w:r>
      <w:r w:rsidR="00E00DF2" w:rsidRPr="00260B0C">
        <w:rPr>
          <w:rFonts w:ascii="Arial" w:hAnsi="Arial" w:cs="Arial"/>
          <w:b/>
          <w:sz w:val="22"/>
          <w:szCs w:val="22"/>
          <w:lang w:eastAsia="cs-CZ"/>
        </w:rPr>
        <w:t>Transfery spolufinancované Evropskou unií</w:t>
      </w:r>
    </w:p>
    <w:p w14:paraId="00D91738" w14:textId="77777777" w:rsidR="00E00DF2" w:rsidRDefault="00E00DF2" w:rsidP="00E00DF2">
      <w:pPr>
        <w:autoSpaceDE w:val="0"/>
        <w:autoSpaceDN w:val="0"/>
        <w:adjustRightInd w:val="0"/>
        <w:jc w:val="both"/>
        <w:rPr>
          <w:rFonts w:ascii="Arial" w:hAnsi="Arial" w:cs="Arial"/>
          <w:bCs/>
          <w:iCs/>
          <w:sz w:val="22"/>
          <w:szCs w:val="22"/>
        </w:rPr>
      </w:pPr>
    </w:p>
    <w:p w14:paraId="00D91739" w14:textId="77777777" w:rsidR="00E00DF2" w:rsidRDefault="00E00DF2" w:rsidP="00260B0C">
      <w:pPr>
        <w:pStyle w:val="Normln0"/>
        <w:jc w:val="both"/>
        <w:rPr>
          <w:rFonts w:ascii="Arial" w:hAnsi="Arial" w:cs="Arial"/>
          <w:i/>
          <w:sz w:val="22"/>
          <w:szCs w:val="22"/>
        </w:rPr>
      </w:pPr>
      <w:r w:rsidRPr="006E5A23">
        <w:rPr>
          <w:rFonts w:ascii="Arial" w:hAnsi="Arial" w:cs="Arial"/>
          <w:bCs/>
          <w:iCs/>
          <w:sz w:val="22"/>
          <w:szCs w:val="22"/>
        </w:rPr>
        <w:t>Účtování a vykazování</w:t>
      </w:r>
      <w:r>
        <w:rPr>
          <w:rFonts w:ascii="Arial" w:hAnsi="Arial" w:cs="Arial"/>
          <w:bCs/>
          <w:iCs/>
          <w:sz w:val="22"/>
          <w:szCs w:val="22"/>
        </w:rPr>
        <w:t xml:space="preserve"> </w:t>
      </w:r>
      <w:r w:rsidRPr="006E5A23">
        <w:rPr>
          <w:rFonts w:ascii="Arial" w:hAnsi="Arial" w:cs="Arial"/>
          <w:bCs/>
          <w:iCs/>
          <w:sz w:val="22"/>
          <w:szCs w:val="22"/>
        </w:rPr>
        <w:t>účetních případ</w:t>
      </w:r>
      <w:r>
        <w:rPr>
          <w:rFonts w:ascii="Arial" w:hAnsi="Arial" w:cs="Arial"/>
          <w:bCs/>
          <w:iCs/>
          <w:sz w:val="22"/>
          <w:szCs w:val="22"/>
        </w:rPr>
        <w:t>ů</w:t>
      </w:r>
      <w:r w:rsidRPr="006E5A23">
        <w:rPr>
          <w:rFonts w:ascii="Arial" w:hAnsi="Arial" w:cs="Arial"/>
          <w:bCs/>
          <w:iCs/>
          <w:sz w:val="22"/>
          <w:szCs w:val="22"/>
        </w:rPr>
        <w:t xml:space="preserve"> týkajících se</w:t>
      </w:r>
      <w:r>
        <w:rPr>
          <w:rFonts w:ascii="Arial" w:hAnsi="Arial" w:cs="Arial"/>
          <w:bCs/>
          <w:iCs/>
          <w:sz w:val="22"/>
          <w:szCs w:val="22"/>
        </w:rPr>
        <w:t xml:space="preserve"> poskytování peněžních</w:t>
      </w:r>
      <w:r w:rsidRPr="006E5A23">
        <w:rPr>
          <w:rFonts w:ascii="Arial" w:hAnsi="Arial" w:cs="Arial"/>
          <w:bCs/>
          <w:iCs/>
          <w:sz w:val="22"/>
          <w:szCs w:val="22"/>
        </w:rPr>
        <w:t xml:space="preserve"> </w:t>
      </w:r>
      <w:r w:rsidRPr="002A73C6">
        <w:rPr>
          <w:rFonts w:ascii="Arial" w:hAnsi="Arial" w:cs="Arial"/>
          <w:sz w:val="22"/>
          <w:szCs w:val="22"/>
        </w:rPr>
        <w:t>prostředků státního rozpočtu</w:t>
      </w:r>
      <w:r w:rsidR="008E1722">
        <w:rPr>
          <w:rFonts w:ascii="Arial" w:hAnsi="Arial" w:cs="Arial"/>
          <w:sz w:val="22"/>
          <w:szCs w:val="22"/>
        </w:rPr>
        <w:t>, které jsou určeny</w:t>
      </w:r>
      <w:r w:rsidRPr="002A73C6">
        <w:rPr>
          <w:rFonts w:ascii="Arial" w:hAnsi="Arial" w:cs="Arial"/>
          <w:sz w:val="22"/>
          <w:szCs w:val="22"/>
        </w:rPr>
        <w:t xml:space="preserve"> </w:t>
      </w:r>
      <w:r>
        <w:rPr>
          <w:rFonts w:ascii="Arial" w:hAnsi="Arial" w:cs="Arial"/>
          <w:sz w:val="22"/>
          <w:szCs w:val="22"/>
        </w:rPr>
        <w:t>na</w:t>
      </w:r>
      <w:r w:rsidRPr="002A73C6">
        <w:rPr>
          <w:rFonts w:ascii="Arial" w:hAnsi="Arial" w:cs="Arial"/>
          <w:sz w:val="22"/>
          <w:szCs w:val="22"/>
        </w:rPr>
        <w:t xml:space="preserve"> předfinancování výdajů</w:t>
      </w:r>
      <w:r>
        <w:rPr>
          <w:rFonts w:ascii="Arial" w:hAnsi="Arial" w:cs="Arial"/>
          <w:sz w:val="22"/>
          <w:szCs w:val="22"/>
        </w:rPr>
        <w:t xml:space="preserve"> a </w:t>
      </w:r>
      <w:r w:rsidR="008E1722">
        <w:rPr>
          <w:rFonts w:ascii="Arial" w:hAnsi="Arial" w:cs="Arial"/>
          <w:sz w:val="22"/>
          <w:szCs w:val="22"/>
        </w:rPr>
        <w:t>následně jsou</w:t>
      </w:r>
      <w:r>
        <w:rPr>
          <w:rFonts w:ascii="Arial" w:hAnsi="Arial" w:cs="Arial"/>
          <w:sz w:val="22"/>
          <w:szCs w:val="22"/>
        </w:rPr>
        <w:t xml:space="preserve"> refund</w:t>
      </w:r>
      <w:r w:rsidR="008E1722">
        <w:rPr>
          <w:rFonts w:ascii="Arial" w:hAnsi="Arial" w:cs="Arial"/>
          <w:sz w:val="22"/>
          <w:szCs w:val="22"/>
        </w:rPr>
        <w:t>ovány</w:t>
      </w:r>
      <w:r>
        <w:rPr>
          <w:rFonts w:ascii="Arial" w:hAnsi="Arial" w:cs="Arial"/>
          <w:sz w:val="22"/>
          <w:szCs w:val="22"/>
        </w:rPr>
        <w:t xml:space="preserve"> z </w:t>
      </w:r>
      <w:r w:rsidRPr="002A73C6">
        <w:rPr>
          <w:rFonts w:ascii="Arial" w:hAnsi="Arial" w:cs="Arial"/>
          <w:sz w:val="22"/>
          <w:szCs w:val="22"/>
        </w:rPr>
        <w:t>prostředk</w:t>
      </w:r>
      <w:r>
        <w:rPr>
          <w:rFonts w:ascii="Arial" w:hAnsi="Arial" w:cs="Arial"/>
          <w:sz w:val="22"/>
          <w:szCs w:val="22"/>
        </w:rPr>
        <w:t xml:space="preserve">ů </w:t>
      </w:r>
      <w:r w:rsidRPr="002A73C6">
        <w:rPr>
          <w:rFonts w:ascii="Arial" w:hAnsi="Arial" w:cs="Arial"/>
          <w:sz w:val="22"/>
          <w:szCs w:val="22"/>
        </w:rPr>
        <w:t>rozpočtu EU</w:t>
      </w:r>
      <w:r w:rsidR="008E1722">
        <w:rPr>
          <w:rFonts w:ascii="Arial" w:hAnsi="Arial" w:cs="Arial"/>
          <w:sz w:val="22"/>
          <w:szCs w:val="22"/>
        </w:rPr>
        <w:t>,</w:t>
      </w:r>
      <w:r>
        <w:rPr>
          <w:rFonts w:ascii="Arial" w:hAnsi="Arial" w:cs="Arial"/>
          <w:sz w:val="22"/>
          <w:szCs w:val="22"/>
        </w:rPr>
        <w:t xml:space="preserve"> bylo i v roce 2012 </w:t>
      </w:r>
      <w:r w:rsidRPr="006E5A23">
        <w:rPr>
          <w:rFonts w:ascii="Arial" w:hAnsi="Arial" w:cs="Arial"/>
          <w:bCs/>
          <w:iCs/>
          <w:sz w:val="22"/>
          <w:szCs w:val="22"/>
        </w:rPr>
        <w:t>zatíž</w:t>
      </w:r>
      <w:r w:rsidR="007D33AF">
        <w:rPr>
          <w:rFonts w:ascii="Arial" w:hAnsi="Arial" w:cs="Arial"/>
          <w:bCs/>
          <w:iCs/>
          <w:sz w:val="22"/>
          <w:szCs w:val="22"/>
        </w:rPr>
        <w:t>eno nejasnostmi souvisejícími s </w:t>
      </w:r>
      <w:r w:rsidRPr="006E5A23">
        <w:rPr>
          <w:rFonts w:ascii="Arial" w:hAnsi="Arial" w:cs="Arial"/>
          <w:bCs/>
          <w:iCs/>
          <w:sz w:val="22"/>
          <w:szCs w:val="22"/>
        </w:rPr>
        <w:t xml:space="preserve">nejednoznačnostmi při </w:t>
      </w:r>
      <w:r>
        <w:rPr>
          <w:rFonts w:ascii="Arial" w:hAnsi="Arial" w:cs="Arial"/>
          <w:bCs/>
          <w:iCs/>
          <w:sz w:val="22"/>
          <w:szCs w:val="22"/>
        </w:rPr>
        <w:t>aplikaci ČÚS č. </w:t>
      </w:r>
      <w:r w:rsidRPr="001E7DFA">
        <w:rPr>
          <w:rFonts w:ascii="Arial" w:hAnsi="Arial" w:cs="Arial"/>
          <w:bCs/>
          <w:iCs/>
          <w:sz w:val="22"/>
          <w:szCs w:val="22"/>
        </w:rPr>
        <w:t>703</w:t>
      </w:r>
      <w:r>
        <w:rPr>
          <w:rFonts w:ascii="Arial" w:hAnsi="Arial" w:cs="Arial"/>
          <w:bCs/>
          <w:iCs/>
          <w:sz w:val="22"/>
          <w:szCs w:val="22"/>
        </w:rPr>
        <w:t xml:space="preserve"> </w:t>
      </w:r>
      <w:r w:rsidR="007D33AF">
        <w:rPr>
          <w:rFonts w:ascii="Arial" w:hAnsi="Arial" w:cs="Arial"/>
          <w:bCs/>
          <w:iCs/>
          <w:sz w:val="22"/>
          <w:szCs w:val="22"/>
        </w:rPr>
        <w:t>–</w:t>
      </w:r>
      <w:r>
        <w:rPr>
          <w:rFonts w:ascii="Arial" w:hAnsi="Arial" w:cs="Arial"/>
          <w:bCs/>
          <w:iCs/>
          <w:sz w:val="22"/>
          <w:szCs w:val="22"/>
        </w:rPr>
        <w:t xml:space="preserve"> </w:t>
      </w:r>
      <w:r w:rsidRPr="00B73BBD">
        <w:rPr>
          <w:rFonts w:ascii="Arial" w:hAnsi="Arial" w:cs="Arial"/>
          <w:bCs/>
          <w:i/>
          <w:iCs/>
          <w:sz w:val="22"/>
          <w:szCs w:val="22"/>
        </w:rPr>
        <w:t>Transfery</w:t>
      </w:r>
      <w:r w:rsidR="00400444" w:rsidRPr="00260B0C">
        <w:rPr>
          <w:rStyle w:val="Znakapoznpodarou"/>
          <w:rFonts w:ascii="Arial" w:hAnsi="Arial" w:cs="Arial"/>
          <w:bCs/>
          <w:iCs/>
          <w:sz w:val="22"/>
          <w:szCs w:val="22"/>
        </w:rPr>
        <w:footnoteReference w:id="9"/>
      </w:r>
      <w:r w:rsidRPr="00260B0C">
        <w:rPr>
          <w:rFonts w:ascii="Arial" w:hAnsi="Arial" w:cs="Arial"/>
          <w:bCs/>
          <w:iCs/>
          <w:sz w:val="22"/>
          <w:szCs w:val="22"/>
        </w:rPr>
        <w:t>.</w:t>
      </w:r>
      <w:r w:rsidRPr="008E1722">
        <w:rPr>
          <w:rFonts w:ascii="Arial" w:hAnsi="Arial" w:cs="Arial"/>
          <w:i/>
          <w:sz w:val="22"/>
          <w:szCs w:val="22"/>
        </w:rPr>
        <w:t xml:space="preserve"> </w:t>
      </w:r>
    </w:p>
    <w:p w14:paraId="00D9173A" w14:textId="77777777" w:rsidR="008E1722" w:rsidRPr="00260B0C" w:rsidRDefault="008E1722" w:rsidP="00260B0C">
      <w:pPr>
        <w:pStyle w:val="Normln0"/>
        <w:jc w:val="both"/>
        <w:rPr>
          <w:rFonts w:ascii="Arial" w:hAnsi="Arial" w:cs="Arial"/>
          <w:sz w:val="22"/>
          <w:szCs w:val="22"/>
        </w:rPr>
      </w:pPr>
    </w:p>
    <w:p w14:paraId="00D9173B" w14:textId="77777777" w:rsidR="00E00DF2" w:rsidRDefault="00E00DF2" w:rsidP="00260B0C">
      <w:pPr>
        <w:pStyle w:val="Normln0"/>
        <w:jc w:val="both"/>
        <w:rPr>
          <w:rFonts w:ascii="Arial" w:hAnsi="Arial" w:cs="Arial"/>
          <w:sz w:val="22"/>
          <w:szCs w:val="22"/>
        </w:rPr>
      </w:pPr>
      <w:r>
        <w:rPr>
          <w:rFonts w:ascii="Arial" w:hAnsi="Arial" w:cs="Arial"/>
          <w:bCs/>
          <w:iCs/>
          <w:sz w:val="22"/>
          <w:szCs w:val="22"/>
        </w:rPr>
        <w:t>Pr</w:t>
      </w:r>
      <w:r w:rsidRPr="002A73C6">
        <w:rPr>
          <w:rFonts w:ascii="Arial" w:hAnsi="Arial" w:cs="Arial"/>
          <w:bCs/>
          <w:iCs/>
          <w:sz w:val="22"/>
          <w:szCs w:val="22"/>
        </w:rPr>
        <w:t>o rok 201</w:t>
      </w:r>
      <w:r>
        <w:rPr>
          <w:rFonts w:ascii="Arial" w:hAnsi="Arial" w:cs="Arial"/>
          <w:bCs/>
          <w:iCs/>
          <w:sz w:val="22"/>
          <w:szCs w:val="22"/>
        </w:rPr>
        <w:t>2</w:t>
      </w:r>
      <w:r w:rsidRPr="002A73C6">
        <w:rPr>
          <w:rFonts w:ascii="Arial" w:hAnsi="Arial" w:cs="Arial"/>
          <w:bCs/>
          <w:iCs/>
          <w:sz w:val="22"/>
          <w:szCs w:val="22"/>
        </w:rPr>
        <w:t xml:space="preserve"> </w:t>
      </w:r>
      <w:r w:rsidR="00400444">
        <w:rPr>
          <w:rFonts w:ascii="Arial" w:hAnsi="Arial" w:cs="Arial"/>
          <w:bCs/>
          <w:iCs/>
          <w:sz w:val="22"/>
          <w:szCs w:val="22"/>
        </w:rPr>
        <w:t>stanovil tento účetní standard</w:t>
      </w:r>
      <w:r>
        <w:rPr>
          <w:rFonts w:ascii="Arial" w:hAnsi="Arial" w:cs="Arial"/>
          <w:bCs/>
          <w:iCs/>
          <w:sz w:val="22"/>
          <w:szCs w:val="22"/>
        </w:rPr>
        <w:t xml:space="preserve"> postupy účtování pro poskytovatele a příjemce transferu a postupy účtování pro zprostředkovatele transferu.</w:t>
      </w:r>
      <w:r w:rsidRPr="0021162C">
        <w:rPr>
          <w:rFonts w:ascii="Arial" w:hAnsi="Arial" w:cs="Arial"/>
          <w:sz w:val="22"/>
          <w:szCs w:val="22"/>
        </w:rPr>
        <w:t xml:space="preserve"> </w:t>
      </w:r>
      <w:r>
        <w:rPr>
          <w:rFonts w:ascii="Arial" w:hAnsi="Arial" w:cs="Arial"/>
          <w:sz w:val="22"/>
          <w:szCs w:val="22"/>
        </w:rPr>
        <w:t>Ani jedna z těchto možností však nebyla jednoznačně aplikovatelná</w:t>
      </w:r>
      <w:r w:rsidRPr="00750FAC">
        <w:rPr>
          <w:rFonts w:ascii="Arial" w:hAnsi="Arial" w:cs="Arial"/>
          <w:sz w:val="22"/>
          <w:szCs w:val="22"/>
        </w:rPr>
        <w:t xml:space="preserve"> </w:t>
      </w:r>
      <w:r>
        <w:rPr>
          <w:rFonts w:ascii="Arial" w:hAnsi="Arial" w:cs="Arial"/>
          <w:sz w:val="22"/>
          <w:szCs w:val="22"/>
        </w:rPr>
        <w:t>pro</w:t>
      </w:r>
      <w:r w:rsidRPr="00750FAC">
        <w:rPr>
          <w:rFonts w:ascii="Arial" w:hAnsi="Arial" w:cs="Arial"/>
          <w:sz w:val="22"/>
          <w:szCs w:val="22"/>
        </w:rPr>
        <w:t xml:space="preserve"> předfinancování</w:t>
      </w:r>
      <w:r w:rsidR="00400444">
        <w:rPr>
          <w:rFonts w:ascii="Arial" w:hAnsi="Arial" w:cs="Arial"/>
          <w:sz w:val="22"/>
          <w:szCs w:val="22"/>
        </w:rPr>
        <w:t xml:space="preserve"> výdajů spolufinancovaných EU z prostředků státního rozpočtu a jejich následnou refundaci od Národního fondu.</w:t>
      </w:r>
    </w:p>
    <w:p w14:paraId="00D9173C" w14:textId="77777777" w:rsidR="008E1722" w:rsidRDefault="008E1722" w:rsidP="00260B0C">
      <w:pPr>
        <w:pStyle w:val="Normln0"/>
        <w:jc w:val="both"/>
        <w:rPr>
          <w:rFonts w:ascii="Arial" w:hAnsi="Arial" w:cs="Arial"/>
          <w:sz w:val="22"/>
          <w:szCs w:val="22"/>
        </w:rPr>
      </w:pPr>
    </w:p>
    <w:p w14:paraId="00D9173D" w14:textId="77777777" w:rsidR="00E00DF2" w:rsidRDefault="00891BB4" w:rsidP="00260B0C">
      <w:pPr>
        <w:pStyle w:val="Normln0"/>
        <w:jc w:val="both"/>
        <w:rPr>
          <w:rFonts w:ascii="Arial" w:hAnsi="Arial" w:cs="Arial"/>
          <w:sz w:val="22"/>
          <w:szCs w:val="22"/>
        </w:rPr>
      </w:pPr>
      <w:r>
        <w:rPr>
          <w:rFonts w:ascii="Arial" w:hAnsi="Arial" w:cs="Arial"/>
          <w:sz w:val="22"/>
          <w:szCs w:val="22"/>
        </w:rPr>
        <w:t>Použití postupů účtování stanovených pro poskytovatele a příjemce komplikuje skutečnost</w:t>
      </w:r>
      <w:r w:rsidR="00E00DF2">
        <w:rPr>
          <w:rFonts w:ascii="Arial" w:hAnsi="Arial" w:cs="Arial"/>
          <w:sz w:val="22"/>
          <w:szCs w:val="22"/>
        </w:rPr>
        <w:t>, že v daných případech správce kapitoly státního rozpočtu většinou</w:t>
      </w:r>
      <w:r w:rsidR="00E00DF2" w:rsidRPr="005315AC">
        <w:rPr>
          <w:rFonts w:ascii="Arial" w:hAnsi="Arial" w:cs="Arial"/>
          <w:sz w:val="22"/>
          <w:szCs w:val="22"/>
        </w:rPr>
        <w:t xml:space="preserve"> </w:t>
      </w:r>
      <w:r w:rsidR="00E00DF2">
        <w:rPr>
          <w:rFonts w:ascii="Arial" w:hAnsi="Arial" w:cs="Arial"/>
          <w:sz w:val="22"/>
          <w:szCs w:val="22"/>
        </w:rPr>
        <w:t xml:space="preserve">nenaplňuje vymezení role </w:t>
      </w:r>
      <w:r w:rsidR="00E00DF2">
        <w:rPr>
          <w:rFonts w:ascii="Arial" w:hAnsi="Arial" w:cs="Arial"/>
          <w:sz w:val="22"/>
          <w:szCs w:val="22"/>
        </w:rPr>
        <w:lastRenderedPageBreak/>
        <w:t xml:space="preserve">„příjemce“. Tím </w:t>
      </w:r>
      <w:r w:rsidR="00E00DF2" w:rsidRPr="009175EA">
        <w:rPr>
          <w:rFonts w:ascii="Arial" w:hAnsi="Arial" w:cs="Arial"/>
          <w:sz w:val="22"/>
          <w:szCs w:val="22"/>
        </w:rPr>
        <w:t xml:space="preserve">by měl být </w:t>
      </w:r>
      <w:r w:rsidR="00E00DF2">
        <w:rPr>
          <w:rFonts w:ascii="Arial" w:hAnsi="Arial" w:cs="Arial"/>
          <w:sz w:val="22"/>
          <w:szCs w:val="22"/>
        </w:rPr>
        <w:t xml:space="preserve">dle účetního standardu </w:t>
      </w:r>
      <w:r w:rsidR="00E00DF2" w:rsidRPr="009175EA">
        <w:rPr>
          <w:rFonts w:ascii="Arial" w:hAnsi="Arial" w:cs="Arial"/>
          <w:sz w:val="22"/>
          <w:szCs w:val="22"/>
        </w:rPr>
        <w:t xml:space="preserve">„konečný příjemce“, tj. subjekt, který prostředky používá zejména pro pořízení aktiva nebo </w:t>
      </w:r>
      <w:r w:rsidR="008E1722">
        <w:rPr>
          <w:rFonts w:ascii="Arial" w:hAnsi="Arial" w:cs="Arial"/>
          <w:sz w:val="22"/>
          <w:szCs w:val="22"/>
        </w:rPr>
        <w:t>k </w:t>
      </w:r>
      <w:r w:rsidR="00E00DF2" w:rsidRPr="009175EA">
        <w:rPr>
          <w:rFonts w:ascii="Arial" w:hAnsi="Arial" w:cs="Arial"/>
          <w:sz w:val="22"/>
          <w:szCs w:val="22"/>
        </w:rPr>
        <w:t>úhrad</w:t>
      </w:r>
      <w:r w:rsidR="008E1722">
        <w:rPr>
          <w:rFonts w:ascii="Arial" w:hAnsi="Arial" w:cs="Arial"/>
          <w:sz w:val="22"/>
          <w:szCs w:val="22"/>
        </w:rPr>
        <w:t>ě</w:t>
      </w:r>
      <w:r w:rsidR="00E00DF2" w:rsidRPr="009175EA">
        <w:rPr>
          <w:rFonts w:ascii="Arial" w:hAnsi="Arial" w:cs="Arial"/>
          <w:sz w:val="22"/>
          <w:szCs w:val="22"/>
        </w:rPr>
        <w:t xml:space="preserve"> závazku</w:t>
      </w:r>
      <w:r w:rsidR="008E1722">
        <w:rPr>
          <w:rFonts w:ascii="Arial" w:hAnsi="Arial" w:cs="Arial"/>
          <w:sz w:val="22"/>
          <w:szCs w:val="22"/>
        </w:rPr>
        <w:t>,</w:t>
      </w:r>
      <w:r w:rsidR="00E00DF2">
        <w:rPr>
          <w:rFonts w:ascii="Arial" w:hAnsi="Arial" w:cs="Arial"/>
          <w:sz w:val="22"/>
          <w:szCs w:val="22"/>
        </w:rPr>
        <w:t xml:space="preserve"> a ne subjekt, kterému jsou dříve vynaložené peněžní prostředky jen refundovány.</w:t>
      </w:r>
    </w:p>
    <w:p w14:paraId="00D9173E" w14:textId="77777777" w:rsidR="008E1722" w:rsidRDefault="008E1722" w:rsidP="00260B0C">
      <w:pPr>
        <w:pStyle w:val="Normln0"/>
        <w:jc w:val="both"/>
        <w:rPr>
          <w:rFonts w:ascii="Arial" w:hAnsi="Arial" w:cs="Arial"/>
          <w:sz w:val="22"/>
          <w:szCs w:val="22"/>
        </w:rPr>
      </w:pPr>
    </w:p>
    <w:p w14:paraId="00D9173F" w14:textId="77777777" w:rsidR="00E00DF2" w:rsidRDefault="00FA6100" w:rsidP="00260B0C">
      <w:pPr>
        <w:pStyle w:val="Normln0"/>
        <w:jc w:val="both"/>
        <w:rPr>
          <w:rFonts w:ascii="Arial" w:hAnsi="Arial" w:cs="Arial"/>
          <w:sz w:val="22"/>
          <w:szCs w:val="22"/>
        </w:rPr>
      </w:pPr>
      <w:r>
        <w:rPr>
          <w:rFonts w:ascii="Arial" w:hAnsi="Arial" w:cs="Arial"/>
          <w:sz w:val="22"/>
          <w:szCs w:val="22"/>
        </w:rPr>
        <w:t>P</w:t>
      </w:r>
      <w:r w:rsidR="00E00DF2">
        <w:rPr>
          <w:rFonts w:ascii="Arial" w:hAnsi="Arial" w:cs="Arial"/>
          <w:sz w:val="22"/>
          <w:szCs w:val="22"/>
        </w:rPr>
        <w:t xml:space="preserve">ostupy účtování </w:t>
      </w:r>
      <w:r>
        <w:rPr>
          <w:rFonts w:ascii="Arial" w:hAnsi="Arial" w:cs="Arial"/>
          <w:sz w:val="22"/>
          <w:szCs w:val="22"/>
        </w:rPr>
        <w:t>stanovené</w:t>
      </w:r>
      <w:r w:rsidR="00E00DF2">
        <w:rPr>
          <w:rFonts w:ascii="Arial" w:hAnsi="Arial" w:cs="Arial"/>
          <w:sz w:val="22"/>
          <w:szCs w:val="22"/>
        </w:rPr>
        <w:t xml:space="preserve"> pro zprostředkovatele zahraničního transferu</w:t>
      </w:r>
      <w:r>
        <w:rPr>
          <w:rFonts w:ascii="Arial" w:hAnsi="Arial" w:cs="Arial"/>
          <w:sz w:val="22"/>
          <w:szCs w:val="22"/>
        </w:rPr>
        <w:t xml:space="preserve"> jsou zase</w:t>
      </w:r>
      <w:r w:rsidR="00E00DF2">
        <w:rPr>
          <w:rFonts w:ascii="Arial" w:hAnsi="Arial" w:cs="Arial"/>
          <w:sz w:val="22"/>
          <w:szCs w:val="22"/>
        </w:rPr>
        <w:t xml:space="preserve"> nastaveny na jiné finanční toky, než jaké </w:t>
      </w:r>
      <w:r w:rsidR="00E00DF2" w:rsidRPr="009175EA">
        <w:rPr>
          <w:rFonts w:ascii="Arial" w:hAnsi="Arial" w:cs="Arial"/>
          <w:sz w:val="22"/>
          <w:szCs w:val="22"/>
        </w:rPr>
        <w:t>probíhají v</w:t>
      </w:r>
      <w:r w:rsidR="00E00DF2">
        <w:rPr>
          <w:rFonts w:ascii="Arial" w:hAnsi="Arial" w:cs="Arial"/>
          <w:sz w:val="22"/>
          <w:szCs w:val="22"/>
        </w:rPr>
        <w:t> </w:t>
      </w:r>
      <w:r w:rsidR="00E00DF2" w:rsidRPr="009175EA">
        <w:rPr>
          <w:rFonts w:ascii="Arial" w:hAnsi="Arial" w:cs="Arial"/>
          <w:sz w:val="22"/>
          <w:szCs w:val="22"/>
        </w:rPr>
        <w:t>praxi</w:t>
      </w:r>
      <w:r w:rsidR="00E00DF2">
        <w:rPr>
          <w:rFonts w:ascii="Arial" w:hAnsi="Arial" w:cs="Arial"/>
          <w:sz w:val="22"/>
          <w:szCs w:val="22"/>
        </w:rPr>
        <w:t xml:space="preserve">, resp. </w:t>
      </w:r>
      <w:r w:rsidR="005A1A1C">
        <w:rPr>
          <w:rFonts w:ascii="Arial" w:hAnsi="Arial" w:cs="Arial"/>
          <w:sz w:val="22"/>
          <w:szCs w:val="22"/>
        </w:rPr>
        <w:t>jaké reálně probíhají v</w:t>
      </w:r>
      <w:r w:rsidR="007D33AF">
        <w:rPr>
          <w:rFonts w:ascii="Arial" w:hAnsi="Arial" w:cs="Arial"/>
          <w:sz w:val="22"/>
          <w:szCs w:val="22"/>
        </w:rPr>
        <w:t> </w:t>
      </w:r>
      <w:r w:rsidR="00E00DF2">
        <w:rPr>
          <w:rFonts w:ascii="Arial" w:hAnsi="Arial" w:cs="Arial"/>
          <w:sz w:val="22"/>
          <w:szCs w:val="22"/>
        </w:rPr>
        <w:t>systém</w:t>
      </w:r>
      <w:r w:rsidR="005A1A1C">
        <w:rPr>
          <w:rFonts w:ascii="Arial" w:hAnsi="Arial" w:cs="Arial"/>
          <w:sz w:val="22"/>
          <w:szCs w:val="22"/>
        </w:rPr>
        <w:t>u</w:t>
      </w:r>
      <w:r w:rsidR="00E00DF2">
        <w:rPr>
          <w:rFonts w:ascii="Arial" w:hAnsi="Arial" w:cs="Arial"/>
          <w:sz w:val="22"/>
          <w:szCs w:val="22"/>
        </w:rPr>
        <w:t xml:space="preserve"> předfinancování</w:t>
      </w:r>
      <w:r w:rsidR="00E00DF2" w:rsidRPr="009175EA">
        <w:rPr>
          <w:rFonts w:ascii="Arial" w:hAnsi="Arial" w:cs="Arial"/>
          <w:sz w:val="22"/>
          <w:szCs w:val="22"/>
        </w:rPr>
        <w:t>.</w:t>
      </w:r>
      <w:r w:rsidR="00E00DF2">
        <w:rPr>
          <w:rFonts w:ascii="Arial" w:hAnsi="Arial" w:cs="Arial"/>
          <w:sz w:val="22"/>
          <w:szCs w:val="22"/>
        </w:rPr>
        <w:t xml:space="preserve"> </w:t>
      </w:r>
      <w:r w:rsidR="00E00DF2" w:rsidRPr="00750FAC">
        <w:rPr>
          <w:rFonts w:ascii="Arial" w:hAnsi="Arial" w:cs="Arial"/>
          <w:sz w:val="22"/>
          <w:szCs w:val="22"/>
        </w:rPr>
        <w:t>Praxe předfinancování ze státního rozpočtu je založena na tom, že peněžní prostředky</w:t>
      </w:r>
      <w:r w:rsidR="00E00DF2">
        <w:rPr>
          <w:rFonts w:ascii="Arial" w:hAnsi="Arial" w:cs="Arial"/>
          <w:sz w:val="22"/>
          <w:szCs w:val="22"/>
        </w:rPr>
        <w:t xml:space="preserve"> státního rozpočtu</w:t>
      </w:r>
      <w:r w:rsidR="00E00DF2" w:rsidRPr="00750FAC">
        <w:rPr>
          <w:rFonts w:ascii="Arial" w:hAnsi="Arial" w:cs="Arial"/>
          <w:sz w:val="22"/>
          <w:szCs w:val="22"/>
        </w:rPr>
        <w:t xml:space="preserve"> jsou</w:t>
      </w:r>
      <w:r w:rsidR="00E00DF2">
        <w:rPr>
          <w:rFonts w:ascii="Arial" w:hAnsi="Arial" w:cs="Arial"/>
          <w:sz w:val="22"/>
          <w:szCs w:val="22"/>
        </w:rPr>
        <w:t xml:space="preserve"> v celé výši transferu</w:t>
      </w:r>
      <w:r w:rsidR="00E00DF2" w:rsidRPr="00750FAC">
        <w:rPr>
          <w:rFonts w:ascii="Arial" w:hAnsi="Arial" w:cs="Arial"/>
          <w:sz w:val="22"/>
          <w:szCs w:val="22"/>
        </w:rPr>
        <w:t xml:space="preserve"> odeslány konečnému příjemci</w:t>
      </w:r>
      <w:r w:rsidR="00E00DF2">
        <w:rPr>
          <w:rFonts w:ascii="Arial" w:hAnsi="Arial" w:cs="Arial"/>
          <w:sz w:val="22"/>
          <w:szCs w:val="22"/>
        </w:rPr>
        <w:t xml:space="preserve"> a </w:t>
      </w:r>
      <w:r w:rsidR="00E00DF2" w:rsidRPr="00750FAC">
        <w:rPr>
          <w:rFonts w:ascii="Arial" w:hAnsi="Arial" w:cs="Arial"/>
          <w:sz w:val="22"/>
          <w:szCs w:val="22"/>
        </w:rPr>
        <w:t>až v následujících časových obdobích jsou na základě žádosti správc</w:t>
      </w:r>
      <w:r w:rsidR="00E00DF2">
        <w:rPr>
          <w:rFonts w:ascii="Arial" w:hAnsi="Arial" w:cs="Arial"/>
          <w:sz w:val="22"/>
          <w:szCs w:val="22"/>
        </w:rPr>
        <w:t>i</w:t>
      </w:r>
      <w:r w:rsidR="00E00DF2" w:rsidRPr="00750FAC">
        <w:rPr>
          <w:rFonts w:ascii="Arial" w:hAnsi="Arial" w:cs="Arial"/>
          <w:sz w:val="22"/>
          <w:szCs w:val="22"/>
        </w:rPr>
        <w:t xml:space="preserve"> kapitoly</w:t>
      </w:r>
      <w:r w:rsidR="005A1A1C">
        <w:rPr>
          <w:rFonts w:ascii="Arial" w:hAnsi="Arial" w:cs="Arial"/>
          <w:sz w:val="22"/>
          <w:szCs w:val="22"/>
        </w:rPr>
        <w:t xml:space="preserve"> státního rozpočtu</w:t>
      </w:r>
      <w:r w:rsidR="00E00DF2" w:rsidRPr="00750FAC">
        <w:rPr>
          <w:rFonts w:ascii="Arial" w:hAnsi="Arial" w:cs="Arial"/>
          <w:sz w:val="22"/>
          <w:szCs w:val="22"/>
        </w:rPr>
        <w:t xml:space="preserve"> refundovány z Národního fondu.</w:t>
      </w:r>
      <w:r w:rsidR="00E00DF2">
        <w:rPr>
          <w:rFonts w:ascii="Arial" w:hAnsi="Arial" w:cs="Arial"/>
          <w:sz w:val="22"/>
          <w:szCs w:val="22"/>
        </w:rPr>
        <w:t xml:space="preserve"> </w:t>
      </w:r>
    </w:p>
    <w:p w14:paraId="00D91740" w14:textId="77777777" w:rsidR="008E1722" w:rsidRDefault="008E1722" w:rsidP="00260B0C">
      <w:pPr>
        <w:pStyle w:val="Normln0"/>
        <w:jc w:val="both"/>
        <w:rPr>
          <w:rFonts w:ascii="Arial" w:hAnsi="Arial" w:cs="Arial"/>
          <w:sz w:val="22"/>
          <w:szCs w:val="22"/>
        </w:rPr>
      </w:pPr>
    </w:p>
    <w:p w14:paraId="00D91741" w14:textId="77777777" w:rsidR="00E00DF2" w:rsidRPr="004808DF" w:rsidRDefault="00E00DF2" w:rsidP="00E00DF2">
      <w:pPr>
        <w:autoSpaceDE w:val="0"/>
        <w:autoSpaceDN w:val="0"/>
        <w:adjustRightInd w:val="0"/>
        <w:jc w:val="both"/>
        <w:rPr>
          <w:rFonts w:ascii="Arial" w:hAnsi="Arial" w:cs="Arial"/>
          <w:sz w:val="22"/>
          <w:szCs w:val="22"/>
        </w:rPr>
      </w:pPr>
      <w:r w:rsidRPr="004808DF">
        <w:rPr>
          <w:rFonts w:ascii="Arial" w:hAnsi="Arial" w:cs="Arial"/>
          <w:bCs/>
          <w:iCs/>
          <w:sz w:val="22"/>
          <w:szCs w:val="22"/>
        </w:rPr>
        <w:t xml:space="preserve">MPO v roce 2012 poskytovalo </w:t>
      </w:r>
      <w:r>
        <w:rPr>
          <w:rFonts w:ascii="Arial" w:hAnsi="Arial" w:cs="Arial"/>
          <w:bCs/>
          <w:iCs/>
          <w:sz w:val="22"/>
          <w:szCs w:val="22"/>
        </w:rPr>
        <w:t>transfery</w:t>
      </w:r>
      <w:r w:rsidRPr="004808DF">
        <w:rPr>
          <w:rFonts w:ascii="Arial" w:hAnsi="Arial" w:cs="Arial"/>
          <w:bCs/>
          <w:iCs/>
          <w:sz w:val="22"/>
          <w:szCs w:val="22"/>
        </w:rPr>
        <w:t xml:space="preserve"> obsahující prostředky od EU </w:t>
      </w:r>
      <w:r>
        <w:rPr>
          <w:rFonts w:ascii="Arial" w:hAnsi="Arial" w:cs="Arial"/>
          <w:bCs/>
          <w:iCs/>
          <w:sz w:val="22"/>
          <w:szCs w:val="22"/>
        </w:rPr>
        <w:t>v</w:t>
      </w:r>
      <w:r w:rsidR="009F047D">
        <w:rPr>
          <w:rFonts w:ascii="Arial" w:hAnsi="Arial" w:cs="Arial"/>
          <w:bCs/>
          <w:iCs/>
          <w:sz w:val="22"/>
          <w:szCs w:val="22"/>
        </w:rPr>
        <w:t> </w:t>
      </w:r>
      <w:r>
        <w:rPr>
          <w:rFonts w:ascii="Arial" w:hAnsi="Arial" w:cs="Arial"/>
          <w:bCs/>
          <w:iCs/>
          <w:sz w:val="22"/>
          <w:szCs w:val="22"/>
        </w:rPr>
        <w:t>rámci</w:t>
      </w:r>
      <w:r w:rsidRPr="004808DF">
        <w:rPr>
          <w:rFonts w:ascii="Arial" w:hAnsi="Arial" w:cs="Arial"/>
          <w:bCs/>
          <w:iCs/>
          <w:sz w:val="22"/>
          <w:szCs w:val="22"/>
        </w:rPr>
        <w:t xml:space="preserve"> </w:t>
      </w:r>
      <w:r w:rsidR="008E1722">
        <w:rPr>
          <w:rFonts w:ascii="Arial" w:hAnsi="Arial" w:cs="Arial"/>
          <w:sz w:val="22"/>
          <w:szCs w:val="22"/>
        </w:rPr>
        <w:t>o</w:t>
      </w:r>
      <w:r w:rsidRPr="004808DF">
        <w:rPr>
          <w:rFonts w:ascii="Arial" w:hAnsi="Arial" w:cs="Arial"/>
          <w:sz w:val="22"/>
          <w:szCs w:val="22"/>
        </w:rPr>
        <w:t xml:space="preserve">peračního programu </w:t>
      </w:r>
      <w:r w:rsidRPr="00260B0C">
        <w:rPr>
          <w:rFonts w:ascii="Arial" w:hAnsi="Arial" w:cs="Arial"/>
          <w:i/>
          <w:sz w:val="22"/>
          <w:szCs w:val="22"/>
        </w:rPr>
        <w:t>Podnikání a inovace</w:t>
      </w:r>
      <w:r w:rsidRPr="004808DF">
        <w:rPr>
          <w:rFonts w:ascii="Arial" w:hAnsi="Arial" w:cs="Arial"/>
          <w:sz w:val="22"/>
          <w:szCs w:val="22"/>
        </w:rPr>
        <w:t xml:space="preserve">. Tento operační program je podporován </w:t>
      </w:r>
      <w:r w:rsidR="009F047D">
        <w:rPr>
          <w:rFonts w:ascii="Arial" w:hAnsi="Arial" w:cs="Arial"/>
          <w:sz w:val="22"/>
          <w:szCs w:val="22"/>
        </w:rPr>
        <w:t>z </w:t>
      </w:r>
      <w:r w:rsidRPr="00260B0C">
        <w:rPr>
          <w:rFonts w:ascii="Arial" w:hAnsi="Arial" w:cs="Arial"/>
          <w:i/>
          <w:sz w:val="22"/>
          <w:szCs w:val="22"/>
        </w:rPr>
        <w:t>Evropského fondu pro regionální rozvoj</w:t>
      </w:r>
      <w:r w:rsidRPr="004808DF">
        <w:rPr>
          <w:rFonts w:ascii="Arial" w:hAnsi="Arial" w:cs="Arial"/>
          <w:sz w:val="22"/>
          <w:szCs w:val="22"/>
        </w:rPr>
        <w:t xml:space="preserve"> ve výši 85 % způsobilých výdajů</w:t>
      </w:r>
      <w:r w:rsidR="00A77F94">
        <w:rPr>
          <w:rFonts w:ascii="Arial" w:hAnsi="Arial" w:cs="Arial"/>
          <w:sz w:val="22"/>
          <w:szCs w:val="22"/>
        </w:rPr>
        <w:t xml:space="preserve"> a</w:t>
      </w:r>
      <w:r w:rsidRPr="004808DF">
        <w:rPr>
          <w:rFonts w:ascii="Arial" w:hAnsi="Arial" w:cs="Arial"/>
          <w:sz w:val="22"/>
          <w:szCs w:val="22"/>
        </w:rPr>
        <w:t xml:space="preserve"> české spolufinancování </w:t>
      </w:r>
      <w:r w:rsidR="008E1722">
        <w:rPr>
          <w:rFonts w:ascii="Arial" w:hAnsi="Arial" w:cs="Arial"/>
          <w:sz w:val="22"/>
          <w:szCs w:val="22"/>
        </w:rPr>
        <w:t>činí</w:t>
      </w:r>
      <w:r>
        <w:rPr>
          <w:rFonts w:ascii="Arial" w:hAnsi="Arial" w:cs="Arial"/>
          <w:sz w:val="22"/>
          <w:szCs w:val="22"/>
        </w:rPr>
        <w:t xml:space="preserve"> </w:t>
      </w:r>
      <w:r w:rsidRPr="004808DF">
        <w:rPr>
          <w:rFonts w:ascii="Arial" w:hAnsi="Arial" w:cs="Arial"/>
          <w:sz w:val="22"/>
          <w:szCs w:val="22"/>
        </w:rPr>
        <w:t>15</w:t>
      </w:r>
      <w:r w:rsidR="004222D1">
        <w:rPr>
          <w:rFonts w:ascii="Arial" w:hAnsi="Arial" w:cs="Arial"/>
          <w:sz w:val="22"/>
          <w:szCs w:val="22"/>
        </w:rPr>
        <w:t> </w:t>
      </w:r>
      <w:r w:rsidRPr="004808DF">
        <w:rPr>
          <w:rFonts w:ascii="Arial" w:hAnsi="Arial" w:cs="Arial"/>
          <w:sz w:val="22"/>
          <w:szCs w:val="22"/>
        </w:rPr>
        <w:t xml:space="preserve">%. </w:t>
      </w:r>
      <w:r>
        <w:rPr>
          <w:rFonts w:ascii="Arial" w:hAnsi="Arial" w:cs="Arial"/>
          <w:sz w:val="22"/>
          <w:szCs w:val="22"/>
        </w:rPr>
        <w:t>P</w:t>
      </w:r>
      <w:r w:rsidRPr="004808DF">
        <w:rPr>
          <w:rFonts w:ascii="Arial" w:hAnsi="Arial" w:cs="Arial"/>
          <w:sz w:val="22"/>
          <w:szCs w:val="22"/>
        </w:rPr>
        <w:t>odí</w:t>
      </w:r>
      <w:r>
        <w:rPr>
          <w:rFonts w:ascii="Arial" w:hAnsi="Arial" w:cs="Arial"/>
          <w:sz w:val="22"/>
          <w:szCs w:val="22"/>
        </w:rPr>
        <w:t>l EU</w:t>
      </w:r>
      <w:r w:rsidRPr="004808DF">
        <w:rPr>
          <w:rFonts w:ascii="Arial" w:hAnsi="Arial" w:cs="Arial"/>
          <w:sz w:val="22"/>
          <w:szCs w:val="22"/>
        </w:rPr>
        <w:t xml:space="preserve"> ve výši 85 % je nejdříve předfinancován z prostředků státního rozpočtu, t</w:t>
      </w:r>
      <w:r>
        <w:rPr>
          <w:rFonts w:ascii="Arial" w:hAnsi="Arial" w:cs="Arial"/>
          <w:sz w:val="22"/>
          <w:szCs w:val="22"/>
        </w:rPr>
        <w:t>ak</w:t>
      </w:r>
      <w:r w:rsidRPr="004808DF">
        <w:rPr>
          <w:rFonts w:ascii="Arial" w:hAnsi="Arial" w:cs="Arial"/>
          <w:sz w:val="22"/>
          <w:szCs w:val="22"/>
        </w:rPr>
        <w:t xml:space="preserve">že příjemce obdrží </w:t>
      </w:r>
      <w:r w:rsidR="00245C09">
        <w:rPr>
          <w:rFonts w:ascii="Arial" w:hAnsi="Arial" w:cs="Arial"/>
          <w:sz w:val="22"/>
          <w:szCs w:val="22"/>
        </w:rPr>
        <w:t>celou</w:t>
      </w:r>
      <w:r>
        <w:rPr>
          <w:rFonts w:ascii="Arial" w:hAnsi="Arial" w:cs="Arial"/>
          <w:sz w:val="22"/>
          <w:szCs w:val="22"/>
        </w:rPr>
        <w:t xml:space="preserve"> výši transferu</w:t>
      </w:r>
      <w:r w:rsidRPr="004808DF">
        <w:rPr>
          <w:rFonts w:ascii="Arial" w:hAnsi="Arial" w:cs="Arial"/>
          <w:sz w:val="22"/>
          <w:szCs w:val="22"/>
        </w:rPr>
        <w:t xml:space="preserve"> a MPO následně žádá o refundaci předfinancované části za EU</w:t>
      </w:r>
      <w:r>
        <w:rPr>
          <w:rFonts w:ascii="Arial" w:hAnsi="Arial" w:cs="Arial"/>
          <w:sz w:val="22"/>
          <w:szCs w:val="22"/>
        </w:rPr>
        <w:t xml:space="preserve"> formou tzv.</w:t>
      </w:r>
      <w:r w:rsidR="00A77F94">
        <w:rPr>
          <w:rFonts w:ascii="Arial" w:hAnsi="Arial" w:cs="Arial"/>
          <w:sz w:val="22"/>
          <w:szCs w:val="22"/>
        </w:rPr>
        <w:t xml:space="preserve"> </w:t>
      </w:r>
      <w:r w:rsidRPr="004808DF">
        <w:rPr>
          <w:rFonts w:ascii="Arial" w:hAnsi="Arial" w:cs="Arial"/>
          <w:sz w:val="22"/>
          <w:szCs w:val="22"/>
        </w:rPr>
        <w:t>souhrnn</w:t>
      </w:r>
      <w:r>
        <w:rPr>
          <w:rFonts w:ascii="Arial" w:hAnsi="Arial" w:cs="Arial"/>
          <w:sz w:val="22"/>
          <w:szCs w:val="22"/>
        </w:rPr>
        <w:t>é</w:t>
      </w:r>
      <w:r w:rsidRPr="004808DF">
        <w:rPr>
          <w:rFonts w:ascii="Arial" w:hAnsi="Arial" w:cs="Arial"/>
          <w:sz w:val="22"/>
          <w:szCs w:val="22"/>
        </w:rPr>
        <w:t xml:space="preserve"> žádost</w:t>
      </w:r>
      <w:r>
        <w:rPr>
          <w:rFonts w:ascii="Arial" w:hAnsi="Arial" w:cs="Arial"/>
          <w:sz w:val="22"/>
          <w:szCs w:val="22"/>
        </w:rPr>
        <w:t>i</w:t>
      </w:r>
      <w:r w:rsidR="00A77F94">
        <w:rPr>
          <w:rFonts w:ascii="Arial" w:hAnsi="Arial" w:cs="Arial"/>
          <w:sz w:val="22"/>
          <w:szCs w:val="22"/>
        </w:rPr>
        <w:t xml:space="preserve">, kterou podává </w:t>
      </w:r>
      <w:r w:rsidRPr="004808DF">
        <w:rPr>
          <w:rFonts w:ascii="Arial" w:hAnsi="Arial" w:cs="Arial"/>
          <w:sz w:val="22"/>
          <w:szCs w:val="22"/>
        </w:rPr>
        <w:t>platebnímu a certifikačnímu orgánu</w:t>
      </w:r>
      <w:r w:rsidR="00A77F94">
        <w:rPr>
          <w:rFonts w:ascii="Arial" w:hAnsi="Arial" w:cs="Arial"/>
          <w:sz w:val="22"/>
          <w:szCs w:val="22"/>
        </w:rPr>
        <w:t xml:space="preserve">, </w:t>
      </w:r>
      <w:r w:rsidR="008E1722">
        <w:rPr>
          <w:rFonts w:ascii="Arial" w:hAnsi="Arial" w:cs="Arial"/>
          <w:sz w:val="22"/>
          <w:szCs w:val="22"/>
        </w:rPr>
        <w:t>jehož roli v ČR plní odbor MF Národní fond.</w:t>
      </w:r>
    </w:p>
    <w:p w14:paraId="00D91742" w14:textId="77777777" w:rsidR="00E00DF2" w:rsidRDefault="00E00DF2" w:rsidP="00E00DF2">
      <w:pPr>
        <w:autoSpaceDE w:val="0"/>
        <w:autoSpaceDN w:val="0"/>
        <w:adjustRightInd w:val="0"/>
        <w:jc w:val="both"/>
        <w:rPr>
          <w:rFonts w:cs="Arial"/>
          <w:szCs w:val="22"/>
        </w:rPr>
      </w:pPr>
    </w:p>
    <w:p w14:paraId="00D91743" w14:textId="77777777" w:rsidR="00E00DF2" w:rsidRDefault="00E00DF2" w:rsidP="00E00DF2">
      <w:pPr>
        <w:pStyle w:val="Odstavecseseznamem"/>
        <w:tabs>
          <w:tab w:val="left" w:pos="720"/>
        </w:tabs>
        <w:autoSpaceDE w:val="0"/>
        <w:autoSpaceDN w:val="0"/>
        <w:adjustRightInd w:val="0"/>
        <w:ind w:left="0"/>
        <w:jc w:val="both"/>
        <w:rPr>
          <w:rFonts w:ascii="Arial" w:hAnsi="Arial" w:cs="Arial"/>
          <w:sz w:val="22"/>
          <w:szCs w:val="22"/>
        </w:rPr>
      </w:pPr>
      <w:r>
        <w:rPr>
          <w:rFonts w:ascii="Arial" w:hAnsi="Arial" w:cs="Arial"/>
          <w:sz w:val="22"/>
          <w:szCs w:val="22"/>
        </w:rPr>
        <w:t xml:space="preserve">MPO účtovalo o poskytnutí dotace </w:t>
      </w:r>
      <w:r w:rsidR="008E1722">
        <w:rPr>
          <w:rFonts w:ascii="Arial" w:hAnsi="Arial" w:cs="Arial"/>
          <w:bCs/>
          <w:iCs/>
          <w:sz w:val="22"/>
          <w:szCs w:val="22"/>
        </w:rPr>
        <w:t>z</w:t>
      </w:r>
      <w:r w:rsidR="009F047D">
        <w:rPr>
          <w:rFonts w:ascii="Arial" w:hAnsi="Arial" w:cs="Arial"/>
          <w:bCs/>
          <w:iCs/>
          <w:sz w:val="22"/>
          <w:szCs w:val="22"/>
        </w:rPr>
        <w:t> </w:t>
      </w:r>
      <w:r w:rsidR="008E1722">
        <w:rPr>
          <w:rFonts w:ascii="Arial" w:hAnsi="Arial" w:cs="Arial"/>
          <w:sz w:val="22"/>
          <w:szCs w:val="22"/>
        </w:rPr>
        <w:t>o</w:t>
      </w:r>
      <w:r w:rsidR="00A77F94" w:rsidRPr="004808DF">
        <w:rPr>
          <w:rFonts w:ascii="Arial" w:hAnsi="Arial" w:cs="Arial"/>
          <w:sz w:val="22"/>
          <w:szCs w:val="22"/>
        </w:rPr>
        <w:t xml:space="preserve">peračního programu </w:t>
      </w:r>
      <w:r w:rsidR="00A77F94" w:rsidRPr="00260B0C">
        <w:rPr>
          <w:rFonts w:ascii="Arial" w:hAnsi="Arial" w:cs="Arial"/>
          <w:i/>
          <w:sz w:val="22"/>
          <w:szCs w:val="22"/>
        </w:rPr>
        <w:t>Podnikání a inovace</w:t>
      </w:r>
      <w:r>
        <w:rPr>
          <w:rFonts w:ascii="Arial" w:hAnsi="Arial" w:cs="Arial"/>
          <w:sz w:val="22"/>
          <w:szCs w:val="22"/>
        </w:rPr>
        <w:t>, včetně podílu EU, jako poskytovatel a o přijaté refundaci prostředků EU od Národního fondu jako příjemce. MPO splňuje vymezení poskytovatele dle Č</w:t>
      </w:r>
      <w:r w:rsidR="00E804E6">
        <w:rPr>
          <w:rFonts w:ascii="Arial" w:hAnsi="Arial" w:cs="Arial"/>
          <w:sz w:val="22"/>
          <w:szCs w:val="22"/>
        </w:rPr>
        <w:t xml:space="preserve">ÚS </w:t>
      </w:r>
      <w:r>
        <w:rPr>
          <w:rFonts w:ascii="Arial" w:hAnsi="Arial" w:cs="Arial"/>
          <w:sz w:val="22"/>
          <w:szCs w:val="22"/>
        </w:rPr>
        <w:t xml:space="preserve">č. 703 </w:t>
      </w:r>
      <w:r w:rsidR="007D33AF">
        <w:rPr>
          <w:rFonts w:ascii="Arial" w:hAnsi="Arial" w:cs="Arial"/>
          <w:sz w:val="22"/>
          <w:szCs w:val="22"/>
        </w:rPr>
        <w:t>–</w:t>
      </w:r>
      <w:r>
        <w:rPr>
          <w:rFonts w:ascii="Arial" w:hAnsi="Arial" w:cs="Arial"/>
          <w:sz w:val="22"/>
          <w:szCs w:val="22"/>
        </w:rPr>
        <w:t xml:space="preserve"> </w:t>
      </w:r>
      <w:r w:rsidRPr="00A77F94">
        <w:rPr>
          <w:rFonts w:ascii="Arial" w:hAnsi="Arial" w:cs="Arial"/>
          <w:i/>
          <w:sz w:val="22"/>
          <w:szCs w:val="22"/>
        </w:rPr>
        <w:t>Transfery</w:t>
      </w:r>
      <w:r>
        <w:rPr>
          <w:rFonts w:ascii="Arial" w:hAnsi="Arial" w:cs="Arial"/>
          <w:sz w:val="22"/>
          <w:szCs w:val="22"/>
        </w:rPr>
        <w:t>, ale nenaplňuje vymezení role „příjemce“ tak, jak je výše uvedeno, neboť</w:t>
      </w:r>
      <w:r w:rsidRPr="009175EA">
        <w:rPr>
          <w:rFonts w:ascii="Arial" w:hAnsi="Arial" w:cs="Arial"/>
          <w:sz w:val="22"/>
          <w:szCs w:val="22"/>
        </w:rPr>
        <w:t xml:space="preserve"> MPO</w:t>
      </w:r>
      <w:r>
        <w:rPr>
          <w:rFonts w:ascii="Arial" w:hAnsi="Arial" w:cs="Arial"/>
          <w:sz w:val="22"/>
          <w:szCs w:val="22"/>
        </w:rPr>
        <w:t xml:space="preserve"> </w:t>
      </w:r>
      <w:r w:rsidRPr="009175EA">
        <w:rPr>
          <w:rFonts w:ascii="Arial" w:hAnsi="Arial" w:cs="Arial"/>
          <w:sz w:val="22"/>
          <w:szCs w:val="22"/>
        </w:rPr>
        <w:t>získává</w:t>
      </w:r>
      <w:r>
        <w:rPr>
          <w:rFonts w:ascii="Arial" w:hAnsi="Arial" w:cs="Arial"/>
          <w:sz w:val="22"/>
          <w:szCs w:val="22"/>
        </w:rPr>
        <w:t xml:space="preserve"> prostředky EU</w:t>
      </w:r>
      <w:r w:rsidRPr="009175EA">
        <w:rPr>
          <w:rFonts w:ascii="Arial" w:hAnsi="Arial" w:cs="Arial"/>
          <w:sz w:val="22"/>
          <w:szCs w:val="22"/>
        </w:rPr>
        <w:t xml:space="preserve"> jako refundaci </w:t>
      </w:r>
      <w:r w:rsidR="008E1722">
        <w:rPr>
          <w:rFonts w:ascii="Arial" w:hAnsi="Arial" w:cs="Arial"/>
          <w:sz w:val="22"/>
          <w:szCs w:val="22"/>
        </w:rPr>
        <w:t>za</w:t>
      </w:r>
      <w:r w:rsidRPr="009175EA">
        <w:rPr>
          <w:rFonts w:ascii="Arial" w:hAnsi="Arial" w:cs="Arial"/>
          <w:sz w:val="22"/>
          <w:szCs w:val="22"/>
        </w:rPr>
        <w:t xml:space="preserve"> </w:t>
      </w:r>
      <w:r>
        <w:rPr>
          <w:rFonts w:ascii="Arial" w:hAnsi="Arial" w:cs="Arial"/>
          <w:sz w:val="22"/>
          <w:szCs w:val="22"/>
        </w:rPr>
        <w:t>peněžní prostředk</w:t>
      </w:r>
      <w:r w:rsidR="008E1722">
        <w:rPr>
          <w:rFonts w:ascii="Arial" w:hAnsi="Arial" w:cs="Arial"/>
          <w:sz w:val="22"/>
          <w:szCs w:val="22"/>
        </w:rPr>
        <w:t>y</w:t>
      </w:r>
      <w:r w:rsidRPr="009175EA">
        <w:rPr>
          <w:rFonts w:ascii="Arial" w:hAnsi="Arial" w:cs="Arial"/>
          <w:sz w:val="22"/>
          <w:szCs w:val="22"/>
        </w:rPr>
        <w:t xml:space="preserve"> </w:t>
      </w:r>
      <w:r w:rsidR="008E1722" w:rsidRPr="009175EA">
        <w:rPr>
          <w:rFonts w:ascii="Arial" w:hAnsi="Arial" w:cs="Arial"/>
          <w:sz w:val="22"/>
          <w:szCs w:val="22"/>
        </w:rPr>
        <w:t>poskytnut</w:t>
      </w:r>
      <w:r w:rsidR="008E1722">
        <w:rPr>
          <w:rFonts w:ascii="Arial" w:hAnsi="Arial" w:cs="Arial"/>
          <w:sz w:val="22"/>
          <w:szCs w:val="22"/>
        </w:rPr>
        <w:t xml:space="preserve">é </w:t>
      </w:r>
      <w:r w:rsidRPr="009175EA">
        <w:rPr>
          <w:rFonts w:ascii="Arial" w:hAnsi="Arial" w:cs="Arial"/>
          <w:sz w:val="22"/>
          <w:szCs w:val="22"/>
        </w:rPr>
        <w:t>konečnému příjemci</w:t>
      </w:r>
      <w:r>
        <w:rPr>
          <w:rFonts w:ascii="Arial" w:hAnsi="Arial" w:cs="Arial"/>
          <w:sz w:val="22"/>
          <w:szCs w:val="22"/>
        </w:rPr>
        <w:t>. Jeho úlohou tedy není být konečným příjemcem prostředků EU</w:t>
      </w:r>
      <w:r w:rsidR="00245C09">
        <w:rPr>
          <w:rFonts w:ascii="Arial" w:hAnsi="Arial" w:cs="Arial"/>
          <w:sz w:val="22"/>
          <w:szCs w:val="22"/>
        </w:rPr>
        <w:t>.</w:t>
      </w:r>
    </w:p>
    <w:p w14:paraId="00D91744" w14:textId="77777777" w:rsidR="00A77F94" w:rsidRDefault="00A77F94" w:rsidP="00E00DF2">
      <w:pPr>
        <w:pStyle w:val="Odstavecseseznamem"/>
        <w:tabs>
          <w:tab w:val="left" w:pos="720"/>
        </w:tabs>
        <w:autoSpaceDE w:val="0"/>
        <w:autoSpaceDN w:val="0"/>
        <w:adjustRightInd w:val="0"/>
        <w:ind w:left="0"/>
        <w:jc w:val="both"/>
        <w:rPr>
          <w:lang w:eastAsia="hi-IN" w:bidi="hi-IN"/>
        </w:rPr>
      </w:pPr>
    </w:p>
    <w:p w14:paraId="00D91745" w14:textId="77777777" w:rsidR="00E00DF2" w:rsidRDefault="00E00DF2" w:rsidP="00E00DF2">
      <w:pPr>
        <w:pStyle w:val="Textpoznpodarou"/>
        <w:jc w:val="both"/>
        <w:rPr>
          <w:rFonts w:ascii="Arial" w:hAnsi="Arial" w:cs="Arial"/>
          <w:sz w:val="22"/>
          <w:szCs w:val="22"/>
        </w:rPr>
      </w:pPr>
      <w:r w:rsidRPr="009175EA">
        <w:rPr>
          <w:rFonts w:ascii="Arial" w:hAnsi="Arial" w:cs="Arial"/>
          <w:sz w:val="22"/>
          <w:szCs w:val="22"/>
        </w:rPr>
        <w:t xml:space="preserve">Role MPO při poskytování </w:t>
      </w:r>
      <w:r>
        <w:rPr>
          <w:rFonts w:ascii="Arial" w:hAnsi="Arial" w:cs="Arial"/>
          <w:sz w:val="22"/>
          <w:szCs w:val="22"/>
        </w:rPr>
        <w:t>transferů</w:t>
      </w:r>
      <w:r w:rsidRPr="009175EA">
        <w:rPr>
          <w:rFonts w:ascii="Arial" w:hAnsi="Arial" w:cs="Arial"/>
          <w:sz w:val="22"/>
          <w:szCs w:val="22"/>
        </w:rPr>
        <w:t xml:space="preserve"> obsahujících prostředky od EU</w:t>
      </w:r>
      <w:r w:rsidR="007D33AF">
        <w:rPr>
          <w:rFonts w:ascii="Arial" w:hAnsi="Arial" w:cs="Arial"/>
          <w:sz w:val="22"/>
          <w:szCs w:val="22"/>
        </w:rPr>
        <w:t xml:space="preserve"> však může odpovídat i </w:t>
      </w:r>
      <w:r w:rsidRPr="009175EA">
        <w:rPr>
          <w:rFonts w:ascii="Arial" w:hAnsi="Arial" w:cs="Arial"/>
          <w:sz w:val="22"/>
          <w:szCs w:val="22"/>
        </w:rPr>
        <w:t>rol</w:t>
      </w:r>
      <w:r w:rsidR="00245C09">
        <w:rPr>
          <w:rFonts w:ascii="Arial" w:hAnsi="Arial" w:cs="Arial"/>
          <w:sz w:val="22"/>
          <w:szCs w:val="22"/>
        </w:rPr>
        <w:t>i</w:t>
      </w:r>
      <w:r w:rsidRPr="009175EA">
        <w:rPr>
          <w:rFonts w:ascii="Arial" w:hAnsi="Arial" w:cs="Arial"/>
          <w:sz w:val="22"/>
          <w:szCs w:val="22"/>
        </w:rPr>
        <w:t xml:space="preserve"> </w:t>
      </w:r>
      <w:r>
        <w:rPr>
          <w:rFonts w:ascii="Arial" w:hAnsi="Arial" w:cs="Arial"/>
          <w:sz w:val="22"/>
          <w:szCs w:val="22"/>
        </w:rPr>
        <w:t xml:space="preserve">tzv. </w:t>
      </w:r>
      <w:r w:rsidRPr="009175EA">
        <w:rPr>
          <w:rFonts w:ascii="Arial" w:hAnsi="Arial" w:cs="Arial"/>
          <w:sz w:val="22"/>
          <w:szCs w:val="22"/>
        </w:rPr>
        <w:t xml:space="preserve">zprostředkovatele </w:t>
      </w:r>
      <w:r>
        <w:rPr>
          <w:rFonts w:ascii="Arial" w:hAnsi="Arial" w:cs="Arial"/>
          <w:sz w:val="22"/>
          <w:szCs w:val="22"/>
        </w:rPr>
        <w:t>zahraničního</w:t>
      </w:r>
      <w:r w:rsidRPr="009175EA">
        <w:rPr>
          <w:rFonts w:ascii="Arial" w:hAnsi="Arial" w:cs="Arial"/>
          <w:sz w:val="22"/>
          <w:szCs w:val="22"/>
        </w:rPr>
        <w:t xml:space="preserve"> transferu</w:t>
      </w:r>
      <w:r>
        <w:rPr>
          <w:rFonts w:ascii="Arial" w:hAnsi="Arial" w:cs="Arial"/>
          <w:sz w:val="22"/>
          <w:szCs w:val="22"/>
        </w:rPr>
        <w:t xml:space="preserve">, neboť předfinancování prostředků </w:t>
      </w:r>
      <w:r w:rsidR="005F3340">
        <w:rPr>
          <w:rFonts w:ascii="Arial" w:hAnsi="Arial" w:cs="Arial"/>
          <w:sz w:val="22"/>
          <w:szCs w:val="22"/>
        </w:rPr>
        <w:t>se děje</w:t>
      </w:r>
      <w:r>
        <w:rPr>
          <w:rFonts w:ascii="Arial" w:hAnsi="Arial" w:cs="Arial"/>
          <w:sz w:val="22"/>
          <w:szCs w:val="22"/>
        </w:rPr>
        <w:t xml:space="preserve"> jménem EU</w:t>
      </w:r>
      <w:r w:rsidRPr="009175EA">
        <w:rPr>
          <w:rFonts w:ascii="Arial" w:hAnsi="Arial" w:cs="Arial"/>
          <w:sz w:val="22"/>
          <w:szCs w:val="22"/>
        </w:rPr>
        <w:t xml:space="preserve">. Na prostředky </w:t>
      </w:r>
      <w:r>
        <w:rPr>
          <w:rFonts w:ascii="Arial" w:hAnsi="Arial" w:cs="Arial"/>
          <w:sz w:val="22"/>
          <w:szCs w:val="22"/>
        </w:rPr>
        <w:t xml:space="preserve">následně </w:t>
      </w:r>
      <w:r w:rsidRPr="009175EA">
        <w:rPr>
          <w:rFonts w:ascii="Arial" w:hAnsi="Arial" w:cs="Arial"/>
          <w:sz w:val="22"/>
          <w:szCs w:val="22"/>
        </w:rPr>
        <w:t>získávané prostřednictvím Národního fondu lze</w:t>
      </w:r>
      <w:r>
        <w:rPr>
          <w:rFonts w:ascii="Arial" w:hAnsi="Arial" w:cs="Arial"/>
          <w:sz w:val="22"/>
          <w:szCs w:val="22"/>
        </w:rPr>
        <w:t xml:space="preserve"> pak </w:t>
      </w:r>
      <w:r w:rsidRPr="009175EA">
        <w:rPr>
          <w:rFonts w:ascii="Arial" w:hAnsi="Arial" w:cs="Arial"/>
          <w:sz w:val="22"/>
          <w:szCs w:val="22"/>
        </w:rPr>
        <w:t>nahlížet</w:t>
      </w:r>
      <w:r>
        <w:rPr>
          <w:rFonts w:ascii="Arial" w:hAnsi="Arial" w:cs="Arial"/>
          <w:sz w:val="22"/>
          <w:szCs w:val="22"/>
        </w:rPr>
        <w:t xml:space="preserve"> </w:t>
      </w:r>
      <w:r w:rsidRPr="009175EA">
        <w:rPr>
          <w:rFonts w:ascii="Arial" w:hAnsi="Arial" w:cs="Arial"/>
          <w:sz w:val="22"/>
          <w:szCs w:val="22"/>
        </w:rPr>
        <w:t xml:space="preserve">jako na prostředky získávané od subjektu se sídlem v zahraničí, neboť Národnímu fondu </w:t>
      </w:r>
      <w:r>
        <w:rPr>
          <w:rFonts w:ascii="Arial" w:hAnsi="Arial" w:cs="Arial"/>
          <w:sz w:val="22"/>
          <w:szCs w:val="22"/>
        </w:rPr>
        <w:t>jsou</w:t>
      </w:r>
      <w:r w:rsidRPr="009175EA">
        <w:rPr>
          <w:rFonts w:ascii="Arial" w:hAnsi="Arial" w:cs="Arial"/>
          <w:sz w:val="22"/>
          <w:szCs w:val="22"/>
        </w:rPr>
        <w:t xml:space="preserve"> tyto prostředky ze strany EU pouze svěřeny</w:t>
      </w:r>
      <w:r>
        <w:rPr>
          <w:rStyle w:val="Znakapoznpodarou"/>
          <w:rFonts w:ascii="Arial" w:hAnsi="Arial" w:cs="Arial"/>
          <w:sz w:val="22"/>
          <w:szCs w:val="22"/>
        </w:rPr>
        <w:footnoteReference w:id="10"/>
      </w:r>
      <w:r>
        <w:rPr>
          <w:rFonts w:ascii="Arial" w:hAnsi="Arial" w:cs="Arial"/>
          <w:sz w:val="22"/>
          <w:szCs w:val="22"/>
        </w:rPr>
        <w:t>.</w:t>
      </w:r>
      <w:r w:rsidRPr="009175EA">
        <w:rPr>
          <w:rFonts w:ascii="Arial" w:hAnsi="Arial" w:cs="Arial"/>
          <w:sz w:val="22"/>
          <w:szCs w:val="22"/>
        </w:rPr>
        <w:t xml:space="preserve"> </w:t>
      </w:r>
    </w:p>
    <w:p w14:paraId="00D91746" w14:textId="77777777" w:rsidR="00E804E6" w:rsidRDefault="00E804E6" w:rsidP="00E00DF2">
      <w:pPr>
        <w:pStyle w:val="Textpoznpodarou"/>
        <w:jc w:val="both"/>
        <w:rPr>
          <w:rFonts w:ascii="Arial" w:hAnsi="Arial" w:cs="Arial"/>
          <w:sz w:val="22"/>
          <w:szCs w:val="22"/>
        </w:rPr>
      </w:pPr>
    </w:p>
    <w:p w14:paraId="00D91747" w14:textId="77777777" w:rsidR="00E804E6" w:rsidRDefault="00E00DF2" w:rsidP="00E00DF2">
      <w:pPr>
        <w:pStyle w:val="Odstavecseseznamem"/>
        <w:tabs>
          <w:tab w:val="left" w:pos="720"/>
        </w:tabs>
        <w:autoSpaceDE w:val="0"/>
        <w:autoSpaceDN w:val="0"/>
        <w:adjustRightInd w:val="0"/>
        <w:ind w:left="0"/>
        <w:jc w:val="both"/>
        <w:rPr>
          <w:rFonts w:ascii="Arial" w:hAnsi="Arial" w:cs="Arial"/>
          <w:sz w:val="22"/>
          <w:szCs w:val="22"/>
        </w:rPr>
      </w:pPr>
      <w:r w:rsidRPr="00317BF4">
        <w:rPr>
          <w:rFonts w:ascii="Arial" w:hAnsi="Arial" w:cs="Arial"/>
          <w:sz w:val="22"/>
          <w:szCs w:val="22"/>
        </w:rPr>
        <w:t>Z účetní regulace</w:t>
      </w:r>
      <w:r>
        <w:rPr>
          <w:rFonts w:ascii="Arial" w:hAnsi="Arial" w:cs="Arial"/>
          <w:sz w:val="22"/>
          <w:szCs w:val="22"/>
        </w:rPr>
        <w:t xml:space="preserve"> tak</w:t>
      </w:r>
      <w:r w:rsidRPr="00317BF4">
        <w:rPr>
          <w:rFonts w:ascii="Arial" w:hAnsi="Arial" w:cs="Arial"/>
          <w:sz w:val="22"/>
          <w:szCs w:val="22"/>
        </w:rPr>
        <w:t xml:space="preserve"> lze </w:t>
      </w:r>
      <w:r>
        <w:rPr>
          <w:rFonts w:ascii="Arial" w:hAnsi="Arial" w:cs="Arial"/>
          <w:sz w:val="22"/>
          <w:szCs w:val="22"/>
        </w:rPr>
        <w:t xml:space="preserve">z důvodu její nejednoznačnosti </w:t>
      </w:r>
      <w:r w:rsidR="00E804E6">
        <w:rPr>
          <w:rFonts w:ascii="Arial" w:hAnsi="Arial" w:cs="Arial"/>
          <w:sz w:val="22"/>
          <w:szCs w:val="22"/>
        </w:rPr>
        <w:t>do</w:t>
      </w:r>
      <w:r w:rsidRPr="00317BF4">
        <w:rPr>
          <w:rFonts w:ascii="Arial" w:hAnsi="Arial" w:cs="Arial"/>
          <w:sz w:val="22"/>
          <w:szCs w:val="22"/>
        </w:rPr>
        <w:t>vodit různé výklady,</w:t>
      </w:r>
      <w:r>
        <w:rPr>
          <w:rFonts w:ascii="Arial" w:hAnsi="Arial" w:cs="Arial"/>
          <w:sz w:val="22"/>
          <w:szCs w:val="22"/>
        </w:rPr>
        <w:t xml:space="preserve"> jak účtovat</w:t>
      </w:r>
      <w:r w:rsidR="00E804E6">
        <w:rPr>
          <w:rFonts w:ascii="Arial" w:hAnsi="Arial" w:cs="Arial"/>
          <w:sz w:val="22"/>
          <w:szCs w:val="22"/>
        </w:rPr>
        <w:t xml:space="preserve"> v</w:t>
      </w:r>
      <w:r w:rsidR="007D33AF">
        <w:rPr>
          <w:rFonts w:ascii="Arial" w:hAnsi="Arial" w:cs="Arial"/>
          <w:sz w:val="22"/>
          <w:szCs w:val="22"/>
        </w:rPr>
        <w:t> </w:t>
      </w:r>
      <w:r w:rsidR="00E804E6">
        <w:rPr>
          <w:rFonts w:ascii="Arial" w:hAnsi="Arial" w:cs="Arial"/>
          <w:sz w:val="22"/>
          <w:szCs w:val="22"/>
        </w:rPr>
        <w:t xml:space="preserve">těchto případech o </w:t>
      </w:r>
      <w:r>
        <w:rPr>
          <w:rFonts w:ascii="Arial" w:hAnsi="Arial" w:cs="Arial"/>
          <w:sz w:val="22"/>
          <w:szCs w:val="22"/>
        </w:rPr>
        <w:t>předfinancování peněžních prostřed</w:t>
      </w:r>
      <w:r w:rsidR="001C4EE6">
        <w:rPr>
          <w:rFonts w:ascii="Arial" w:hAnsi="Arial" w:cs="Arial"/>
          <w:sz w:val="22"/>
          <w:szCs w:val="22"/>
        </w:rPr>
        <w:t>ků</w:t>
      </w:r>
      <w:r>
        <w:rPr>
          <w:rFonts w:ascii="Arial" w:hAnsi="Arial" w:cs="Arial"/>
          <w:sz w:val="22"/>
          <w:szCs w:val="22"/>
        </w:rPr>
        <w:t xml:space="preserve"> ze státn</w:t>
      </w:r>
      <w:r w:rsidR="00E804E6">
        <w:rPr>
          <w:rFonts w:ascii="Arial" w:hAnsi="Arial" w:cs="Arial"/>
          <w:sz w:val="22"/>
          <w:szCs w:val="22"/>
        </w:rPr>
        <w:t>ího rozpočtu a o jejich refundaci.</w:t>
      </w:r>
    </w:p>
    <w:p w14:paraId="00D91748" w14:textId="77777777" w:rsidR="00E00DF2" w:rsidRDefault="00E00DF2" w:rsidP="00E00DF2">
      <w:pPr>
        <w:pStyle w:val="Odstavecseseznamem"/>
        <w:tabs>
          <w:tab w:val="left" w:pos="720"/>
        </w:tabs>
        <w:autoSpaceDE w:val="0"/>
        <w:autoSpaceDN w:val="0"/>
        <w:adjustRightInd w:val="0"/>
        <w:ind w:left="0"/>
        <w:jc w:val="both"/>
        <w:rPr>
          <w:rFonts w:ascii="Arial" w:hAnsi="Arial" w:cs="Arial"/>
          <w:sz w:val="22"/>
          <w:szCs w:val="22"/>
        </w:rPr>
      </w:pPr>
    </w:p>
    <w:p w14:paraId="00D91749" w14:textId="77777777" w:rsidR="00E00DF2" w:rsidRPr="00634F6B" w:rsidRDefault="00E00DF2" w:rsidP="00E00DF2">
      <w:pPr>
        <w:jc w:val="both"/>
        <w:rPr>
          <w:rFonts w:ascii="Arial" w:hAnsi="Arial" w:cs="Arial"/>
          <w:sz w:val="22"/>
          <w:szCs w:val="22"/>
          <w:lang w:eastAsia="hi-IN" w:bidi="hi-IN"/>
        </w:rPr>
      </w:pPr>
      <w:r w:rsidRPr="00634F6B">
        <w:rPr>
          <w:rFonts w:ascii="Arial" w:hAnsi="Arial" w:cs="Arial"/>
          <w:sz w:val="22"/>
          <w:szCs w:val="22"/>
          <w:lang w:eastAsia="hi-IN" w:bidi="hi-IN"/>
        </w:rPr>
        <w:t>Z uvedených důvodů NKÚ nevyhodnocuje správnost</w:t>
      </w:r>
      <w:r>
        <w:rPr>
          <w:rFonts w:ascii="Arial" w:hAnsi="Arial" w:cs="Arial"/>
          <w:sz w:val="22"/>
          <w:szCs w:val="22"/>
          <w:lang w:eastAsia="hi-IN" w:bidi="hi-IN"/>
        </w:rPr>
        <w:t xml:space="preserve"> </w:t>
      </w:r>
      <w:r w:rsidRPr="00634F6B">
        <w:rPr>
          <w:rFonts w:ascii="Arial" w:hAnsi="Arial" w:cs="Arial"/>
          <w:sz w:val="22"/>
          <w:szCs w:val="22"/>
          <w:lang w:eastAsia="hi-IN" w:bidi="hi-IN"/>
        </w:rPr>
        <w:t xml:space="preserve">údajů </w:t>
      </w:r>
      <w:r w:rsidR="001C4EE6" w:rsidRPr="00634F6B">
        <w:rPr>
          <w:rFonts w:ascii="Arial" w:hAnsi="Arial" w:cs="Arial"/>
          <w:sz w:val="22"/>
          <w:szCs w:val="22"/>
          <w:lang w:eastAsia="hi-IN" w:bidi="hi-IN"/>
        </w:rPr>
        <w:t>týkajících</w:t>
      </w:r>
      <w:r w:rsidR="001C4EE6">
        <w:rPr>
          <w:rFonts w:ascii="Arial" w:hAnsi="Arial" w:cs="Arial"/>
          <w:sz w:val="22"/>
          <w:szCs w:val="22"/>
          <w:lang w:eastAsia="hi-IN" w:bidi="hi-IN"/>
        </w:rPr>
        <w:t xml:space="preserve"> se</w:t>
      </w:r>
      <w:r w:rsidR="001C4EE6" w:rsidRPr="00634F6B">
        <w:rPr>
          <w:rFonts w:ascii="Arial" w:hAnsi="Arial" w:cs="Arial"/>
          <w:sz w:val="22"/>
          <w:szCs w:val="22"/>
          <w:lang w:eastAsia="hi-IN" w:bidi="hi-IN"/>
        </w:rPr>
        <w:t xml:space="preserve"> podílu EU u dotací</w:t>
      </w:r>
      <w:r w:rsidR="001C4EE6" w:rsidRPr="00A77F94">
        <w:rPr>
          <w:rFonts w:ascii="Arial" w:hAnsi="Arial" w:cs="Arial"/>
          <w:bCs/>
          <w:iCs/>
          <w:sz w:val="22"/>
          <w:szCs w:val="22"/>
        </w:rPr>
        <w:t xml:space="preserve"> </w:t>
      </w:r>
      <w:r w:rsidR="001C4EE6">
        <w:rPr>
          <w:rFonts w:ascii="Arial" w:hAnsi="Arial" w:cs="Arial"/>
          <w:bCs/>
          <w:iCs/>
          <w:sz w:val="22"/>
          <w:szCs w:val="22"/>
        </w:rPr>
        <w:t>v</w:t>
      </w:r>
      <w:r w:rsidR="00E03926">
        <w:rPr>
          <w:rFonts w:ascii="Arial" w:hAnsi="Arial" w:cs="Arial"/>
          <w:bCs/>
          <w:iCs/>
          <w:sz w:val="22"/>
          <w:szCs w:val="22"/>
        </w:rPr>
        <w:t> </w:t>
      </w:r>
      <w:r w:rsidR="001C4EE6">
        <w:rPr>
          <w:rFonts w:ascii="Arial" w:hAnsi="Arial" w:cs="Arial"/>
          <w:bCs/>
          <w:iCs/>
          <w:sz w:val="22"/>
          <w:szCs w:val="22"/>
        </w:rPr>
        <w:t>rámci</w:t>
      </w:r>
      <w:r w:rsidR="001C4EE6" w:rsidRPr="004808DF">
        <w:rPr>
          <w:rFonts w:ascii="Arial" w:hAnsi="Arial" w:cs="Arial"/>
          <w:bCs/>
          <w:iCs/>
          <w:sz w:val="22"/>
          <w:szCs w:val="22"/>
        </w:rPr>
        <w:t xml:space="preserve"> </w:t>
      </w:r>
      <w:r w:rsidR="005F3340">
        <w:rPr>
          <w:rFonts w:ascii="Arial" w:hAnsi="Arial" w:cs="Arial"/>
          <w:sz w:val="22"/>
          <w:szCs w:val="22"/>
        </w:rPr>
        <w:t>o</w:t>
      </w:r>
      <w:r w:rsidR="001C4EE6">
        <w:rPr>
          <w:rFonts w:ascii="Arial" w:hAnsi="Arial" w:cs="Arial"/>
          <w:sz w:val="22"/>
          <w:szCs w:val="22"/>
        </w:rPr>
        <w:t xml:space="preserve">peračního programu </w:t>
      </w:r>
      <w:r w:rsidR="001C4EE6" w:rsidRPr="00260B0C">
        <w:rPr>
          <w:rFonts w:ascii="Arial" w:hAnsi="Arial" w:cs="Arial"/>
          <w:i/>
          <w:sz w:val="22"/>
          <w:szCs w:val="22"/>
        </w:rPr>
        <w:t>Podnikání a</w:t>
      </w:r>
      <w:r w:rsidR="005F3340">
        <w:rPr>
          <w:rFonts w:ascii="Arial" w:hAnsi="Arial" w:cs="Arial"/>
          <w:i/>
          <w:sz w:val="22"/>
          <w:szCs w:val="22"/>
        </w:rPr>
        <w:t xml:space="preserve"> </w:t>
      </w:r>
      <w:r w:rsidR="001C4EE6" w:rsidRPr="00260B0C">
        <w:rPr>
          <w:rFonts w:ascii="Arial" w:hAnsi="Arial" w:cs="Arial"/>
          <w:i/>
          <w:sz w:val="22"/>
          <w:szCs w:val="22"/>
        </w:rPr>
        <w:t>inovace</w:t>
      </w:r>
      <w:r w:rsidR="001C4EE6">
        <w:rPr>
          <w:rFonts w:ascii="Arial" w:hAnsi="Arial" w:cs="Arial"/>
          <w:sz w:val="22"/>
          <w:szCs w:val="22"/>
          <w:lang w:eastAsia="hi-IN" w:bidi="hi-IN"/>
        </w:rPr>
        <w:t xml:space="preserve"> </w:t>
      </w:r>
      <w:r w:rsidRPr="00634F6B">
        <w:rPr>
          <w:rFonts w:ascii="Arial" w:hAnsi="Arial" w:cs="Arial"/>
          <w:sz w:val="22"/>
          <w:szCs w:val="22"/>
          <w:lang w:eastAsia="hi-IN" w:bidi="hi-IN"/>
        </w:rPr>
        <w:t xml:space="preserve">přenesených do PAP </w:t>
      </w:r>
      <w:r>
        <w:rPr>
          <w:rFonts w:ascii="Arial" w:hAnsi="Arial" w:cs="Arial"/>
          <w:sz w:val="22"/>
          <w:szCs w:val="22"/>
          <w:lang w:eastAsia="hi-IN" w:bidi="hi-IN"/>
        </w:rPr>
        <w:t>z účetnictví v</w:t>
      </w:r>
      <w:r w:rsidR="00E03926">
        <w:rPr>
          <w:rFonts w:ascii="Arial" w:hAnsi="Arial" w:cs="Arial"/>
          <w:sz w:val="22"/>
          <w:szCs w:val="22"/>
          <w:lang w:eastAsia="hi-IN" w:bidi="hi-IN"/>
        </w:rPr>
        <w:t> </w:t>
      </w:r>
      <w:r>
        <w:rPr>
          <w:rFonts w:ascii="Arial" w:hAnsi="Arial" w:cs="Arial"/>
          <w:sz w:val="22"/>
          <w:szCs w:val="22"/>
          <w:lang w:eastAsia="hi-IN" w:bidi="hi-IN"/>
        </w:rPr>
        <w:t>rozsahu</w:t>
      </w:r>
      <w:r w:rsidRPr="00634F6B">
        <w:rPr>
          <w:rFonts w:ascii="Arial" w:hAnsi="Arial" w:cs="Arial"/>
          <w:sz w:val="22"/>
          <w:szCs w:val="22"/>
          <w:lang w:eastAsia="hi-IN" w:bidi="hi-IN"/>
        </w:rPr>
        <w:t>:</w:t>
      </w:r>
    </w:p>
    <w:p w14:paraId="00D9174A" w14:textId="77777777" w:rsidR="00E00DF2" w:rsidRPr="007D33AF" w:rsidRDefault="00E00DF2" w:rsidP="00260B0C">
      <w:pPr>
        <w:pStyle w:val="Odstavecseseznamem"/>
        <w:numPr>
          <w:ilvl w:val="0"/>
          <w:numId w:val="42"/>
        </w:numPr>
        <w:ind w:left="284" w:hanging="284"/>
        <w:rPr>
          <w:rFonts w:ascii="Arial" w:hAnsi="Arial" w:cs="Arial"/>
          <w:b/>
          <w:sz w:val="22"/>
          <w:szCs w:val="22"/>
        </w:rPr>
      </w:pPr>
      <w:r w:rsidRPr="007D33AF">
        <w:rPr>
          <w:rFonts w:ascii="Arial" w:hAnsi="Arial" w:cs="Arial"/>
          <w:bCs/>
          <w:sz w:val="22"/>
          <w:szCs w:val="22"/>
        </w:rPr>
        <w:t xml:space="preserve">nákladů z hlavní činnosti ve výši </w:t>
      </w:r>
      <w:r w:rsidRPr="007D33AF">
        <w:rPr>
          <w:rFonts w:ascii="Arial" w:hAnsi="Arial" w:cs="Arial"/>
          <w:sz w:val="22"/>
          <w:szCs w:val="22"/>
          <w:lang w:eastAsia="hi-IN" w:bidi="hi-IN"/>
        </w:rPr>
        <w:t>12 408 815 685,25 Kč</w:t>
      </w:r>
      <w:r w:rsidRPr="007D33AF">
        <w:rPr>
          <w:rFonts w:ascii="Arial" w:hAnsi="Arial" w:cs="Arial"/>
          <w:sz w:val="22"/>
          <w:szCs w:val="22"/>
        </w:rPr>
        <w:t xml:space="preserve"> zaúčtovaných na účtu </w:t>
      </w:r>
      <w:r w:rsidR="005F3340">
        <w:rPr>
          <w:rFonts w:ascii="Arial" w:hAnsi="Arial" w:cs="Arial"/>
          <w:sz w:val="22"/>
          <w:szCs w:val="22"/>
        </w:rPr>
        <w:br/>
      </w:r>
      <w:r w:rsidRPr="007D33AF">
        <w:rPr>
          <w:rFonts w:ascii="Arial" w:hAnsi="Arial" w:cs="Arial"/>
          <w:sz w:val="22"/>
          <w:szCs w:val="22"/>
        </w:rPr>
        <w:t>571</w:t>
      </w:r>
      <w:r w:rsidRPr="007D33AF">
        <w:rPr>
          <w:rFonts w:ascii="Arial" w:hAnsi="Arial" w:cs="Arial"/>
          <w:bCs/>
          <w:sz w:val="22"/>
          <w:szCs w:val="22"/>
        </w:rPr>
        <w:t xml:space="preserve"> – </w:t>
      </w:r>
      <w:r w:rsidRPr="007D33AF">
        <w:rPr>
          <w:rFonts w:ascii="Arial" w:hAnsi="Arial" w:cs="Arial"/>
          <w:bCs/>
          <w:i/>
          <w:sz w:val="22"/>
          <w:szCs w:val="22"/>
        </w:rPr>
        <w:t>Náklady vybraných ústředních vládních institucí na transfery</w:t>
      </w:r>
      <w:r w:rsidRPr="007D33AF">
        <w:rPr>
          <w:rFonts w:ascii="Arial" w:hAnsi="Arial" w:cs="Arial"/>
          <w:sz w:val="22"/>
          <w:szCs w:val="22"/>
        </w:rPr>
        <w:t>,</w:t>
      </w:r>
    </w:p>
    <w:p w14:paraId="00D9174B" w14:textId="77777777" w:rsidR="00E00DF2" w:rsidRPr="00E03926" w:rsidRDefault="00E00DF2" w:rsidP="00260B0C">
      <w:pPr>
        <w:pStyle w:val="Odstavecseseznamem"/>
        <w:numPr>
          <w:ilvl w:val="0"/>
          <w:numId w:val="42"/>
        </w:numPr>
        <w:ind w:left="284" w:hanging="284"/>
        <w:rPr>
          <w:rFonts w:ascii="Arial" w:hAnsi="Arial" w:cs="Arial"/>
          <w:sz w:val="22"/>
          <w:szCs w:val="22"/>
          <w:lang w:eastAsia="hi-IN" w:bidi="hi-IN"/>
        </w:rPr>
      </w:pPr>
      <w:r w:rsidRPr="007D33AF">
        <w:rPr>
          <w:rFonts w:ascii="Arial" w:hAnsi="Arial" w:cs="Arial"/>
          <w:bCs/>
          <w:sz w:val="22"/>
          <w:szCs w:val="22"/>
        </w:rPr>
        <w:t xml:space="preserve">výnosů z hlavní činnosti ve výši </w:t>
      </w:r>
      <w:r w:rsidRPr="007D33AF">
        <w:rPr>
          <w:rFonts w:ascii="Arial" w:hAnsi="Arial" w:cs="Arial"/>
          <w:sz w:val="22"/>
          <w:szCs w:val="22"/>
          <w:lang w:eastAsia="hi-IN" w:bidi="hi-IN"/>
        </w:rPr>
        <w:t>12 554 660 542 Kč</w:t>
      </w:r>
      <w:r w:rsidRPr="007D33AF">
        <w:rPr>
          <w:rFonts w:ascii="Arial" w:hAnsi="Arial" w:cs="Arial"/>
          <w:bCs/>
          <w:sz w:val="22"/>
          <w:szCs w:val="22"/>
        </w:rPr>
        <w:t xml:space="preserve"> zaúčtovaných na účtu</w:t>
      </w:r>
      <w:r w:rsidRPr="007D33AF">
        <w:rPr>
          <w:rFonts w:ascii="Arial" w:hAnsi="Arial" w:cs="Arial"/>
          <w:sz w:val="22"/>
          <w:szCs w:val="22"/>
        </w:rPr>
        <w:t xml:space="preserve"> 671</w:t>
      </w:r>
      <w:r w:rsidRPr="007D33AF">
        <w:rPr>
          <w:rFonts w:ascii="Arial" w:hAnsi="Arial" w:cs="Arial"/>
          <w:bCs/>
          <w:sz w:val="22"/>
          <w:szCs w:val="22"/>
        </w:rPr>
        <w:t xml:space="preserve"> – </w:t>
      </w:r>
      <w:r w:rsidRPr="007D33AF">
        <w:rPr>
          <w:rFonts w:ascii="Arial" w:hAnsi="Arial" w:cs="Arial"/>
          <w:bCs/>
          <w:i/>
          <w:sz w:val="22"/>
          <w:szCs w:val="22"/>
        </w:rPr>
        <w:t>Výnosy vybraných ústředních vládních institucí z transferů</w:t>
      </w:r>
      <w:r w:rsidRPr="00260B0C">
        <w:rPr>
          <w:rFonts w:ascii="Arial" w:hAnsi="Arial" w:cs="Arial"/>
          <w:bCs/>
          <w:sz w:val="22"/>
          <w:szCs w:val="22"/>
        </w:rPr>
        <w:t>.</w:t>
      </w:r>
    </w:p>
    <w:p w14:paraId="00D9174C" w14:textId="77777777" w:rsidR="00E03926" w:rsidRPr="00E03926" w:rsidRDefault="00E03926" w:rsidP="00E03926">
      <w:pPr>
        <w:jc w:val="both"/>
        <w:rPr>
          <w:rFonts w:ascii="Arial" w:hAnsi="Arial" w:cs="Arial"/>
          <w:sz w:val="22"/>
          <w:szCs w:val="22"/>
          <w:lang w:eastAsia="hi-IN" w:bidi="hi-IN"/>
        </w:rPr>
      </w:pPr>
    </w:p>
    <w:p w14:paraId="00D9174D" w14:textId="77777777" w:rsidR="00E00DF2" w:rsidRDefault="00E00DF2" w:rsidP="00E00DF2">
      <w:pPr>
        <w:jc w:val="both"/>
        <w:rPr>
          <w:rFonts w:ascii="Arial" w:hAnsi="Arial" w:cs="Arial"/>
          <w:sz w:val="22"/>
          <w:szCs w:val="22"/>
        </w:rPr>
      </w:pPr>
      <w:r>
        <w:rPr>
          <w:rFonts w:ascii="Arial" w:hAnsi="Arial" w:cs="Arial"/>
          <w:sz w:val="22"/>
          <w:szCs w:val="22"/>
        </w:rPr>
        <w:t xml:space="preserve">Tyto údaje </w:t>
      </w:r>
      <w:r w:rsidR="005F3340">
        <w:rPr>
          <w:rFonts w:ascii="Arial" w:hAnsi="Arial" w:cs="Arial"/>
          <w:sz w:val="22"/>
          <w:szCs w:val="22"/>
        </w:rPr>
        <w:t>(</w:t>
      </w:r>
      <w:r>
        <w:rPr>
          <w:rFonts w:ascii="Arial" w:hAnsi="Arial" w:cs="Arial"/>
          <w:sz w:val="22"/>
          <w:szCs w:val="22"/>
        </w:rPr>
        <w:t>přenesené do PAP z účetnictví MPO</w:t>
      </w:r>
      <w:r w:rsidR="005F3340">
        <w:rPr>
          <w:rFonts w:ascii="Arial" w:hAnsi="Arial" w:cs="Arial"/>
          <w:sz w:val="22"/>
          <w:szCs w:val="22"/>
        </w:rPr>
        <w:t>)</w:t>
      </w:r>
      <w:r>
        <w:rPr>
          <w:rFonts w:ascii="Arial" w:hAnsi="Arial" w:cs="Arial"/>
          <w:sz w:val="22"/>
          <w:szCs w:val="22"/>
        </w:rPr>
        <w:t xml:space="preserve"> byly v PAP dále členěny analyticky a také podle partnerů transakce a tak uvedeny i v dalších částech PAP. Z důvodu tohoto dalšího povinného členění a </w:t>
      </w:r>
      <w:r w:rsidR="009F047D">
        <w:rPr>
          <w:rFonts w:ascii="Arial" w:hAnsi="Arial" w:cs="Arial"/>
          <w:sz w:val="22"/>
          <w:szCs w:val="22"/>
        </w:rPr>
        <w:t>v </w:t>
      </w:r>
      <w:r>
        <w:rPr>
          <w:rFonts w:ascii="Arial" w:hAnsi="Arial" w:cs="Arial"/>
          <w:sz w:val="22"/>
          <w:szCs w:val="22"/>
        </w:rPr>
        <w:t xml:space="preserve">důsledku řetězení údajů jsou v PAP </w:t>
      </w:r>
      <w:r w:rsidRPr="00831540">
        <w:rPr>
          <w:rFonts w:ascii="Arial" w:hAnsi="Arial" w:cs="Arial"/>
          <w:sz w:val="22"/>
          <w:szCs w:val="22"/>
        </w:rPr>
        <w:t xml:space="preserve">MPO k 31. </w:t>
      </w:r>
      <w:r>
        <w:rPr>
          <w:rFonts w:ascii="Arial" w:hAnsi="Arial" w:cs="Arial"/>
          <w:sz w:val="22"/>
          <w:szCs w:val="22"/>
        </w:rPr>
        <w:t>prosinci</w:t>
      </w:r>
      <w:r w:rsidRPr="00831540">
        <w:rPr>
          <w:rFonts w:ascii="Arial" w:hAnsi="Arial" w:cs="Arial"/>
          <w:sz w:val="22"/>
          <w:szCs w:val="22"/>
        </w:rPr>
        <w:t xml:space="preserve"> 2012 </w:t>
      </w:r>
      <w:r>
        <w:rPr>
          <w:rFonts w:ascii="Arial" w:hAnsi="Arial" w:cs="Arial"/>
          <w:sz w:val="22"/>
          <w:szCs w:val="22"/>
        </w:rPr>
        <w:t xml:space="preserve">výsledně zatíženy nejednoznačností údaje </w:t>
      </w:r>
      <w:r w:rsidR="009F047D">
        <w:rPr>
          <w:rFonts w:ascii="Arial" w:hAnsi="Arial" w:cs="Arial"/>
          <w:sz w:val="22"/>
          <w:szCs w:val="22"/>
        </w:rPr>
        <w:t>v </w:t>
      </w:r>
      <w:r>
        <w:rPr>
          <w:rFonts w:ascii="Arial" w:hAnsi="Arial" w:cs="Arial"/>
          <w:sz w:val="22"/>
          <w:szCs w:val="22"/>
        </w:rPr>
        <w:t xml:space="preserve">celkovém </w:t>
      </w:r>
      <w:r w:rsidRPr="00831540">
        <w:rPr>
          <w:rFonts w:ascii="Arial" w:hAnsi="Arial" w:cs="Arial"/>
          <w:sz w:val="22"/>
          <w:szCs w:val="22"/>
        </w:rPr>
        <w:t>objemu 74 890 428 681,75</w:t>
      </w:r>
      <w:r w:rsidR="004222D1">
        <w:rPr>
          <w:rFonts w:ascii="Arial" w:hAnsi="Arial" w:cs="Arial"/>
          <w:sz w:val="22"/>
          <w:szCs w:val="22"/>
        </w:rPr>
        <w:t> </w:t>
      </w:r>
      <w:r w:rsidRPr="00831540">
        <w:rPr>
          <w:rFonts w:ascii="Arial" w:hAnsi="Arial" w:cs="Arial"/>
          <w:sz w:val="22"/>
          <w:szCs w:val="22"/>
        </w:rPr>
        <w:t>Kč</w:t>
      </w:r>
      <w:r>
        <w:rPr>
          <w:rFonts w:ascii="Arial" w:hAnsi="Arial" w:cs="Arial"/>
          <w:sz w:val="22"/>
          <w:szCs w:val="22"/>
        </w:rPr>
        <w:t xml:space="preserve"> </w:t>
      </w:r>
      <w:r>
        <w:rPr>
          <w:rFonts w:ascii="Arial" w:hAnsi="Arial" w:cs="Arial"/>
          <w:sz w:val="22"/>
          <w:szCs w:val="22"/>
          <w:lang w:eastAsia="hi-IN" w:bidi="hi-IN"/>
        </w:rPr>
        <w:t>uvedené v částech II, III a XI PAP (viz tabulka č. 3)</w:t>
      </w:r>
      <w:r>
        <w:rPr>
          <w:rFonts w:ascii="Arial" w:hAnsi="Arial" w:cs="Arial"/>
          <w:sz w:val="22"/>
          <w:szCs w:val="22"/>
        </w:rPr>
        <w:t>.</w:t>
      </w:r>
    </w:p>
    <w:p w14:paraId="00D9174E" w14:textId="77777777" w:rsidR="00E00DF2" w:rsidRPr="002A7A11" w:rsidRDefault="00E00DF2" w:rsidP="00260B0C">
      <w:pPr>
        <w:tabs>
          <w:tab w:val="right" w:pos="9072"/>
        </w:tabs>
        <w:spacing w:after="40"/>
        <w:ind w:left="1531" w:hanging="1531"/>
        <w:rPr>
          <w:rFonts w:ascii="Arial" w:hAnsi="Arial" w:cs="Arial"/>
          <w:b/>
          <w:sz w:val="22"/>
          <w:szCs w:val="22"/>
        </w:rPr>
      </w:pPr>
      <w:r w:rsidRPr="00B73BBD">
        <w:rPr>
          <w:rFonts w:ascii="Arial" w:hAnsi="Arial" w:cs="Arial"/>
          <w:b/>
          <w:sz w:val="22"/>
          <w:szCs w:val="22"/>
        </w:rPr>
        <w:lastRenderedPageBreak/>
        <w:t>Tabulka č. 3</w:t>
      </w:r>
      <w:r w:rsidRPr="002A7A11">
        <w:rPr>
          <w:rFonts w:ascii="Arial" w:hAnsi="Arial" w:cs="Arial"/>
          <w:b/>
          <w:sz w:val="22"/>
          <w:szCs w:val="22"/>
        </w:rPr>
        <w:t xml:space="preserve"> –</w:t>
      </w:r>
      <w:r w:rsidR="00500153">
        <w:rPr>
          <w:rFonts w:ascii="Arial" w:hAnsi="Arial" w:cs="Arial"/>
          <w:b/>
          <w:sz w:val="22"/>
          <w:szCs w:val="22"/>
        </w:rPr>
        <w:t xml:space="preserve"> </w:t>
      </w:r>
      <w:r>
        <w:rPr>
          <w:rFonts w:ascii="Arial" w:hAnsi="Arial" w:cs="Arial"/>
          <w:b/>
          <w:sz w:val="22"/>
          <w:szCs w:val="22"/>
        </w:rPr>
        <w:t>Ú</w:t>
      </w:r>
      <w:r w:rsidRPr="002A7A11">
        <w:rPr>
          <w:rFonts w:ascii="Arial" w:hAnsi="Arial" w:cs="Arial"/>
          <w:b/>
          <w:sz w:val="22"/>
          <w:szCs w:val="22"/>
        </w:rPr>
        <w:t xml:space="preserve">daje PAP MPO k 31. </w:t>
      </w:r>
      <w:r>
        <w:rPr>
          <w:rFonts w:ascii="Arial" w:hAnsi="Arial" w:cs="Arial"/>
          <w:b/>
          <w:sz w:val="22"/>
          <w:szCs w:val="22"/>
        </w:rPr>
        <w:t>prosinci</w:t>
      </w:r>
      <w:r w:rsidRPr="002A7A11">
        <w:rPr>
          <w:rFonts w:ascii="Arial" w:hAnsi="Arial" w:cs="Arial"/>
          <w:b/>
          <w:sz w:val="22"/>
          <w:szCs w:val="22"/>
        </w:rPr>
        <w:t xml:space="preserve"> 2012</w:t>
      </w:r>
      <w:r w:rsidR="005F3340">
        <w:rPr>
          <w:rFonts w:ascii="Arial" w:hAnsi="Arial" w:cs="Arial"/>
          <w:b/>
          <w:sz w:val="22"/>
          <w:szCs w:val="22"/>
        </w:rPr>
        <w:t>, které se</w:t>
      </w:r>
      <w:r w:rsidR="008C6B38">
        <w:rPr>
          <w:rFonts w:ascii="Arial" w:hAnsi="Arial" w:cs="Arial"/>
          <w:b/>
          <w:sz w:val="22"/>
          <w:szCs w:val="22"/>
        </w:rPr>
        <w:t xml:space="preserve"> t</w:t>
      </w:r>
      <w:r w:rsidRPr="002A7A11">
        <w:rPr>
          <w:rFonts w:ascii="Arial" w:hAnsi="Arial" w:cs="Arial"/>
          <w:b/>
          <w:sz w:val="22"/>
          <w:szCs w:val="22"/>
        </w:rPr>
        <w:t xml:space="preserve">ýkají transferů spolufinancovaných </w:t>
      </w:r>
      <w:r>
        <w:rPr>
          <w:rFonts w:ascii="Arial" w:hAnsi="Arial" w:cs="Arial"/>
          <w:b/>
          <w:sz w:val="22"/>
          <w:szCs w:val="22"/>
        </w:rPr>
        <w:t>EU</w:t>
      </w:r>
      <w:r w:rsidR="007A24C1">
        <w:rPr>
          <w:rFonts w:ascii="Arial" w:hAnsi="Arial" w:cs="Arial"/>
          <w:b/>
          <w:sz w:val="22"/>
          <w:szCs w:val="22"/>
        </w:rPr>
        <w:t xml:space="preserve"> </w:t>
      </w:r>
      <w:r w:rsidR="005F3340">
        <w:rPr>
          <w:rFonts w:ascii="Arial" w:hAnsi="Arial" w:cs="Arial"/>
          <w:b/>
          <w:sz w:val="22"/>
          <w:szCs w:val="22"/>
        </w:rPr>
        <w:t xml:space="preserve">a nebyly </w:t>
      </w:r>
      <w:r w:rsidR="007A24C1">
        <w:rPr>
          <w:rFonts w:ascii="Arial" w:hAnsi="Arial" w:cs="Arial"/>
          <w:b/>
          <w:sz w:val="22"/>
          <w:szCs w:val="22"/>
        </w:rPr>
        <w:t>vyhodnocen</w:t>
      </w:r>
      <w:r w:rsidR="005F3340">
        <w:rPr>
          <w:rFonts w:ascii="Arial" w:hAnsi="Arial" w:cs="Arial"/>
          <w:b/>
          <w:sz w:val="22"/>
          <w:szCs w:val="22"/>
        </w:rPr>
        <w:t>y</w:t>
      </w:r>
      <w:r w:rsidR="007A24C1">
        <w:rPr>
          <w:rFonts w:ascii="Arial" w:hAnsi="Arial" w:cs="Arial"/>
          <w:b/>
          <w:sz w:val="22"/>
          <w:szCs w:val="22"/>
        </w:rPr>
        <w:t xml:space="preserve"> z hlediska souladu</w:t>
      </w:r>
      <w:r w:rsidRPr="002A7A11">
        <w:rPr>
          <w:rFonts w:ascii="Arial" w:hAnsi="Arial" w:cs="Arial"/>
          <w:b/>
          <w:sz w:val="22"/>
          <w:szCs w:val="22"/>
        </w:rPr>
        <w:t xml:space="preserve"> s</w:t>
      </w:r>
      <w:r w:rsidR="008C6B38">
        <w:rPr>
          <w:rFonts w:ascii="Arial" w:hAnsi="Arial" w:cs="Arial"/>
          <w:b/>
          <w:sz w:val="22"/>
          <w:szCs w:val="22"/>
        </w:rPr>
        <w:t xml:space="preserve"> účetní regulací </w:t>
      </w:r>
      <w:r w:rsidR="0098655E">
        <w:rPr>
          <w:rFonts w:ascii="Arial" w:hAnsi="Arial" w:cs="Arial"/>
          <w:b/>
          <w:sz w:val="22"/>
          <w:szCs w:val="22"/>
        </w:rPr>
        <w:tab/>
      </w:r>
      <w:r>
        <w:rPr>
          <w:rFonts w:ascii="Arial" w:hAnsi="Arial" w:cs="Arial"/>
          <w:b/>
          <w:sz w:val="22"/>
          <w:szCs w:val="22"/>
        </w:rPr>
        <w:t>(v Kč)</w:t>
      </w:r>
    </w:p>
    <w:tbl>
      <w:tblPr>
        <w:tblW w:w="0" w:type="auto"/>
        <w:tblInd w:w="40" w:type="dxa"/>
        <w:tblCellMar>
          <w:left w:w="70" w:type="dxa"/>
          <w:right w:w="70" w:type="dxa"/>
        </w:tblCellMar>
        <w:tblLook w:val="0000" w:firstRow="0" w:lastRow="0" w:firstColumn="0" w:lastColumn="0" w:noHBand="0" w:noVBand="0"/>
      </w:tblPr>
      <w:tblGrid>
        <w:gridCol w:w="1787"/>
        <w:gridCol w:w="1787"/>
        <w:gridCol w:w="1772"/>
        <w:gridCol w:w="1772"/>
        <w:gridCol w:w="1984"/>
      </w:tblGrid>
      <w:tr w:rsidR="00E00DF2" w:rsidRPr="006C2616" w14:paraId="00D91753" w14:textId="77777777" w:rsidTr="00260B0C">
        <w:trPr>
          <w:trHeight w:val="276"/>
        </w:trPr>
        <w:tc>
          <w:tcPr>
            <w:tcW w:w="1787"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4F"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r w:rsidRPr="006C2616">
              <w:rPr>
                <w:rFonts w:ascii="Arial" w:eastAsiaTheme="minorHAnsi" w:hAnsi="Arial" w:cs="Arial"/>
                <w:b/>
                <w:bCs/>
                <w:color w:val="000000"/>
                <w:sz w:val="18"/>
                <w:szCs w:val="18"/>
              </w:rPr>
              <w:t>Část PAP II</w:t>
            </w:r>
          </w:p>
        </w:tc>
        <w:tc>
          <w:tcPr>
            <w:tcW w:w="1787"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50"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r w:rsidRPr="006C2616">
              <w:rPr>
                <w:rFonts w:ascii="Arial" w:eastAsiaTheme="minorHAnsi" w:hAnsi="Arial" w:cs="Arial"/>
                <w:b/>
                <w:bCs/>
                <w:color w:val="000000"/>
                <w:sz w:val="18"/>
                <w:szCs w:val="18"/>
              </w:rPr>
              <w:t>Část PAP III</w:t>
            </w:r>
          </w:p>
        </w:tc>
        <w:tc>
          <w:tcPr>
            <w:tcW w:w="3544" w:type="dxa"/>
            <w:gridSpan w:val="2"/>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51"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r w:rsidRPr="006C2616">
              <w:rPr>
                <w:rFonts w:ascii="Arial" w:eastAsiaTheme="minorHAnsi" w:hAnsi="Arial" w:cs="Arial"/>
                <w:b/>
                <w:bCs/>
                <w:color w:val="000000"/>
                <w:sz w:val="18"/>
                <w:szCs w:val="18"/>
              </w:rPr>
              <w:t>Část PAP XI</w:t>
            </w:r>
          </w:p>
        </w:tc>
        <w:tc>
          <w:tcPr>
            <w:tcW w:w="1984" w:type="dxa"/>
            <w:vMerge w:val="restart"/>
            <w:tcBorders>
              <w:top w:val="single" w:sz="12" w:space="0" w:color="auto"/>
              <w:left w:val="nil"/>
              <w:bottom w:val="single" w:sz="12" w:space="0" w:color="auto"/>
              <w:right w:val="single" w:sz="12" w:space="0" w:color="auto"/>
            </w:tcBorders>
            <w:shd w:val="clear" w:color="auto" w:fill="C6D9F1" w:themeFill="text2" w:themeFillTint="33"/>
            <w:vAlign w:val="center"/>
          </w:tcPr>
          <w:p w14:paraId="00D91752"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r w:rsidRPr="006C2616">
              <w:rPr>
                <w:rFonts w:ascii="Arial" w:eastAsiaTheme="minorHAnsi" w:hAnsi="Arial" w:cs="Arial"/>
                <w:b/>
                <w:bCs/>
                <w:color w:val="000000"/>
                <w:sz w:val="18"/>
                <w:szCs w:val="18"/>
              </w:rPr>
              <w:t>Celkový součet</w:t>
            </w:r>
          </w:p>
        </w:tc>
      </w:tr>
      <w:tr w:rsidR="00E00DF2" w:rsidRPr="006C2616" w14:paraId="00D9175D" w14:textId="77777777" w:rsidTr="00260B0C">
        <w:trPr>
          <w:trHeight w:val="280"/>
        </w:trPr>
        <w:tc>
          <w:tcPr>
            <w:tcW w:w="1787"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54" w14:textId="77777777" w:rsidR="00E00DF2" w:rsidRDefault="005F3340"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 xml:space="preserve">čet </w:t>
            </w:r>
            <w:r w:rsidR="00E00DF2" w:rsidRPr="006C2616">
              <w:rPr>
                <w:rFonts w:ascii="Arial" w:eastAsiaTheme="minorHAnsi" w:hAnsi="Arial" w:cs="Arial"/>
                <w:b/>
                <w:bCs/>
                <w:color w:val="000000"/>
                <w:sz w:val="18"/>
                <w:szCs w:val="18"/>
              </w:rPr>
              <w:t>571</w:t>
            </w:r>
          </w:p>
          <w:p w14:paraId="00D91755" w14:textId="77777777" w:rsidR="00E00DF2"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w:t>
            </w:r>
          </w:p>
          <w:p w14:paraId="00D91756"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AČ k účtu 571</w:t>
            </w:r>
          </w:p>
        </w:tc>
        <w:tc>
          <w:tcPr>
            <w:tcW w:w="1787"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57" w14:textId="77777777" w:rsidR="00E00DF2" w:rsidRDefault="005F3340"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 6</w:t>
            </w:r>
            <w:r w:rsidR="00E00DF2" w:rsidRPr="006C2616">
              <w:rPr>
                <w:rFonts w:ascii="Arial" w:eastAsiaTheme="minorHAnsi" w:hAnsi="Arial" w:cs="Arial"/>
                <w:b/>
                <w:bCs/>
                <w:color w:val="000000"/>
                <w:sz w:val="18"/>
                <w:szCs w:val="18"/>
              </w:rPr>
              <w:t>71</w:t>
            </w:r>
          </w:p>
          <w:p w14:paraId="00D91758" w14:textId="77777777" w:rsidR="00E00DF2"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w:t>
            </w:r>
          </w:p>
          <w:p w14:paraId="00D91759"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AČ k účtu 671</w:t>
            </w:r>
          </w:p>
        </w:tc>
        <w:tc>
          <w:tcPr>
            <w:tcW w:w="1772" w:type="dxa"/>
            <w:tcBorders>
              <w:top w:val="single" w:sz="6" w:space="0" w:color="auto"/>
              <w:left w:val="single" w:sz="12" w:space="0" w:color="auto"/>
              <w:bottom w:val="single" w:sz="12" w:space="0" w:color="auto"/>
              <w:right w:val="single" w:sz="6" w:space="0" w:color="auto"/>
            </w:tcBorders>
            <w:shd w:val="clear" w:color="auto" w:fill="C6D9F1" w:themeFill="text2" w:themeFillTint="33"/>
            <w:vAlign w:val="center"/>
          </w:tcPr>
          <w:p w14:paraId="00D9175A" w14:textId="77777777" w:rsidR="00E00DF2" w:rsidRPr="006C2616" w:rsidRDefault="005F3340"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6C2616">
              <w:rPr>
                <w:rFonts w:ascii="Arial" w:eastAsiaTheme="minorHAnsi" w:hAnsi="Arial" w:cs="Arial"/>
                <w:b/>
                <w:bCs/>
                <w:color w:val="000000"/>
                <w:sz w:val="18"/>
                <w:szCs w:val="18"/>
              </w:rPr>
              <w:t xml:space="preserve"> 571</w:t>
            </w:r>
          </w:p>
        </w:tc>
        <w:tc>
          <w:tcPr>
            <w:tcW w:w="1772" w:type="dxa"/>
            <w:tcBorders>
              <w:top w:val="single" w:sz="6" w:space="0" w:color="auto"/>
              <w:left w:val="single" w:sz="6" w:space="0" w:color="auto"/>
              <w:bottom w:val="single" w:sz="12" w:space="0" w:color="auto"/>
              <w:right w:val="single" w:sz="12" w:space="0" w:color="auto"/>
            </w:tcBorders>
            <w:shd w:val="clear" w:color="auto" w:fill="C6D9F1" w:themeFill="text2" w:themeFillTint="33"/>
            <w:vAlign w:val="center"/>
          </w:tcPr>
          <w:p w14:paraId="00D9175B" w14:textId="77777777" w:rsidR="00E00DF2" w:rsidRPr="006C2616" w:rsidRDefault="005F3340"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6C2616">
              <w:rPr>
                <w:rFonts w:ascii="Arial" w:eastAsiaTheme="minorHAnsi" w:hAnsi="Arial" w:cs="Arial"/>
                <w:b/>
                <w:bCs/>
                <w:color w:val="000000"/>
                <w:sz w:val="18"/>
                <w:szCs w:val="18"/>
              </w:rPr>
              <w:t xml:space="preserve"> 671</w:t>
            </w:r>
          </w:p>
        </w:tc>
        <w:tc>
          <w:tcPr>
            <w:tcW w:w="1984" w:type="dxa"/>
            <w:vMerge/>
            <w:tcBorders>
              <w:left w:val="nil"/>
              <w:bottom w:val="single" w:sz="12" w:space="0" w:color="auto"/>
              <w:right w:val="single" w:sz="12" w:space="0" w:color="auto"/>
            </w:tcBorders>
            <w:shd w:val="clear" w:color="auto" w:fill="C6D9F1" w:themeFill="text2" w:themeFillTint="33"/>
          </w:tcPr>
          <w:p w14:paraId="00D9175C" w14:textId="77777777" w:rsidR="00E00DF2" w:rsidRPr="006C2616" w:rsidRDefault="00E00DF2" w:rsidP="007C7817">
            <w:pPr>
              <w:autoSpaceDE w:val="0"/>
              <w:autoSpaceDN w:val="0"/>
              <w:adjustRightInd w:val="0"/>
              <w:jc w:val="center"/>
              <w:rPr>
                <w:rFonts w:ascii="Arial" w:eastAsiaTheme="minorHAnsi" w:hAnsi="Arial" w:cs="Arial"/>
                <w:b/>
                <w:bCs/>
                <w:color w:val="000000"/>
                <w:sz w:val="18"/>
                <w:szCs w:val="18"/>
              </w:rPr>
            </w:pPr>
          </w:p>
        </w:tc>
      </w:tr>
      <w:tr w:rsidR="00E00DF2" w:rsidRPr="006C2616" w14:paraId="00D91763" w14:textId="77777777" w:rsidTr="00D660F6">
        <w:trPr>
          <w:trHeight w:val="257"/>
        </w:trPr>
        <w:tc>
          <w:tcPr>
            <w:tcW w:w="1787" w:type="dxa"/>
            <w:tcBorders>
              <w:top w:val="single" w:sz="12" w:space="0" w:color="auto"/>
              <w:left w:val="single" w:sz="12" w:space="0" w:color="auto"/>
              <w:bottom w:val="single" w:sz="12" w:space="0" w:color="auto"/>
              <w:right w:val="single" w:sz="12" w:space="0" w:color="auto"/>
            </w:tcBorders>
            <w:vAlign w:val="center"/>
          </w:tcPr>
          <w:p w14:paraId="00D9175E" w14:textId="77777777" w:rsidR="00E00DF2" w:rsidRPr="006C2616" w:rsidRDefault="00E00DF2" w:rsidP="007C7817">
            <w:pPr>
              <w:autoSpaceDE w:val="0"/>
              <w:autoSpaceDN w:val="0"/>
              <w:adjustRightInd w:val="0"/>
              <w:jc w:val="right"/>
              <w:rPr>
                <w:rFonts w:ascii="Arial" w:eastAsiaTheme="minorHAnsi" w:hAnsi="Arial" w:cs="Arial"/>
                <w:color w:val="000000"/>
                <w:sz w:val="18"/>
                <w:szCs w:val="18"/>
              </w:rPr>
            </w:pPr>
            <w:r w:rsidRPr="006C2616">
              <w:rPr>
                <w:rFonts w:ascii="Arial" w:eastAsiaTheme="minorHAnsi" w:hAnsi="Arial" w:cs="Arial"/>
                <w:color w:val="000000"/>
                <w:sz w:val="18"/>
                <w:szCs w:val="18"/>
              </w:rPr>
              <w:t>24 817 631 370,50</w:t>
            </w:r>
          </w:p>
        </w:tc>
        <w:tc>
          <w:tcPr>
            <w:tcW w:w="1787" w:type="dxa"/>
            <w:tcBorders>
              <w:top w:val="single" w:sz="12" w:space="0" w:color="auto"/>
              <w:left w:val="single" w:sz="12" w:space="0" w:color="auto"/>
              <w:bottom w:val="single" w:sz="12" w:space="0" w:color="auto"/>
              <w:right w:val="single" w:sz="12" w:space="0" w:color="auto"/>
            </w:tcBorders>
            <w:vAlign w:val="center"/>
          </w:tcPr>
          <w:p w14:paraId="00D9175F" w14:textId="77777777" w:rsidR="00E00DF2" w:rsidRPr="006C2616" w:rsidRDefault="00E00DF2" w:rsidP="007C7817">
            <w:pPr>
              <w:autoSpaceDE w:val="0"/>
              <w:autoSpaceDN w:val="0"/>
              <w:adjustRightInd w:val="0"/>
              <w:jc w:val="right"/>
              <w:rPr>
                <w:rFonts w:ascii="Arial" w:eastAsiaTheme="minorHAnsi" w:hAnsi="Arial" w:cs="Arial"/>
                <w:color w:val="000000"/>
                <w:sz w:val="18"/>
                <w:szCs w:val="18"/>
              </w:rPr>
            </w:pPr>
            <w:r w:rsidRPr="006C2616">
              <w:rPr>
                <w:rFonts w:ascii="Arial" w:eastAsiaTheme="minorHAnsi" w:hAnsi="Arial" w:cs="Arial"/>
                <w:color w:val="000000"/>
                <w:sz w:val="18"/>
                <w:szCs w:val="18"/>
              </w:rPr>
              <w:t>25 109 321 084,00</w:t>
            </w:r>
          </w:p>
        </w:tc>
        <w:tc>
          <w:tcPr>
            <w:tcW w:w="1772" w:type="dxa"/>
            <w:tcBorders>
              <w:top w:val="single" w:sz="12" w:space="0" w:color="auto"/>
              <w:left w:val="single" w:sz="12" w:space="0" w:color="auto"/>
              <w:bottom w:val="single" w:sz="12" w:space="0" w:color="auto"/>
              <w:right w:val="single" w:sz="6" w:space="0" w:color="auto"/>
            </w:tcBorders>
            <w:vAlign w:val="center"/>
          </w:tcPr>
          <w:p w14:paraId="00D91760" w14:textId="77777777" w:rsidR="00E00DF2" w:rsidRPr="006C2616" w:rsidRDefault="00E00DF2" w:rsidP="007C7817">
            <w:pPr>
              <w:autoSpaceDE w:val="0"/>
              <w:autoSpaceDN w:val="0"/>
              <w:adjustRightInd w:val="0"/>
              <w:jc w:val="right"/>
              <w:rPr>
                <w:rFonts w:ascii="Arial" w:eastAsiaTheme="minorHAnsi" w:hAnsi="Arial" w:cs="Arial"/>
                <w:color w:val="000000"/>
                <w:sz w:val="18"/>
                <w:szCs w:val="18"/>
              </w:rPr>
            </w:pPr>
            <w:r w:rsidRPr="006C2616">
              <w:rPr>
                <w:rFonts w:ascii="Arial" w:eastAsiaTheme="minorHAnsi" w:hAnsi="Arial" w:cs="Arial"/>
                <w:color w:val="000000"/>
                <w:sz w:val="18"/>
                <w:szCs w:val="18"/>
              </w:rPr>
              <w:t>12 408 815 685,25</w:t>
            </w:r>
          </w:p>
        </w:tc>
        <w:tc>
          <w:tcPr>
            <w:tcW w:w="1772" w:type="dxa"/>
            <w:tcBorders>
              <w:top w:val="single" w:sz="12" w:space="0" w:color="auto"/>
              <w:left w:val="single" w:sz="6" w:space="0" w:color="auto"/>
              <w:bottom w:val="single" w:sz="12" w:space="0" w:color="auto"/>
              <w:right w:val="single" w:sz="12" w:space="0" w:color="auto"/>
            </w:tcBorders>
            <w:vAlign w:val="center"/>
          </w:tcPr>
          <w:p w14:paraId="00D91761" w14:textId="77777777" w:rsidR="00E00DF2" w:rsidRPr="006C2616" w:rsidRDefault="00E00DF2" w:rsidP="007C7817">
            <w:pPr>
              <w:autoSpaceDE w:val="0"/>
              <w:autoSpaceDN w:val="0"/>
              <w:adjustRightInd w:val="0"/>
              <w:jc w:val="right"/>
              <w:rPr>
                <w:rFonts w:ascii="Arial" w:eastAsiaTheme="minorHAnsi" w:hAnsi="Arial" w:cs="Arial"/>
                <w:color w:val="000000"/>
                <w:sz w:val="18"/>
                <w:szCs w:val="18"/>
              </w:rPr>
            </w:pPr>
            <w:r w:rsidRPr="006C2616">
              <w:rPr>
                <w:rFonts w:ascii="Arial" w:eastAsiaTheme="minorHAnsi" w:hAnsi="Arial" w:cs="Arial"/>
                <w:color w:val="000000"/>
                <w:sz w:val="18"/>
                <w:szCs w:val="18"/>
              </w:rPr>
              <w:t>12 554 660 542,00</w:t>
            </w:r>
          </w:p>
        </w:tc>
        <w:tc>
          <w:tcPr>
            <w:tcW w:w="1984" w:type="dxa"/>
            <w:tcBorders>
              <w:top w:val="single" w:sz="12" w:space="0" w:color="auto"/>
              <w:left w:val="nil"/>
              <w:bottom w:val="single" w:sz="12" w:space="0" w:color="auto"/>
              <w:right w:val="single" w:sz="12" w:space="0" w:color="auto"/>
            </w:tcBorders>
            <w:vAlign w:val="center"/>
          </w:tcPr>
          <w:p w14:paraId="00D91762" w14:textId="77777777" w:rsidR="00E00DF2" w:rsidRPr="006C2616" w:rsidRDefault="00E00DF2" w:rsidP="007C7817">
            <w:pPr>
              <w:autoSpaceDE w:val="0"/>
              <w:autoSpaceDN w:val="0"/>
              <w:adjustRightInd w:val="0"/>
              <w:jc w:val="right"/>
              <w:rPr>
                <w:rFonts w:ascii="Arial" w:eastAsiaTheme="minorHAnsi" w:hAnsi="Arial" w:cs="Arial"/>
                <w:b/>
                <w:color w:val="000000"/>
                <w:sz w:val="18"/>
                <w:szCs w:val="18"/>
              </w:rPr>
            </w:pPr>
            <w:r w:rsidRPr="006C2616">
              <w:rPr>
                <w:rFonts w:ascii="Arial" w:eastAsiaTheme="minorHAnsi" w:hAnsi="Arial" w:cs="Arial"/>
                <w:b/>
                <w:color w:val="000000"/>
                <w:sz w:val="18"/>
                <w:szCs w:val="18"/>
              </w:rPr>
              <w:t>74 890 428 681,75</w:t>
            </w:r>
          </w:p>
        </w:tc>
      </w:tr>
    </w:tbl>
    <w:p w14:paraId="00D91764" w14:textId="77777777" w:rsidR="00E00DF2" w:rsidRDefault="00E00DF2" w:rsidP="00260B0C">
      <w:pPr>
        <w:spacing w:before="20"/>
        <w:jc w:val="both"/>
        <w:rPr>
          <w:rFonts w:ascii="Arial" w:hAnsi="Arial" w:cs="Arial"/>
          <w:sz w:val="18"/>
          <w:szCs w:val="18"/>
        </w:rPr>
      </w:pPr>
      <w:r w:rsidRPr="008100D3">
        <w:rPr>
          <w:rFonts w:ascii="Arial" w:hAnsi="Arial" w:cs="Arial"/>
          <w:sz w:val="18"/>
          <w:szCs w:val="18"/>
        </w:rPr>
        <w:t xml:space="preserve">AČ </w:t>
      </w:r>
      <w:r w:rsidR="005F3340">
        <w:rPr>
          <w:rFonts w:ascii="Arial" w:hAnsi="Arial" w:cs="Arial"/>
          <w:sz w:val="18"/>
          <w:szCs w:val="18"/>
        </w:rPr>
        <w:t>–</w:t>
      </w:r>
      <w:r w:rsidRPr="008100D3">
        <w:rPr>
          <w:rFonts w:ascii="Arial" w:hAnsi="Arial" w:cs="Arial"/>
          <w:sz w:val="18"/>
          <w:szCs w:val="18"/>
        </w:rPr>
        <w:t xml:space="preserve"> analytické členění </w:t>
      </w:r>
      <w:r>
        <w:rPr>
          <w:rFonts w:ascii="Arial" w:hAnsi="Arial" w:cs="Arial"/>
          <w:sz w:val="18"/>
          <w:szCs w:val="18"/>
        </w:rPr>
        <w:t>stanovené</w:t>
      </w:r>
      <w:r w:rsidRPr="008100D3">
        <w:rPr>
          <w:rFonts w:ascii="Arial" w:hAnsi="Arial" w:cs="Arial"/>
          <w:sz w:val="18"/>
          <w:szCs w:val="18"/>
        </w:rPr>
        <w:t xml:space="preserve"> pro PAP</w:t>
      </w:r>
      <w:r w:rsidR="00882AC2">
        <w:rPr>
          <w:rFonts w:ascii="Arial" w:hAnsi="Arial" w:cs="Arial"/>
          <w:sz w:val="18"/>
          <w:szCs w:val="18"/>
        </w:rPr>
        <w:t>.</w:t>
      </w:r>
    </w:p>
    <w:p w14:paraId="00D91765" w14:textId="77777777" w:rsidR="00882AC2" w:rsidRPr="008100D3" w:rsidRDefault="00882AC2" w:rsidP="00E00DF2">
      <w:pPr>
        <w:jc w:val="both"/>
        <w:rPr>
          <w:rFonts w:ascii="Arial" w:hAnsi="Arial" w:cs="Arial"/>
          <w:sz w:val="18"/>
          <w:szCs w:val="18"/>
        </w:rPr>
      </w:pPr>
    </w:p>
    <w:p w14:paraId="00D91766" w14:textId="77777777" w:rsidR="00E00DF2" w:rsidRPr="00830E87" w:rsidRDefault="00E00DF2" w:rsidP="00E00DF2">
      <w:pPr>
        <w:jc w:val="both"/>
        <w:rPr>
          <w:rFonts w:ascii="Arial" w:hAnsi="Arial" w:cs="Arial"/>
          <w:b/>
          <w:sz w:val="22"/>
          <w:szCs w:val="22"/>
          <w:highlight w:val="lightGray"/>
        </w:rPr>
      </w:pPr>
      <w:r w:rsidRPr="00830E87">
        <w:rPr>
          <w:rFonts w:ascii="Arial" w:hAnsi="Arial" w:cs="Arial"/>
          <w:b/>
          <w:sz w:val="22"/>
          <w:szCs w:val="22"/>
        </w:rPr>
        <w:t xml:space="preserve">Účetní </w:t>
      </w:r>
      <w:r w:rsidR="00245C09">
        <w:rPr>
          <w:rFonts w:ascii="Arial" w:hAnsi="Arial" w:cs="Arial"/>
          <w:b/>
          <w:sz w:val="22"/>
          <w:szCs w:val="22"/>
        </w:rPr>
        <w:t>regulace</w:t>
      </w:r>
      <w:r w:rsidRPr="00830E87">
        <w:rPr>
          <w:rFonts w:ascii="Arial" w:hAnsi="Arial" w:cs="Arial"/>
          <w:b/>
          <w:sz w:val="22"/>
          <w:szCs w:val="22"/>
        </w:rPr>
        <w:t xml:space="preserve"> by </w:t>
      </w:r>
      <w:r w:rsidR="009F047D">
        <w:rPr>
          <w:rFonts w:ascii="Arial" w:hAnsi="Arial" w:cs="Arial"/>
          <w:b/>
          <w:sz w:val="22"/>
          <w:szCs w:val="22"/>
        </w:rPr>
        <w:t>v </w:t>
      </w:r>
      <w:r w:rsidRPr="00830E87">
        <w:rPr>
          <w:rFonts w:ascii="Arial" w:hAnsi="Arial" w:cs="Arial"/>
          <w:b/>
          <w:sz w:val="22"/>
          <w:szCs w:val="22"/>
        </w:rPr>
        <w:t>oblasti předfinancování prostředků</w:t>
      </w:r>
      <w:r w:rsidR="00245C09">
        <w:rPr>
          <w:rFonts w:ascii="Arial" w:hAnsi="Arial" w:cs="Arial"/>
          <w:b/>
          <w:sz w:val="22"/>
          <w:szCs w:val="22"/>
        </w:rPr>
        <w:t xml:space="preserve"> ze státního rozpočtu</w:t>
      </w:r>
      <w:r w:rsidRPr="00830E87">
        <w:rPr>
          <w:rFonts w:ascii="Arial" w:hAnsi="Arial" w:cs="Arial"/>
          <w:b/>
          <w:sz w:val="22"/>
          <w:szCs w:val="22"/>
        </w:rPr>
        <w:t>, které mají být následně kryty prostředky z rozpočtu EU</w:t>
      </w:r>
      <w:r w:rsidR="00245C09">
        <w:rPr>
          <w:rFonts w:ascii="Arial" w:hAnsi="Arial" w:cs="Arial"/>
          <w:b/>
          <w:sz w:val="22"/>
          <w:szCs w:val="22"/>
        </w:rPr>
        <w:t>,</w:t>
      </w:r>
      <w:r w:rsidRPr="00830E87">
        <w:rPr>
          <w:rFonts w:ascii="Arial" w:hAnsi="Arial" w:cs="Arial"/>
          <w:b/>
          <w:sz w:val="22"/>
          <w:szCs w:val="22"/>
        </w:rPr>
        <w:t xml:space="preserve"> měla být pro vybrané účetní jednotky </w:t>
      </w:r>
      <w:r w:rsidR="009604B8" w:rsidRPr="00830E87">
        <w:rPr>
          <w:rFonts w:ascii="Arial" w:hAnsi="Arial" w:cs="Arial"/>
          <w:b/>
          <w:sz w:val="22"/>
          <w:szCs w:val="22"/>
        </w:rPr>
        <w:t>stanovena</w:t>
      </w:r>
      <w:r w:rsidR="009604B8">
        <w:rPr>
          <w:rFonts w:ascii="Arial" w:hAnsi="Arial" w:cs="Arial"/>
          <w:b/>
          <w:sz w:val="22"/>
          <w:szCs w:val="22"/>
        </w:rPr>
        <w:t xml:space="preserve"> </w:t>
      </w:r>
      <w:r w:rsidRPr="00830E87">
        <w:rPr>
          <w:rFonts w:ascii="Arial" w:hAnsi="Arial" w:cs="Arial"/>
          <w:b/>
          <w:sz w:val="22"/>
          <w:szCs w:val="22"/>
        </w:rPr>
        <w:t>jednoznačně, aby o správném účetním postupu a</w:t>
      </w:r>
      <w:r w:rsidR="000F1FD6">
        <w:rPr>
          <w:rFonts w:ascii="Arial" w:hAnsi="Arial" w:cs="Arial"/>
          <w:b/>
          <w:sz w:val="22"/>
          <w:szCs w:val="22"/>
        </w:rPr>
        <w:t xml:space="preserve"> tím </w:t>
      </w:r>
      <w:r w:rsidR="009604B8">
        <w:rPr>
          <w:rFonts w:ascii="Arial" w:hAnsi="Arial" w:cs="Arial"/>
          <w:b/>
          <w:sz w:val="22"/>
          <w:szCs w:val="22"/>
        </w:rPr>
        <w:t>také</w:t>
      </w:r>
      <w:r w:rsidR="000F1FD6">
        <w:rPr>
          <w:rFonts w:ascii="Arial" w:hAnsi="Arial" w:cs="Arial"/>
          <w:b/>
          <w:sz w:val="22"/>
          <w:szCs w:val="22"/>
        </w:rPr>
        <w:t xml:space="preserve"> o výši aktiv, závazků, nákladů a výnosů nevznikaly pochybnosti. NKÚ v souvislosti </w:t>
      </w:r>
      <w:r w:rsidRPr="00830E87">
        <w:rPr>
          <w:rFonts w:ascii="Arial" w:hAnsi="Arial" w:cs="Arial"/>
          <w:b/>
          <w:sz w:val="22"/>
          <w:szCs w:val="22"/>
        </w:rPr>
        <w:t>s těmito údaji</w:t>
      </w:r>
      <w:r w:rsidR="00546F1B">
        <w:rPr>
          <w:rFonts w:ascii="Arial" w:hAnsi="Arial" w:cs="Arial"/>
          <w:b/>
          <w:sz w:val="22"/>
          <w:szCs w:val="22"/>
        </w:rPr>
        <w:t xml:space="preserve"> </w:t>
      </w:r>
      <w:r w:rsidRPr="00830E87">
        <w:rPr>
          <w:rFonts w:ascii="Arial" w:hAnsi="Arial" w:cs="Arial"/>
          <w:b/>
          <w:sz w:val="22"/>
          <w:szCs w:val="22"/>
        </w:rPr>
        <w:t xml:space="preserve">upozorňuje na riziko jejich možné nesrovnatelnosti v PAP i </w:t>
      </w:r>
      <w:r w:rsidR="009F047D">
        <w:rPr>
          <w:rFonts w:ascii="Arial" w:hAnsi="Arial" w:cs="Arial"/>
          <w:b/>
          <w:sz w:val="22"/>
          <w:szCs w:val="22"/>
        </w:rPr>
        <w:t>v </w:t>
      </w:r>
      <w:r w:rsidRPr="00830E87">
        <w:rPr>
          <w:rFonts w:ascii="Arial" w:hAnsi="Arial" w:cs="Arial"/>
          <w:b/>
          <w:sz w:val="22"/>
          <w:szCs w:val="22"/>
        </w:rPr>
        <w:t>účetních závěrkách</w:t>
      </w:r>
      <w:r w:rsidR="00D326C7">
        <w:rPr>
          <w:rFonts w:ascii="Arial" w:hAnsi="Arial" w:cs="Arial"/>
          <w:b/>
          <w:sz w:val="22"/>
          <w:szCs w:val="22"/>
        </w:rPr>
        <w:t>,</w:t>
      </w:r>
      <w:r w:rsidRPr="00830E87">
        <w:rPr>
          <w:rFonts w:ascii="Arial" w:hAnsi="Arial" w:cs="Arial"/>
          <w:b/>
          <w:sz w:val="22"/>
          <w:szCs w:val="22"/>
        </w:rPr>
        <w:t xml:space="preserve"> a to nejen mezi vybranými účetními jednotkami, ale i mezi účetními obdobími.</w:t>
      </w:r>
    </w:p>
    <w:p w14:paraId="00D91767" w14:textId="77777777" w:rsidR="00E00DF2" w:rsidRDefault="00E00DF2" w:rsidP="00E00DF2">
      <w:pPr>
        <w:jc w:val="both"/>
        <w:rPr>
          <w:rFonts w:ascii="Arial" w:hAnsi="Arial" w:cs="Arial"/>
          <w:b/>
          <w:sz w:val="22"/>
          <w:szCs w:val="22"/>
        </w:rPr>
      </w:pPr>
    </w:p>
    <w:p w14:paraId="00D91768" w14:textId="77777777" w:rsidR="00E00DF2" w:rsidRPr="001B221B" w:rsidRDefault="00F45B52" w:rsidP="00E00DF2">
      <w:pPr>
        <w:tabs>
          <w:tab w:val="left" w:pos="720"/>
        </w:tabs>
        <w:autoSpaceDE w:val="0"/>
        <w:autoSpaceDN w:val="0"/>
        <w:adjustRightInd w:val="0"/>
        <w:jc w:val="both"/>
        <w:rPr>
          <w:rFonts w:ascii="Arial" w:hAnsi="Arial" w:cs="Arial"/>
          <w:b/>
          <w:sz w:val="22"/>
          <w:szCs w:val="22"/>
          <w:u w:val="single"/>
        </w:rPr>
      </w:pPr>
      <w:r w:rsidRPr="00260B0C">
        <w:rPr>
          <w:rFonts w:ascii="Arial" w:hAnsi="Arial" w:cs="Arial"/>
          <w:b/>
          <w:sz w:val="22"/>
          <w:szCs w:val="22"/>
        </w:rPr>
        <w:t xml:space="preserve">3.2 </w:t>
      </w:r>
      <w:r w:rsidR="00E00DF2" w:rsidRPr="00260B0C">
        <w:rPr>
          <w:rFonts w:ascii="Arial" w:hAnsi="Arial" w:cs="Arial"/>
          <w:b/>
          <w:sz w:val="22"/>
          <w:szCs w:val="22"/>
        </w:rPr>
        <w:t>Dlouhodobý finanční majetek</w:t>
      </w:r>
      <w:r w:rsidR="00E00DF2" w:rsidRPr="001B221B">
        <w:rPr>
          <w:rFonts w:ascii="Arial" w:hAnsi="Arial" w:cs="Arial"/>
          <w:b/>
          <w:sz w:val="22"/>
          <w:szCs w:val="22"/>
          <w:u w:val="single"/>
        </w:rPr>
        <w:t xml:space="preserve"> </w:t>
      </w:r>
    </w:p>
    <w:p w14:paraId="00D91769" w14:textId="77777777" w:rsidR="00E00DF2" w:rsidRPr="001B221B" w:rsidRDefault="00E00DF2" w:rsidP="00E00DF2">
      <w:pPr>
        <w:pStyle w:val="Odstavecseseznamem"/>
        <w:tabs>
          <w:tab w:val="left" w:pos="720"/>
        </w:tabs>
        <w:autoSpaceDE w:val="0"/>
        <w:autoSpaceDN w:val="0"/>
        <w:adjustRightInd w:val="0"/>
        <w:ind w:left="0"/>
        <w:jc w:val="both"/>
        <w:rPr>
          <w:rFonts w:ascii="Arial" w:hAnsi="Arial" w:cs="Arial"/>
          <w:sz w:val="22"/>
          <w:szCs w:val="22"/>
        </w:rPr>
      </w:pPr>
    </w:p>
    <w:p w14:paraId="00D9176A" w14:textId="77777777" w:rsidR="00E00DF2" w:rsidRDefault="00E00DF2" w:rsidP="00260B0C">
      <w:pPr>
        <w:pStyle w:val="Bezmezer"/>
        <w:spacing w:after="0"/>
        <w:ind w:firstLine="0"/>
      </w:pPr>
      <w:r w:rsidRPr="00093DA7">
        <w:t xml:space="preserve">MPO ve svém účetnictví i v PAP vedlo v roce 2012 dlouhodobý finanční majetek charakteru </w:t>
      </w:r>
      <w:r>
        <w:t xml:space="preserve">majetkových </w:t>
      </w:r>
      <w:r w:rsidRPr="00093DA7">
        <w:t>účastí</w:t>
      </w:r>
      <w:r>
        <w:t xml:space="preserve"> státu v obchodních společnostech</w:t>
      </w:r>
      <w:r w:rsidR="00F45B52">
        <w:t>,</w:t>
      </w:r>
      <w:r>
        <w:t xml:space="preserve"> </w:t>
      </w:r>
      <w:r w:rsidR="00F45B52">
        <w:t xml:space="preserve">jednalo se o majetkové účasti </w:t>
      </w:r>
      <w:r>
        <w:t xml:space="preserve">v pěti akciových společnostech a </w:t>
      </w:r>
      <w:r w:rsidR="0021320A">
        <w:t>MPO</w:t>
      </w:r>
      <w:r>
        <w:t xml:space="preserve"> </w:t>
      </w:r>
      <w:r w:rsidR="0021320A">
        <w:t xml:space="preserve">je vedlo </w:t>
      </w:r>
      <w:r>
        <w:rPr>
          <w:color w:val="000000"/>
        </w:rPr>
        <w:t>na účtu</w:t>
      </w:r>
      <w:r w:rsidRPr="005E4399">
        <w:rPr>
          <w:i/>
          <w:color w:val="000000"/>
        </w:rPr>
        <w:t xml:space="preserve"> </w:t>
      </w:r>
      <w:r w:rsidRPr="00DA7D84">
        <w:rPr>
          <w:color w:val="000000"/>
        </w:rPr>
        <w:t>061</w:t>
      </w:r>
      <w:r w:rsidRPr="005E4399">
        <w:rPr>
          <w:i/>
          <w:color w:val="000000"/>
        </w:rPr>
        <w:t xml:space="preserve"> –</w:t>
      </w:r>
      <w:r w:rsidRPr="005E4399">
        <w:rPr>
          <w:color w:val="000000"/>
        </w:rPr>
        <w:t xml:space="preserve"> </w:t>
      </w:r>
      <w:r w:rsidRPr="005E4399">
        <w:rPr>
          <w:i/>
          <w:lang w:eastAsia="hi-IN" w:bidi="hi-IN"/>
        </w:rPr>
        <w:t xml:space="preserve">Majetkové účasti v osobách </w:t>
      </w:r>
      <w:r w:rsidRPr="003C209D">
        <w:rPr>
          <w:i/>
          <w:lang w:eastAsia="hi-IN" w:bidi="hi-IN"/>
        </w:rPr>
        <w:t>s rozhodujícím vlivem</w:t>
      </w:r>
      <w:r w:rsidRPr="003C209D">
        <w:rPr>
          <w:lang w:eastAsia="hi-IN" w:bidi="hi-IN"/>
        </w:rPr>
        <w:t xml:space="preserve"> a</w:t>
      </w:r>
      <w:r w:rsidRPr="003C209D">
        <w:rPr>
          <w:i/>
          <w:lang w:eastAsia="hi-IN" w:bidi="hi-IN"/>
        </w:rPr>
        <w:t xml:space="preserve"> </w:t>
      </w:r>
      <w:r w:rsidRPr="003C209D">
        <w:rPr>
          <w:color w:val="000000"/>
        </w:rPr>
        <w:t>na</w:t>
      </w:r>
      <w:r>
        <w:rPr>
          <w:color w:val="000000"/>
        </w:rPr>
        <w:t xml:space="preserve"> účtu</w:t>
      </w:r>
      <w:r w:rsidRPr="00093DA7">
        <w:rPr>
          <w:color w:val="000000"/>
        </w:rPr>
        <w:t xml:space="preserve"> </w:t>
      </w:r>
      <w:r w:rsidRPr="00DA7D84">
        <w:rPr>
          <w:color w:val="000000"/>
        </w:rPr>
        <w:t>062</w:t>
      </w:r>
      <w:r w:rsidRPr="005E4399">
        <w:rPr>
          <w:i/>
          <w:color w:val="000000"/>
        </w:rPr>
        <w:t xml:space="preserve"> – </w:t>
      </w:r>
      <w:r w:rsidRPr="00093DA7">
        <w:rPr>
          <w:i/>
          <w:lang w:eastAsia="hi-IN" w:bidi="hi-IN"/>
        </w:rPr>
        <w:t>Majetkové účasti v osobách s </w:t>
      </w:r>
      <w:r w:rsidRPr="003C209D">
        <w:rPr>
          <w:i/>
          <w:lang w:eastAsia="hi-IN" w:bidi="hi-IN"/>
        </w:rPr>
        <w:t>podstatným vlivem</w:t>
      </w:r>
      <w:r w:rsidRPr="003C209D">
        <w:t>.</w:t>
      </w:r>
    </w:p>
    <w:p w14:paraId="00D9176B" w14:textId="77777777" w:rsidR="0021320A" w:rsidRPr="003C209D" w:rsidRDefault="0021320A" w:rsidP="00260B0C">
      <w:pPr>
        <w:pStyle w:val="Bezmezer"/>
        <w:spacing w:after="0"/>
        <w:ind w:firstLine="0"/>
      </w:pPr>
    </w:p>
    <w:p w14:paraId="00D9176C" w14:textId="77777777" w:rsidR="00E00DF2" w:rsidRPr="005C6553" w:rsidRDefault="00E00DF2" w:rsidP="00E00DF2">
      <w:pPr>
        <w:jc w:val="both"/>
        <w:rPr>
          <w:rFonts w:ascii="Arial" w:hAnsi="Arial" w:cs="Arial"/>
          <w:bCs/>
          <w:sz w:val="22"/>
          <w:szCs w:val="22"/>
          <w:lang w:eastAsia="cs-CZ"/>
        </w:rPr>
      </w:pPr>
      <w:r w:rsidRPr="005C6553">
        <w:rPr>
          <w:rFonts w:ascii="Arial" w:hAnsi="Arial" w:cs="Arial"/>
          <w:sz w:val="22"/>
          <w:szCs w:val="22"/>
        </w:rPr>
        <w:t>Předpisy regulující účetnictví a výkaznictví OSS v oblasti majetkových účastí</w:t>
      </w:r>
      <w:r>
        <w:rPr>
          <w:rFonts w:ascii="Arial" w:hAnsi="Arial" w:cs="Arial"/>
          <w:sz w:val="22"/>
          <w:szCs w:val="22"/>
        </w:rPr>
        <w:t xml:space="preserve"> státu v obchodních společnostech</w:t>
      </w:r>
      <w:r w:rsidRPr="005C6553">
        <w:rPr>
          <w:rFonts w:ascii="Arial" w:hAnsi="Arial" w:cs="Arial"/>
          <w:sz w:val="22"/>
          <w:szCs w:val="22"/>
        </w:rPr>
        <w:t xml:space="preserve"> nebyly v roce 201</w:t>
      </w:r>
      <w:r>
        <w:rPr>
          <w:rFonts w:ascii="Arial" w:hAnsi="Arial" w:cs="Arial"/>
          <w:sz w:val="22"/>
          <w:szCs w:val="22"/>
        </w:rPr>
        <w:t xml:space="preserve">2 ani </w:t>
      </w:r>
      <w:r w:rsidR="0021320A">
        <w:rPr>
          <w:rFonts w:ascii="Arial" w:hAnsi="Arial" w:cs="Arial"/>
          <w:sz w:val="22"/>
          <w:szCs w:val="22"/>
        </w:rPr>
        <w:t>v </w:t>
      </w:r>
      <w:r>
        <w:rPr>
          <w:rFonts w:ascii="Arial" w:hAnsi="Arial" w:cs="Arial"/>
          <w:sz w:val="22"/>
          <w:szCs w:val="22"/>
        </w:rPr>
        <w:t>letech předchozích</w:t>
      </w:r>
      <w:r w:rsidR="007D33AF">
        <w:rPr>
          <w:rFonts w:ascii="Arial" w:hAnsi="Arial" w:cs="Arial"/>
          <w:sz w:val="22"/>
          <w:szCs w:val="22"/>
        </w:rPr>
        <w:t xml:space="preserve"> dostatečné a </w:t>
      </w:r>
      <w:r w:rsidRPr="005C6553">
        <w:rPr>
          <w:rFonts w:ascii="Arial" w:hAnsi="Arial" w:cs="Arial"/>
          <w:sz w:val="22"/>
          <w:szCs w:val="22"/>
        </w:rPr>
        <w:t>jednoznačně aplikovatelné.</w:t>
      </w:r>
      <w:r>
        <w:rPr>
          <w:rFonts w:ascii="Arial" w:hAnsi="Arial" w:cs="Arial"/>
          <w:sz w:val="22"/>
          <w:szCs w:val="22"/>
        </w:rPr>
        <w:t xml:space="preserve"> </w:t>
      </w:r>
      <w:r w:rsidRPr="005C6553">
        <w:rPr>
          <w:rFonts w:ascii="Arial" w:hAnsi="Arial" w:cs="Arial"/>
          <w:bCs/>
          <w:sz w:val="22"/>
          <w:szCs w:val="22"/>
          <w:lang w:eastAsia="cs-CZ"/>
        </w:rPr>
        <w:t xml:space="preserve">Vyhláška č. 410/2009 Sb. sice od roku 2010 stanovuje určení míry vlivu v návaznosti na </w:t>
      </w:r>
      <w:r w:rsidR="005F5A89">
        <w:rPr>
          <w:rFonts w:ascii="Arial" w:hAnsi="Arial" w:cs="Arial"/>
          <w:bCs/>
          <w:sz w:val="22"/>
          <w:szCs w:val="22"/>
          <w:lang w:eastAsia="cs-CZ"/>
        </w:rPr>
        <w:t>platné</w:t>
      </w:r>
      <w:r w:rsidRPr="005C6553">
        <w:rPr>
          <w:rFonts w:ascii="Arial" w:hAnsi="Arial" w:cs="Arial"/>
          <w:bCs/>
          <w:sz w:val="22"/>
          <w:szCs w:val="22"/>
          <w:lang w:eastAsia="cs-CZ"/>
        </w:rPr>
        <w:t xml:space="preserve"> právní předpisy</w:t>
      </w:r>
      <w:r w:rsidRPr="005C6553">
        <w:rPr>
          <w:rStyle w:val="Znakapoznpodarou"/>
          <w:rFonts w:ascii="Arial" w:hAnsi="Arial" w:cs="Arial"/>
          <w:bCs/>
          <w:sz w:val="22"/>
          <w:szCs w:val="22"/>
          <w:lang w:eastAsia="cs-CZ"/>
        </w:rPr>
        <w:footnoteReference w:id="11"/>
      </w:r>
      <w:r w:rsidRPr="005C6553">
        <w:rPr>
          <w:rFonts w:ascii="Arial" w:hAnsi="Arial" w:cs="Arial"/>
          <w:bCs/>
          <w:sz w:val="22"/>
          <w:szCs w:val="22"/>
          <w:lang w:eastAsia="cs-CZ"/>
        </w:rPr>
        <w:t xml:space="preserve">, jejich aplikace je však problematická. Ve vztahu k OSS nelze hovořit o </w:t>
      </w:r>
      <w:r>
        <w:rPr>
          <w:rFonts w:ascii="Arial" w:hAnsi="Arial" w:cs="Arial"/>
          <w:bCs/>
          <w:sz w:val="22"/>
          <w:szCs w:val="22"/>
          <w:lang w:eastAsia="cs-CZ"/>
        </w:rPr>
        <w:t>„</w:t>
      </w:r>
      <w:r w:rsidRPr="005C6553">
        <w:rPr>
          <w:rFonts w:ascii="Arial" w:hAnsi="Arial" w:cs="Arial"/>
          <w:bCs/>
          <w:sz w:val="22"/>
          <w:szCs w:val="22"/>
          <w:lang w:eastAsia="cs-CZ"/>
        </w:rPr>
        <w:t>ovládající osobě</w:t>
      </w:r>
      <w:r>
        <w:rPr>
          <w:rFonts w:ascii="Arial" w:hAnsi="Arial" w:cs="Arial"/>
          <w:bCs/>
          <w:sz w:val="22"/>
          <w:szCs w:val="22"/>
          <w:lang w:eastAsia="cs-CZ"/>
        </w:rPr>
        <w:t>“</w:t>
      </w:r>
      <w:r w:rsidRPr="005C6553">
        <w:rPr>
          <w:rFonts w:ascii="Arial" w:hAnsi="Arial" w:cs="Arial"/>
          <w:bCs/>
          <w:sz w:val="22"/>
          <w:szCs w:val="22"/>
          <w:lang w:eastAsia="cs-CZ"/>
        </w:rPr>
        <w:t xml:space="preserve">, </w:t>
      </w:r>
      <w:r>
        <w:rPr>
          <w:rFonts w:ascii="Arial" w:hAnsi="Arial" w:cs="Arial"/>
          <w:bCs/>
          <w:sz w:val="22"/>
          <w:szCs w:val="22"/>
          <w:lang w:eastAsia="cs-CZ"/>
        </w:rPr>
        <w:t>proto</w:t>
      </w:r>
      <w:r w:rsidRPr="005C6553">
        <w:rPr>
          <w:rFonts w:ascii="Arial" w:hAnsi="Arial" w:cs="Arial"/>
          <w:bCs/>
          <w:sz w:val="22"/>
          <w:szCs w:val="22"/>
          <w:lang w:eastAsia="cs-CZ"/>
        </w:rPr>
        <w:t xml:space="preserve"> odkaz na §</w:t>
      </w:r>
      <w:r>
        <w:rPr>
          <w:rFonts w:ascii="Arial" w:hAnsi="Arial" w:cs="Arial"/>
          <w:bCs/>
          <w:sz w:val="22"/>
          <w:szCs w:val="22"/>
          <w:lang w:eastAsia="cs-CZ"/>
        </w:rPr>
        <w:t> </w:t>
      </w:r>
      <w:r w:rsidRPr="005C6553">
        <w:rPr>
          <w:rFonts w:ascii="Arial" w:hAnsi="Arial" w:cs="Arial"/>
          <w:bCs/>
          <w:sz w:val="22"/>
          <w:szCs w:val="22"/>
          <w:lang w:eastAsia="cs-CZ"/>
        </w:rPr>
        <w:t>66a</w:t>
      </w:r>
      <w:r w:rsidRPr="00EB5E0F">
        <w:rPr>
          <w:rFonts w:ascii="Arial" w:hAnsi="Arial" w:cs="Arial"/>
          <w:bCs/>
          <w:sz w:val="22"/>
          <w:szCs w:val="22"/>
          <w:lang w:eastAsia="cs-CZ"/>
        </w:rPr>
        <w:t xml:space="preserve"> </w:t>
      </w:r>
      <w:r>
        <w:rPr>
          <w:rFonts w:ascii="Arial" w:hAnsi="Arial" w:cs="Arial"/>
          <w:bCs/>
          <w:sz w:val="22"/>
          <w:szCs w:val="22"/>
          <w:lang w:eastAsia="cs-CZ"/>
        </w:rPr>
        <w:t xml:space="preserve">zákona </w:t>
      </w:r>
      <w:r w:rsidR="007D33AF">
        <w:rPr>
          <w:rFonts w:ascii="Arial" w:hAnsi="Arial" w:cs="Arial"/>
          <w:bCs/>
          <w:sz w:val="22"/>
          <w:szCs w:val="22"/>
          <w:lang w:eastAsia="cs-CZ"/>
        </w:rPr>
        <w:t>č. </w:t>
      </w:r>
      <w:r w:rsidRPr="005C6553">
        <w:rPr>
          <w:rFonts w:ascii="Arial" w:hAnsi="Arial" w:cs="Arial"/>
          <w:bCs/>
          <w:sz w:val="22"/>
          <w:szCs w:val="22"/>
          <w:lang w:eastAsia="cs-CZ"/>
        </w:rPr>
        <w:t>513/1991</w:t>
      </w:r>
      <w:r w:rsidR="00E03926">
        <w:rPr>
          <w:rFonts w:ascii="Arial" w:hAnsi="Arial" w:cs="Arial"/>
          <w:bCs/>
          <w:sz w:val="22"/>
          <w:szCs w:val="22"/>
          <w:lang w:eastAsia="cs-CZ"/>
        </w:rPr>
        <w:t> </w:t>
      </w:r>
      <w:r w:rsidRPr="005C6553">
        <w:rPr>
          <w:rFonts w:ascii="Arial" w:hAnsi="Arial" w:cs="Arial"/>
          <w:bCs/>
          <w:sz w:val="22"/>
          <w:szCs w:val="22"/>
          <w:lang w:eastAsia="cs-CZ"/>
        </w:rPr>
        <w:t>Sb.</w:t>
      </w:r>
      <w:r>
        <w:rPr>
          <w:rFonts w:ascii="Arial" w:hAnsi="Arial" w:cs="Arial"/>
          <w:bCs/>
          <w:sz w:val="22"/>
          <w:szCs w:val="22"/>
          <w:lang w:eastAsia="cs-CZ"/>
        </w:rPr>
        <w:t>, obchodní zákoník</w:t>
      </w:r>
      <w:r w:rsidR="0021320A">
        <w:rPr>
          <w:rFonts w:ascii="Arial" w:hAnsi="Arial" w:cs="Arial"/>
          <w:bCs/>
          <w:sz w:val="22"/>
          <w:szCs w:val="22"/>
          <w:lang w:eastAsia="cs-CZ"/>
        </w:rPr>
        <w:t>,</w:t>
      </w:r>
      <w:r>
        <w:rPr>
          <w:rFonts w:ascii="Arial" w:hAnsi="Arial" w:cs="Arial"/>
          <w:bCs/>
          <w:sz w:val="22"/>
          <w:szCs w:val="22"/>
          <w:lang w:eastAsia="cs-CZ"/>
        </w:rPr>
        <w:t xml:space="preserve"> je</w:t>
      </w:r>
      <w:r w:rsidRPr="005C6553">
        <w:rPr>
          <w:rFonts w:ascii="Arial" w:hAnsi="Arial" w:cs="Arial"/>
          <w:bCs/>
          <w:sz w:val="22"/>
          <w:szCs w:val="22"/>
          <w:lang w:eastAsia="cs-CZ"/>
        </w:rPr>
        <w:t xml:space="preserve"> </w:t>
      </w:r>
      <w:r w:rsidR="009F047D">
        <w:rPr>
          <w:rFonts w:ascii="Arial" w:hAnsi="Arial" w:cs="Arial"/>
          <w:bCs/>
          <w:sz w:val="22"/>
          <w:szCs w:val="22"/>
          <w:lang w:eastAsia="cs-CZ"/>
        </w:rPr>
        <w:t>v </w:t>
      </w:r>
      <w:r w:rsidRPr="005C6553">
        <w:rPr>
          <w:rFonts w:ascii="Arial" w:hAnsi="Arial" w:cs="Arial"/>
          <w:bCs/>
          <w:sz w:val="22"/>
          <w:szCs w:val="22"/>
          <w:lang w:eastAsia="cs-CZ"/>
        </w:rPr>
        <w:t>§ 17 vyhlášky č. 410/2009</w:t>
      </w:r>
      <w:r w:rsidR="00E03926">
        <w:rPr>
          <w:rFonts w:ascii="Arial" w:hAnsi="Arial" w:cs="Arial"/>
          <w:bCs/>
          <w:sz w:val="22"/>
          <w:szCs w:val="22"/>
          <w:lang w:eastAsia="cs-CZ"/>
        </w:rPr>
        <w:t> </w:t>
      </w:r>
      <w:r w:rsidRPr="005C6553">
        <w:rPr>
          <w:rFonts w:ascii="Arial" w:hAnsi="Arial" w:cs="Arial"/>
          <w:bCs/>
          <w:sz w:val="22"/>
          <w:szCs w:val="22"/>
          <w:lang w:eastAsia="cs-CZ"/>
        </w:rPr>
        <w:t>Sb.</w:t>
      </w:r>
      <w:r>
        <w:rPr>
          <w:rFonts w:ascii="Arial" w:hAnsi="Arial" w:cs="Arial"/>
          <w:bCs/>
          <w:sz w:val="22"/>
          <w:szCs w:val="22"/>
          <w:lang w:eastAsia="cs-CZ"/>
        </w:rPr>
        <w:t xml:space="preserve">, </w:t>
      </w:r>
      <w:r w:rsidRPr="005C6553">
        <w:rPr>
          <w:rFonts w:ascii="Arial" w:hAnsi="Arial" w:cs="Arial"/>
          <w:bCs/>
          <w:sz w:val="22"/>
          <w:szCs w:val="22"/>
          <w:lang w:eastAsia="cs-CZ"/>
        </w:rPr>
        <w:t>pokud jde o</w:t>
      </w:r>
      <w:r w:rsidR="000D0F77">
        <w:rPr>
          <w:rFonts w:ascii="Arial" w:hAnsi="Arial" w:cs="Arial"/>
          <w:bCs/>
          <w:sz w:val="22"/>
          <w:szCs w:val="22"/>
          <w:lang w:eastAsia="cs-CZ"/>
        </w:rPr>
        <w:t> </w:t>
      </w:r>
      <w:r w:rsidRPr="005C6553">
        <w:rPr>
          <w:rFonts w:ascii="Arial" w:hAnsi="Arial" w:cs="Arial"/>
          <w:bCs/>
          <w:sz w:val="22"/>
          <w:szCs w:val="22"/>
          <w:lang w:eastAsia="cs-CZ"/>
        </w:rPr>
        <w:t>vymezení rozhodujícího vlivu</w:t>
      </w:r>
      <w:r w:rsidR="0021320A">
        <w:rPr>
          <w:rFonts w:ascii="Arial" w:hAnsi="Arial" w:cs="Arial"/>
          <w:bCs/>
          <w:sz w:val="22"/>
          <w:szCs w:val="22"/>
          <w:lang w:eastAsia="cs-CZ"/>
        </w:rPr>
        <w:t>,</w:t>
      </w:r>
      <w:r w:rsidRPr="005C6553">
        <w:rPr>
          <w:rFonts w:ascii="Arial" w:hAnsi="Arial" w:cs="Arial"/>
          <w:bCs/>
          <w:sz w:val="22"/>
          <w:szCs w:val="22"/>
          <w:lang w:eastAsia="cs-CZ"/>
        </w:rPr>
        <w:t xml:space="preserve"> nejen zavádějící, ale i nesprávný. Pomocí </w:t>
      </w:r>
      <w:r w:rsidR="005F5A89">
        <w:rPr>
          <w:rFonts w:ascii="Arial" w:hAnsi="Arial" w:cs="Arial"/>
          <w:bCs/>
          <w:sz w:val="22"/>
          <w:szCs w:val="22"/>
          <w:lang w:eastAsia="cs-CZ"/>
        </w:rPr>
        <w:t>poznámk</w:t>
      </w:r>
      <w:r w:rsidR="00FC1C99">
        <w:rPr>
          <w:rFonts w:ascii="Arial" w:hAnsi="Arial" w:cs="Arial"/>
          <w:bCs/>
          <w:sz w:val="22"/>
          <w:szCs w:val="22"/>
          <w:lang w:eastAsia="cs-CZ"/>
        </w:rPr>
        <w:t>y</w:t>
      </w:r>
      <w:r w:rsidR="005F5A89">
        <w:rPr>
          <w:rFonts w:ascii="Arial" w:hAnsi="Arial" w:cs="Arial"/>
          <w:bCs/>
          <w:sz w:val="22"/>
          <w:szCs w:val="22"/>
          <w:lang w:eastAsia="cs-CZ"/>
        </w:rPr>
        <w:t xml:space="preserve"> pod čarou</w:t>
      </w:r>
      <w:r w:rsidRPr="005C6553">
        <w:rPr>
          <w:rFonts w:ascii="Arial" w:hAnsi="Arial" w:cs="Arial"/>
          <w:bCs/>
          <w:sz w:val="22"/>
          <w:szCs w:val="22"/>
          <w:lang w:eastAsia="cs-CZ"/>
        </w:rPr>
        <w:t>, kter</w:t>
      </w:r>
      <w:r w:rsidR="005F5A89">
        <w:rPr>
          <w:rFonts w:ascii="Arial" w:hAnsi="Arial" w:cs="Arial"/>
          <w:bCs/>
          <w:sz w:val="22"/>
          <w:szCs w:val="22"/>
          <w:lang w:eastAsia="cs-CZ"/>
        </w:rPr>
        <w:t>á</w:t>
      </w:r>
      <w:r w:rsidRPr="005C6553">
        <w:rPr>
          <w:rFonts w:ascii="Arial" w:hAnsi="Arial" w:cs="Arial"/>
          <w:bCs/>
          <w:sz w:val="22"/>
          <w:szCs w:val="22"/>
          <w:lang w:eastAsia="cs-CZ"/>
        </w:rPr>
        <w:t xml:space="preserve"> nemá normativní charakter, nelze založit souvislost mezi právními předpisy, která ve své podstatě neexistuje. Rovněž</w:t>
      </w:r>
      <w:r>
        <w:rPr>
          <w:rFonts w:ascii="Arial" w:hAnsi="Arial" w:cs="Arial"/>
          <w:bCs/>
          <w:sz w:val="22"/>
          <w:szCs w:val="22"/>
          <w:lang w:eastAsia="cs-CZ"/>
        </w:rPr>
        <w:t xml:space="preserve"> </w:t>
      </w:r>
      <w:r w:rsidRPr="005C6553">
        <w:rPr>
          <w:rFonts w:ascii="Arial" w:hAnsi="Arial" w:cs="Arial"/>
          <w:bCs/>
          <w:sz w:val="22"/>
          <w:szCs w:val="22"/>
          <w:lang w:eastAsia="cs-CZ"/>
        </w:rPr>
        <w:t>odkaz na § 22 odst. 5 zákona</w:t>
      </w:r>
      <w:r w:rsidR="007D33AF">
        <w:rPr>
          <w:rFonts w:ascii="Arial" w:hAnsi="Arial" w:cs="Arial"/>
          <w:bCs/>
          <w:sz w:val="22"/>
          <w:szCs w:val="22"/>
          <w:lang w:eastAsia="cs-CZ"/>
        </w:rPr>
        <w:t xml:space="preserve"> o </w:t>
      </w:r>
      <w:r>
        <w:rPr>
          <w:rFonts w:ascii="Arial" w:hAnsi="Arial" w:cs="Arial"/>
          <w:bCs/>
          <w:sz w:val="22"/>
          <w:szCs w:val="22"/>
          <w:lang w:eastAsia="cs-CZ"/>
        </w:rPr>
        <w:t>účetnictví, ve kterém jsou uvedeny</w:t>
      </w:r>
      <w:r w:rsidRPr="005C6553">
        <w:rPr>
          <w:rFonts w:ascii="Arial" w:hAnsi="Arial" w:cs="Arial"/>
          <w:bCs/>
          <w:sz w:val="22"/>
          <w:szCs w:val="22"/>
          <w:lang w:eastAsia="cs-CZ"/>
        </w:rPr>
        <w:t xml:space="preserve"> pojmy </w:t>
      </w:r>
      <w:r>
        <w:rPr>
          <w:rFonts w:ascii="Arial" w:hAnsi="Arial" w:cs="Arial"/>
          <w:bCs/>
          <w:sz w:val="22"/>
          <w:szCs w:val="22"/>
          <w:lang w:eastAsia="cs-CZ"/>
        </w:rPr>
        <w:t>„</w:t>
      </w:r>
      <w:r w:rsidRPr="005C6553">
        <w:rPr>
          <w:rFonts w:ascii="Arial" w:hAnsi="Arial" w:cs="Arial"/>
          <w:bCs/>
          <w:sz w:val="22"/>
          <w:szCs w:val="22"/>
          <w:lang w:eastAsia="cs-CZ"/>
        </w:rPr>
        <w:t>ovládající osoba</w:t>
      </w:r>
      <w:r>
        <w:rPr>
          <w:rFonts w:ascii="Arial" w:hAnsi="Arial" w:cs="Arial"/>
          <w:bCs/>
          <w:sz w:val="22"/>
          <w:szCs w:val="22"/>
          <w:lang w:eastAsia="cs-CZ"/>
        </w:rPr>
        <w:t>“</w:t>
      </w:r>
      <w:r w:rsidRPr="005C6553">
        <w:rPr>
          <w:rFonts w:ascii="Arial" w:hAnsi="Arial" w:cs="Arial"/>
          <w:bCs/>
          <w:sz w:val="22"/>
          <w:szCs w:val="22"/>
          <w:lang w:eastAsia="cs-CZ"/>
        </w:rPr>
        <w:t xml:space="preserve"> a </w:t>
      </w:r>
      <w:r>
        <w:rPr>
          <w:rFonts w:ascii="Arial" w:hAnsi="Arial" w:cs="Arial"/>
          <w:bCs/>
          <w:sz w:val="22"/>
          <w:szCs w:val="22"/>
          <w:lang w:eastAsia="cs-CZ"/>
        </w:rPr>
        <w:t>„</w:t>
      </w:r>
      <w:r w:rsidRPr="005C6553">
        <w:rPr>
          <w:rFonts w:ascii="Arial" w:hAnsi="Arial" w:cs="Arial"/>
          <w:bCs/>
          <w:sz w:val="22"/>
          <w:szCs w:val="22"/>
          <w:lang w:eastAsia="cs-CZ"/>
        </w:rPr>
        <w:t>ovládaná osoba</w:t>
      </w:r>
      <w:r>
        <w:rPr>
          <w:rFonts w:ascii="Arial" w:hAnsi="Arial" w:cs="Arial"/>
          <w:bCs/>
          <w:sz w:val="22"/>
          <w:szCs w:val="22"/>
          <w:lang w:eastAsia="cs-CZ"/>
        </w:rPr>
        <w:t>“</w:t>
      </w:r>
      <w:r w:rsidRPr="005C6553">
        <w:rPr>
          <w:rFonts w:ascii="Arial" w:hAnsi="Arial" w:cs="Arial"/>
          <w:bCs/>
          <w:sz w:val="22"/>
          <w:szCs w:val="22"/>
          <w:lang w:eastAsia="cs-CZ"/>
        </w:rPr>
        <w:t>, nemůže založit překlenutí něčeho, co překlenout z povahy věci nelze.</w:t>
      </w:r>
    </w:p>
    <w:p w14:paraId="00D9176D" w14:textId="77777777" w:rsidR="00E00DF2" w:rsidRPr="005C6553" w:rsidRDefault="00E00DF2" w:rsidP="00E00DF2">
      <w:pPr>
        <w:jc w:val="both"/>
        <w:rPr>
          <w:rFonts w:ascii="Arial" w:hAnsi="Arial" w:cs="Arial"/>
          <w:bCs/>
          <w:sz w:val="22"/>
          <w:szCs w:val="22"/>
          <w:lang w:eastAsia="cs-CZ"/>
        </w:rPr>
      </w:pPr>
    </w:p>
    <w:p w14:paraId="00D9176E" w14:textId="77777777" w:rsidR="00E00DF2" w:rsidRDefault="00E00DF2" w:rsidP="00E00DF2">
      <w:pPr>
        <w:jc w:val="both"/>
        <w:rPr>
          <w:rFonts w:ascii="Arial" w:hAnsi="Arial" w:cs="Arial"/>
          <w:bCs/>
          <w:sz w:val="22"/>
          <w:szCs w:val="22"/>
          <w:lang w:eastAsia="cs-CZ"/>
        </w:rPr>
      </w:pPr>
      <w:r>
        <w:rPr>
          <w:rFonts w:ascii="Arial" w:hAnsi="Arial" w:cs="Arial"/>
          <w:bCs/>
          <w:sz w:val="22"/>
          <w:szCs w:val="22"/>
          <w:lang w:eastAsia="cs-CZ"/>
        </w:rPr>
        <w:t>MPO</w:t>
      </w:r>
      <w:r w:rsidRPr="005C6553">
        <w:rPr>
          <w:rFonts w:ascii="Arial" w:hAnsi="Arial" w:cs="Arial"/>
          <w:bCs/>
          <w:sz w:val="22"/>
          <w:szCs w:val="22"/>
          <w:lang w:eastAsia="cs-CZ"/>
        </w:rPr>
        <w:t xml:space="preserve"> jako OSS je účetní jednotkou, ale není právnickou osobou. Ve smyslu zákona č. 219/2000 Sb., o majetku České republiky a jejím vystupování v právních vztazích</w:t>
      </w:r>
      <w:r w:rsidR="0021320A">
        <w:rPr>
          <w:rFonts w:ascii="Arial" w:hAnsi="Arial" w:cs="Arial"/>
          <w:bCs/>
          <w:sz w:val="22"/>
          <w:szCs w:val="22"/>
          <w:lang w:eastAsia="cs-CZ"/>
        </w:rPr>
        <w:t>,</w:t>
      </w:r>
      <w:r>
        <w:rPr>
          <w:rFonts w:ascii="Arial" w:hAnsi="Arial" w:cs="Arial"/>
          <w:bCs/>
          <w:sz w:val="22"/>
          <w:szCs w:val="22"/>
          <w:lang w:eastAsia="cs-CZ"/>
        </w:rPr>
        <w:t xml:space="preserve"> (dále </w:t>
      </w:r>
      <w:r w:rsidR="0021320A">
        <w:rPr>
          <w:rFonts w:ascii="Arial" w:hAnsi="Arial" w:cs="Arial"/>
          <w:bCs/>
          <w:sz w:val="22"/>
          <w:szCs w:val="22"/>
          <w:lang w:eastAsia="cs-CZ"/>
        </w:rPr>
        <w:t xml:space="preserve">také </w:t>
      </w:r>
      <w:r>
        <w:rPr>
          <w:rFonts w:ascii="Arial" w:hAnsi="Arial" w:cs="Arial"/>
          <w:bCs/>
          <w:sz w:val="22"/>
          <w:szCs w:val="22"/>
          <w:lang w:eastAsia="cs-CZ"/>
        </w:rPr>
        <w:t>„zákon o majetku ČR“)</w:t>
      </w:r>
      <w:r w:rsidRPr="005C6553">
        <w:rPr>
          <w:rFonts w:ascii="Arial" w:hAnsi="Arial" w:cs="Arial"/>
          <w:bCs/>
          <w:sz w:val="22"/>
          <w:szCs w:val="22"/>
          <w:lang w:eastAsia="cs-CZ"/>
        </w:rPr>
        <w:t xml:space="preserve"> je OSS příslušná hospodařit s majetkovou účastí státu</w:t>
      </w:r>
      <w:r>
        <w:rPr>
          <w:rFonts w:ascii="Arial" w:hAnsi="Arial" w:cs="Arial"/>
          <w:bCs/>
          <w:sz w:val="22"/>
          <w:szCs w:val="22"/>
          <w:lang w:eastAsia="cs-CZ"/>
        </w:rPr>
        <w:t xml:space="preserve"> v obchodních společnostech, její</w:t>
      </w:r>
      <w:r w:rsidR="001C4EE6">
        <w:rPr>
          <w:rFonts w:ascii="Arial" w:hAnsi="Arial" w:cs="Arial"/>
          <w:bCs/>
          <w:sz w:val="22"/>
          <w:szCs w:val="22"/>
          <w:lang w:eastAsia="cs-CZ"/>
        </w:rPr>
        <w:t>mž</w:t>
      </w:r>
      <w:r w:rsidRPr="005C6553">
        <w:rPr>
          <w:rFonts w:ascii="Arial" w:hAnsi="Arial" w:cs="Arial"/>
          <w:bCs/>
          <w:sz w:val="22"/>
          <w:szCs w:val="22"/>
          <w:lang w:eastAsia="cs-CZ"/>
        </w:rPr>
        <w:t xml:space="preserve"> vlastníkem je</w:t>
      </w:r>
      <w:r>
        <w:rPr>
          <w:rFonts w:ascii="Arial" w:hAnsi="Arial" w:cs="Arial"/>
          <w:bCs/>
          <w:sz w:val="22"/>
          <w:szCs w:val="22"/>
          <w:lang w:eastAsia="cs-CZ"/>
        </w:rPr>
        <w:t xml:space="preserve"> ale</w:t>
      </w:r>
      <w:r w:rsidRPr="005C6553">
        <w:rPr>
          <w:rFonts w:ascii="Arial" w:hAnsi="Arial" w:cs="Arial"/>
          <w:bCs/>
          <w:sz w:val="22"/>
          <w:szCs w:val="22"/>
          <w:lang w:eastAsia="cs-CZ"/>
        </w:rPr>
        <w:t xml:space="preserve"> stát. Některá rozhodnutí v souvislosti s akciemi jsou ponechána na vládě. </w:t>
      </w:r>
    </w:p>
    <w:p w14:paraId="00D9176F" w14:textId="77777777" w:rsidR="00E00DF2" w:rsidRDefault="00E00DF2" w:rsidP="00E00DF2">
      <w:pPr>
        <w:jc w:val="both"/>
        <w:rPr>
          <w:rFonts w:ascii="Arial" w:hAnsi="Arial" w:cs="Arial"/>
          <w:bCs/>
          <w:sz w:val="22"/>
          <w:szCs w:val="22"/>
          <w:lang w:eastAsia="cs-CZ"/>
        </w:rPr>
      </w:pPr>
    </w:p>
    <w:p w14:paraId="00D91770" w14:textId="77777777" w:rsidR="00E00DF2" w:rsidRPr="005C6553" w:rsidRDefault="00E00DF2" w:rsidP="00E00DF2">
      <w:pPr>
        <w:jc w:val="both"/>
        <w:rPr>
          <w:rFonts w:ascii="Arial" w:hAnsi="Arial" w:cs="Arial"/>
          <w:bCs/>
          <w:sz w:val="22"/>
          <w:szCs w:val="22"/>
          <w:lang w:eastAsia="cs-CZ"/>
        </w:rPr>
      </w:pPr>
      <w:r w:rsidRPr="005C6553">
        <w:rPr>
          <w:rFonts w:ascii="Arial" w:hAnsi="Arial" w:cs="Arial"/>
          <w:bCs/>
          <w:sz w:val="22"/>
          <w:szCs w:val="22"/>
          <w:lang w:eastAsia="cs-CZ"/>
        </w:rPr>
        <w:t>OSS má vykazovat ve finančním majetku majetkovou účast</w:t>
      </w:r>
      <w:r>
        <w:rPr>
          <w:rFonts w:ascii="Arial" w:hAnsi="Arial" w:cs="Arial"/>
          <w:bCs/>
          <w:sz w:val="22"/>
          <w:szCs w:val="22"/>
          <w:lang w:eastAsia="cs-CZ"/>
        </w:rPr>
        <w:t xml:space="preserve"> státu v obchodních společnostech</w:t>
      </w:r>
      <w:r w:rsidRPr="005C6553">
        <w:rPr>
          <w:rFonts w:ascii="Arial" w:hAnsi="Arial" w:cs="Arial"/>
          <w:bCs/>
          <w:sz w:val="22"/>
          <w:szCs w:val="22"/>
          <w:lang w:eastAsia="cs-CZ"/>
        </w:rPr>
        <w:t xml:space="preserve"> podle vlivu.</w:t>
      </w:r>
    </w:p>
    <w:p w14:paraId="00D91771" w14:textId="77777777" w:rsidR="00E00DF2" w:rsidRPr="005C6553" w:rsidRDefault="00E00DF2" w:rsidP="00E00DF2">
      <w:pPr>
        <w:jc w:val="both"/>
        <w:rPr>
          <w:rFonts w:ascii="Arial" w:hAnsi="Arial" w:cs="Arial"/>
          <w:bCs/>
          <w:sz w:val="22"/>
          <w:szCs w:val="22"/>
          <w:lang w:eastAsia="cs-CZ"/>
        </w:rPr>
      </w:pPr>
    </w:p>
    <w:p w14:paraId="00D91772" w14:textId="77777777" w:rsidR="00E00DF2" w:rsidRPr="005C6553" w:rsidRDefault="00E00DF2" w:rsidP="00E00DF2">
      <w:pPr>
        <w:jc w:val="both"/>
        <w:rPr>
          <w:rFonts w:ascii="Arial" w:hAnsi="Arial" w:cs="Arial"/>
          <w:bCs/>
          <w:sz w:val="22"/>
          <w:szCs w:val="22"/>
          <w:lang w:eastAsia="cs-CZ"/>
        </w:rPr>
      </w:pPr>
      <w:r w:rsidRPr="005C6553">
        <w:rPr>
          <w:rFonts w:ascii="Arial" w:hAnsi="Arial" w:cs="Arial"/>
          <w:bCs/>
          <w:sz w:val="22"/>
          <w:szCs w:val="22"/>
          <w:lang w:eastAsia="cs-CZ"/>
        </w:rPr>
        <w:t>Pokud by měl být vykázán vliv státu, není to možné, protože jiné OSS mohou mít příslušnost hospodařit s dalšími majetkovými účastmi ve stejné společnosti, které vykazují ve svých účetních závěrkách</w:t>
      </w:r>
      <w:r>
        <w:rPr>
          <w:rFonts w:ascii="Arial" w:hAnsi="Arial" w:cs="Arial"/>
          <w:bCs/>
          <w:sz w:val="22"/>
          <w:szCs w:val="22"/>
          <w:lang w:eastAsia="cs-CZ"/>
        </w:rPr>
        <w:t>,</w:t>
      </w:r>
      <w:r w:rsidRPr="005C6553">
        <w:rPr>
          <w:rFonts w:ascii="Arial" w:hAnsi="Arial" w:cs="Arial"/>
          <w:bCs/>
          <w:sz w:val="22"/>
          <w:szCs w:val="22"/>
          <w:lang w:eastAsia="cs-CZ"/>
        </w:rPr>
        <w:t xml:space="preserve"> a vliv státu je tak možné určit až na základě součtu majetkových účastí u všech OSS.</w:t>
      </w:r>
    </w:p>
    <w:p w14:paraId="00D91773" w14:textId="77777777" w:rsidR="00E00DF2" w:rsidRDefault="00E00DF2" w:rsidP="00E00DF2">
      <w:pPr>
        <w:jc w:val="both"/>
        <w:rPr>
          <w:rFonts w:ascii="Arial" w:hAnsi="Arial" w:cs="Arial"/>
          <w:bCs/>
          <w:sz w:val="22"/>
          <w:szCs w:val="22"/>
          <w:lang w:eastAsia="cs-CZ"/>
        </w:rPr>
      </w:pPr>
    </w:p>
    <w:p w14:paraId="00D91774" w14:textId="77777777" w:rsidR="00546F1B" w:rsidRDefault="00546F1B" w:rsidP="00E00DF2">
      <w:pPr>
        <w:jc w:val="both"/>
        <w:rPr>
          <w:rFonts w:ascii="Arial" w:hAnsi="Arial" w:cs="Arial"/>
          <w:bCs/>
          <w:sz w:val="22"/>
          <w:szCs w:val="22"/>
          <w:lang w:eastAsia="cs-CZ"/>
        </w:rPr>
      </w:pPr>
    </w:p>
    <w:p w14:paraId="00D91775" w14:textId="77777777" w:rsidR="00A30487" w:rsidRDefault="00A30487" w:rsidP="00E00DF2">
      <w:pPr>
        <w:jc w:val="both"/>
        <w:rPr>
          <w:rFonts w:ascii="Arial" w:hAnsi="Arial" w:cs="Arial"/>
          <w:bCs/>
          <w:sz w:val="22"/>
          <w:szCs w:val="22"/>
          <w:lang w:eastAsia="cs-CZ"/>
        </w:rPr>
      </w:pPr>
    </w:p>
    <w:p w14:paraId="00D91776" w14:textId="77777777" w:rsidR="00546F1B" w:rsidRPr="005C6553" w:rsidRDefault="00546F1B" w:rsidP="00E00DF2">
      <w:pPr>
        <w:jc w:val="both"/>
        <w:rPr>
          <w:rFonts w:ascii="Arial" w:hAnsi="Arial" w:cs="Arial"/>
          <w:bCs/>
          <w:sz w:val="22"/>
          <w:szCs w:val="22"/>
          <w:lang w:eastAsia="cs-CZ"/>
        </w:rPr>
      </w:pPr>
    </w:p>
    <w:p w14:paraId="00D91777" w14:textId="77777777" w:rsidR="00E00DF2" w:rsidRPr="005C6553" w:rsidRDefault="000F1FD6" w:rsidP="00E00DF2">
      <w:pPr>
        <w:jc w:val="both"/>
        <w:rPr>
          <w:rFonts w:ascii="Arial" w:hAnsi="Arial" w:cs="Arial"/>
          <w:bCs/>
          <w:sz w:val="22"/>
          <w:szCs w:val="22"/>
          <w:lang w:eastAsia="cs-CZ"/>
        </w:rPr>
      </w:pPr>
      <w:r>
        <w:rPr>
          <w:rFonts w:ascii="Arial" w:hAnsi="Arial" w:cs="Arial"/>
          <w:bCs/>
          <w:sz w:val="22"/>
          <w:szCs w:val="22"/>
          <w:lang w:eastAsia="cs-CZ"/>
        </w:rPr>
        <w:t>Pokud by měl být vykázán v</w:t>
      </w:r>
      <w:r w:rsidR="00E00DF2" w:rsidRPr="005C6553">
        <w:rPr>
          <w:rFonts w:ascii="Arial" w:hAnsi="Arial" w:cs="Arial"/>
          <w:bCs/>
          <w:sz w:val="22"/>
          <w:szCs w:val="22"/>
          <w:lang w:eastAsia="cs-CZ"/>
        </w:rPr>
        <w:t>liv OSS</w:t>
      </w:r>
      <w:r>
        <w:rPr>
          <w:rFonts w:ascii="Arial" w:hAnsi="Arial" w:cs="Arial"/>
          <w:bCs/>
          <w:sz w:val="22"/>
          <w:szCs w:val="22"/>
          <w:lang w:eastAsia="cs-CZ"/>
        </w:rPr>
        <w:t>,</w:t>
      </w:r>
      <w:r w:rsidR="00E00DF2" w:rsidRPr="005C6553">
        <w:rPr>
          <w:rFonts w:ascii="Arial" w:hAnsi="Arial" w:cs="Arial"/>
          <w:bCs/>
          <w:sz w:val="22"/>
          <w:szCs w:val="22"/>
          <w:lang w:eastAsia="cs-CZ"/>
        </w:rPr>
        <w:t xml:space="preserve"> je vždy omezen v rozsahu ustanovení zákona </w:t>
      </w:r>
      <w:r w:rsidR="00E00DF2">
        <w:rPr>
          <w:rFonts w:ascii="Arial" w:hAnsi="Arial" w:cs="Arial"/>
          <w:bCs/>
          <w:sz w:val="22"/>
          <w:szCs w:val="22"/>
          <w:lang w:eastAsia="cs-CZ"/>
        </w:rPr>
        <w:t>o majetku ČR</w:t>
      </w:r>
      <w:r w:rsidR="00E00DF2" w:rsidRPr="005C6553">
        <w:rPr>
          <w:rFonts w:ascii="Arial" w:hAnsi="Arial" w:cs="Arial"/>
          <w:bCs/>
          <w:sz w:val="22"/>
          <w:szCs w:val="22"/>
          <w:lang w:eastAsia="cs-CZ"/>
        </w:rPr>
        <w:t xml:space="preserve">. Práva akcionáře vykonává jménem státu, </w:t>
      </w:r>
      <w:r w:rsidR="0021320A">
        <w:rPr>
          <w:rFonts w:ascii="Arial" w:hAnsi="Arial" w:cs="Arial"/>
          <w:bCs/>
          <w:sz w:val="22"/>
          <w:szCs w:val="22"/>
          <w:lang w:eastAsia="cs-CZ"/>
        </w:rPr>
        <w:t>tedy nikoli</w:t>
      </w:r>
      <w:r w:rsidR="00E00DF2" w:rsidRPr="005C6553">
        <w:rPr>
          <w:rFonts w:ascii="Arial" w:hAnsi="Arial" w:cs="Arial"/>
          <w:bCs/>
          <w:sz w:val="22"/>
          <w:szCs w:val="22"/>
          <w:lang w:eastAsia="cs-CZ"/>
        </w:rPr>
        <w:t xml:space="preserve"> jménem OSS, vládou písemně pověřený zaměstnanec ministerstva. V rozsahu nakládání s právy akcionáře má povinnost postupovat podle právních předpisů a podle písemných pokynů ministra. Některá práva však zákon </w:t>
      </w:r>
      <w:r w:rsidR="00E00DF2">
        <w:rPr>
          <w:rFonts w:ascii="Arial" w:hAnsi="Arial" w:cs="Arial"/>
          <w:bCs/>
          <w:sz w:val="22"/>
          <w:szCs w:val="22"/>
          <w:lang w:eastAsia="cs-CZ"/>
        </w:rPr>
        <w:t>o majetku ČR</w:t>
      </w:r>
      <w:r w:rsidR="00E00DF2" w:rsidRPr="005C6553">
        <w:rPr>
          <w:rFonts w:ascii="Arial" w:hAnsi="Arial" w:cs="Arial"/>
          <w:bCs/>
          <w:sz w:val="22"/>
          <w:szCs w:val="22"/>
          <w:lang w:eastAsia="cs-CZ"/>
        </w:rPr>
        <w:t xml:space="preserve"> nedelegoval ani na OSS ani na vládou pověřeného zaměstnance, ale pověřil j</w:t>
      </w:r>
      <w:r w:rsidR="00E00DF2">
        <w:rPr>
          <w:rFonts w:ascii="Arial" w:hAnsi="Arial" w:cs="Arial"/>
          <w:bCs/>
          <w:sz w:val="22"/>
          <w:szCs w:val="22"/>
          <w:lang w:eastAsia="cs-CZ"/>
        </w:rPr>
        <w:t>i</w:t>
      </w:r>
      <w:r w:rsidR="00E00DF2" w:rsidRPr="005C6553">
        <w:rPr>
          <w:rFonts w:ascii="Arial" w:hAnsi="Arial" w:cs="Arial"/>
          <w:bCs/>
          <w:sz w:val="22"/>
          <w:szCs w:val="22"/>
          <w:lang w:eastAsia="cs-CZ"/>
        </w:rPr>
        <w:t>m</w:t>
      </w:r>
      <w:r w:rsidR="00E00DF2">
        <w:rPr>
          <w:rFonts w:ascii="Arial" w:hAnsi="Arial" w:cs="Arial"/>
          <w:bCs/>
          <w:sz w:val="22"/>
          <w:szCs w:val="22"/>
          <w:lang w:eastAsia="cs-CZ"/>
        </w:rPr>
        <w:t>i</w:t>
      </w:r>
      <w:r w:rsidR="00E00DF2" w:rsidRPr="005C6553">
        <w:rPr>
          <w:rFonts w:ascii="Arial" w:hAnsi="Arial" w:cs="Arial"/>
          <w:bCs/>
          <w:sz w:val="22"/>
          <w:szCs w:val="22"/>
          <w:lang w:eastAsia="cs-CZ"/>
        </w:rPr>
        <w:t xml:space="preserve"> vládu. O některých úkonech tak rozhoduje vládou pověřený zaměstnanec pouze s předchozím souhlasem vlády. Žádné ministerstvo tedy nemůže svůj vliv uplatňovat ve smyslu § 66a obchodní</w:t>
      </w:r>
      <w:r w:rsidR="00E00DF2">
        <w:rPr>
          <w:rFonts w:ascii="Arial" w:hAnsi="Arial" w:cs="Arial"/>
          <w:bCs/>
          <w:sz w:val="22"/>
          <w:szCs w:val="22"/>
          <w:lang w:eastAsia="cs-CZ"/>
        </w:rPr>
        <w:t>ho</w:t>
      </w:r>
      <w:r w:rsidR="00E00DF2" w:rsidRPr="005C6553">
        <w:rPr>
          <w:rFonts w:ascii="Arial" w:hAnsi="Arial" w:cs="Arial"/>
          <w:bCs/>
          <w:sz w:val="22"/>
          <w:szCs w:val="22"/>
          <w:lang w:eastAsia="cs-CZ"/>
        </w:rPr>
        <w:t xml:space="preserve"> zákoník</w:t>
      </w:r>
      <w:r w:rsidR="00E00DF2">
        <w:rPr>
          <w:rFonts w:ascii="Arial" w:hAnsi="Arial" w:cs="Arial"/>
          <w:bCs/>
          <w:sz w:val="22"/>
          <w:szCs w:val="22"/>
          <w:lang w:eastAsia="cs-CZ"/>
        </w:rPr>
        <w:t>u</w:t>
      </w:r>
      <w:r w:rsidR="00E00DF2" w:rsidRPr="005C6553">
        <w:rPr>
          <w:rFonts w:ascii="Arial" w:hAnsi="Arial" w:cs="Arial"/>
          <w:bCs/>
          <w:sz w:val="22"/>
          <w:szCs w:val="22"/>
          <w:lang w:eastAsia="cs-CZ"/>
        </w:rPr>
        <w:t>, tzn. vykonávat hlasovací práva na základě vlastního uvážení bez ohledu na právní důvody a bez ovlivňování.</w:t>
      </w:r>
    </w:p>
    <w:p w14:paraId="00D91778" w14:textId="77777777" w:rsidR="00E00DF2" w:rsidRPr="005C6553" w:rsidRDefault="00E00DF2" w:rsidP="00E00DF2">
      <w:pPr>
        <w:jc w:val="both"/>
        <w:rPr>
          <w:rFonts w:ascii="Arial" w:hAnsi="Arial" w:cs="Arial"/>
          <w:bCs/>
          <w:sz w:val="22"/>
          <w:szCs w:val="22"/>
          <w:lang w:eastAsia="cs-CZ"/>
        </w:rPr>
      </w:pPr>
    </w:p>
    <w:p w14:paraId="00D91779" w14:textId="77777777" w:rsidR="00E00DF2" w:rsidRDefault="00E00DF2" w:rsidP="00E00DF2">
      <w:pPr>
        <w:jc w:val="both"/>
        <w:rPr>
          <w:rFonts w:ascii="Arial" w:hAnsi="Arial" w:cs="Arial"/>
          <w:bCs/>
          <w:sz w:val="22"/>
          <w:szCs w:val="22"/>
          <w:lang w:eastAsia="cs-CZ"/>
        </w:rPr>
      </w:pPr>
      <w:r w:rsidRPr="00C1547D">
        <w:rPr>
          <w:rFonts w:ascii="Arial" w:hAnsi="Arial" w:cs="Arial"/>
          <w:bCs/>
          <w:sz w:val="22"/>
          <w:szCs w:val="22"/>
          <w:lang w:eastAsia="cs-CZ"/>
        </w:rPr>
        <w:t>Z uvedeného je zřejmé, že OSS je v disponování s těmito cennými papíry omezena, a dle názoru NKÚ toto omezení nelze dostatečně přesně kvantifikovat</w:t>
      </w:r>
      <w:r>
        <w:rPr>
          <w:rStyle w:val="Znakapoznpodarou"/>
          <w:rFonts w:ascii="Arial" w:hAnsi="Arial" w:cs="Arial"/>
          <w:bCs/>
          <w:sz w:val="22"/>
          <w:szCs w:val="22"/>
          <w:lang w:eastAsia="cs-CZ"/>
        </w:rPr>
        <w:footnoteReference w:id="12"/>
      </w:r>
      <w:r w:rsidRPr="00C1547D">
        <w:rPr>
          <w:rFonts w:ascii="Arial" w:hAnsi="Arial" w:cs="Arial"/>
          <w:bCs/>
          <w:sz w:val="22"/>
          <w:szCs w:val="22"/>
          <w:lang w:eastAsia="cs-CZ"/>
        </w:rPr>
        <w:t xml:space="preserve">. </w:t>
      </w:r>
    </w:p>
    <w:p w14:paraId="00D9177A" w14:textId="77777777" w:rsidR="00E00DF2" w:rsidRDefault="00E00DF2" w:rsidP="00E00DF2">
      <w:pPr>
        <w:jc w:val="both"/>
        <w:rPr>
          <w:rFonts w:ascii="Arial" w:hAnsi="Arial" w:cs="Arial"/>
          <w:bCs/>
          <w:sz w:val="22"/>
          <w:szCs w:val="22"/>
          <w:lang w:eastAsia="cs-CZ"/>
        </w:rPr>
      </w:pPr>
    </w:p>
    <w:p w14:paraId="00D9177B" w14:textId="77777777" w:rsidR="00E00DF2" w:rsidRDefault="00E00DF2" w:rsidP="00E00DF2">
      <w:pPr>
        <w:jc w:val="both"/>
        <w:rPr>
          <w:rFonts w:ascii="Arial" w:hAnsi="Arial" w:cs="Arial"/>
          <w:sz w:val="22"/>
          <w:szCs w:val="22"/>
          <w:lang w:eastAsia="hi-IN" w:bidi="hi-IN"/>
        </w:rPr>
      </w:pPr>
      <w:r>
        <w:rPr>
          <w:rFonts w:ascii="Arial" w:hAnsi="Arial" w:cs="Arial"/>
          <w:bCs/>
          <w:sz w:val="22"/>
          <w:szCs w:val="22"/>
          <w:lang w:eastAsia="cs-CZ"/>
        </w:rPr>
        <w:t>Vzhledem k výše uvedeným skutečnostem n</w:t>
      </w:r>
      <w:r w:rsidR="008B1BE7">
        <w:rPr>
          <w:rFonts w:ascii="Arial" w:hAnsi="Arial" w:cs="Arial"/>
          <w:bCs/>
          <w:sz w:val="22"/>
          <w:szCs w:val="22"/>
          <w:lang w:eastAsia="cs-CZ"/>
        </w:rPr>
        <w:t>ebylo</w:t>
      </w:r>
      <w:r>
        <w:rPr>
          <w:rFonts w:ascii="Arial" w:hAnsi="Arial" w:cs="Arial"/>
          <w:bCs/>
          <w:sz w:val="22"/>
          <w:szCs w:val="22"/>
          <w:lang w:eastAsia="cs-CZ"/>
        </w:rPr>
        <w:t xml:space="preserve"> </w:t>
      </w:r>
      <w:r w:rsidR="0021320A">
        <w:rPr>
          <w:rFonts w:ascii="Arial" w:hAnsi="Arial" w:cs="Arial"/>
          <w:bCs/>
          <w:sz w:val="22"/>
          <w:szCs w:val="22"/>
          <w:lang w:eastAsia="cs-CZ"/>
        </w:rPr>
        <w:t xml:space="preserve">ze strany </w:t>
      </w:r>
      <w:r>
        <w:rPr>
          <w:rFonts w:ascii="Arial" w:hAnsi="Arial" w:cs="Arial"/>
          <w:sz w:val="22"/>
          <w:szCs w:val="22"/>
        </w:rPr>
        <w:t>NKÚ</w:t>
      </w:r>
      <w:r w:rsidRPr="00C1547D">
        <w:rPr>
          <w:rFonts w:ascii="Arial" w:hAnsi="Arial" w:cs="Arial"/>
          <w:sz w:val="22"/>
          <w:szCs w:val="22"/>
        </w:rPr>
        <w:t xml:space="preserve"> vyhod</w:t>
      </w:r>
      <w:r>
        <w:rPr>
          <w:rFonts w:ascii="Arial" w:hAnsi="Arial" w:cs="Arial"/>
          <w:sz w:val="22"/>
          <w:szCs w:val="22"/>
        </w:rPr>
        <w:t>noc</w:t>
      </w:r>
      <w:r w:rsidR="008B1BE7">
        <w:rPr>
          <w:rFonts w:ascii="Arial" w:hAnsi="Arial" w:cs="Arial"/>
          <w:sz w:val="22"/>
          <w:szCs w:val="22"/>
        </w:rPr>
        <w:t>en</w:t>
      </w:r>
      <w:r>
        <w:rPr>
          <w:rFonts w:ascii="Arial" w:hAnsi="Arial" w:cs="Arial"/>
          <w:sz w:val="22"/>
          <w:szCs w:val="22"/>
        </w:rPr>
        <w:t>o</w:t>
      </w:r>
      <w:r w:rsidRPr="00C1547D">
        <w:rPr>
          <w:rFonts w:ascii="Arial" w:hAnsi="Arial" w:cs="Arial"/>
          <w:sz w:val="22"/>
          <w:szCs w:val="22"/>
        </w:rPr>
        <w:t>, zda MPO provedlo zaúčtování majetkových účastí státu v obchodních společnostech na správné účty</w:t>
      </w:r>
      <w:r>
        <w:rPr>
          <w:rFonts w:ascii="Arial" w:hAnsi="Arial" w:cs="Arial"/>
          <w:sz w:val="22"/>
          <w:szCs w:val="22"/>
        </w:rPr>
        <w:t>. N</w:t>
      </w:r>
      <w:r w:rsidRPr="00C1547D">
        <w:rPr>
          <w:rFonts w:ascii="Arial" w:hAnsi="Arial" w:cs="Arial"/>
          <w:sz w:val="22"/>
          <w:szCs w:val="22"/>
        </w:rPr>
        <w:t>ení tak hodnocena</w:t>
      </w:r>
      <w:r w:rsidRPr="00C1547D">
        <w:rPr>
          <w:rFonts w:ascii="Arial" w:hAnsi="Arial" w:cs="Arial"/>
          <w:sz w:val="22"/>
          <w:szCs w:val="22"/>
          <w:lang w:eastAsia="hi-IN" w:bidi="hi-IN"/>
        </w:rPr>
        <w:t xml:space="preserve"> správnost údajů </w:t>
      </w:r>
      <w:r>
        <w:rPr>
          <w:rFonts w:ascii="Arial" w:hAnsi="Arial" w:cs="Arial"/>
          <w:sz w:val="22"/>
          <w:szCs w:val="22"/>
          <w:lang w:eastAsia="hi-IN" w:bidi="hi-IN"/>
        </w:rPr>
        <w:t xml:space="preserve">účtovaných na </w:t>
      </w:r>
      <w:r w:rsidRPr="00C1547D">
        <w:rPr>
          <w:rFonts w:ascii="Arial" w:hAnsi="Arial" w:cs="Arial"/>
          <w:sz w:val="22"/>
          <w:szCs w:val="22"/>
          <w:lang w:eastAsia="hi-IN" w:bidi="hi-IN"/>
        </w:rPr>
        <w:t xml:space="preserve">účtech 061 a 062 </w:t>
      </w:r>
      <w:r w:rsidR="0021320A">
        <w:rPr>
          <w:rFonts w:ascii="Arial" w:hAnsi="Arial" w:cs="Arial"/>
          <w:sz w:val="22"/>
          <w:szCs w:val="22"/>
          <w:lang w:eastAsia="hi-IN" w:bidi="hi-IN"/>
        </w:rPr>
        <w:t xml:space="preserve">a </w:t>
      </w:r>
      <w:r w:rsidRPr="00C1547D">
        <w:rPr>
          <w:rFonts w:ascii="Arial" w:hAnsi="Arial" w:cs="Arial"/>
          <w:sz w:val="22"/>
          <w:szCs w:val="22"/>
          <w:lang w:eastAsia="hi-IN" w:bidi="hi-IN"/>
        </w:rPr>
        <w:t>přenesených do PAP MPO</w:t>
      </w:r>
      <w:r w:rsidRPr="00634F6B">
        <w:rPr>
          <w:rFonts w:ascii="Arial" w:hAnsi="Arial" w:cs="Arial"/>
          <w:sz w:val="22"/>
          <w:szCs w:val="22"/>
          <w:lang w:eastAsia="hi-IN" w:bidi="hi-IN"/>
        </w:rPr>
        <w:t xml:space="preserve"> k 31. </w:t>
      </w:r>
      <w:r>
        <w:rPr>
          <w:rFonts w:ascii="Arial" w:hAnsi="Arial" w:cs="Arial"/>
          <w:sz w:val="22"/>
          <w:szCs w:val="22"/>
          <w:lang w:eastAsia="hi-IN" w:bidi="hi-IN"/>
        </w:rPr>
        <w:t>prosinci</w:t>
      </w:r>
      <w:r w:rsidRPr="00634F6B">
        <w:rPr>
          <w:rFonts w:ascii="Arial" w:hAnsi="Arial" w:cs="Arial"/>
          <w:sz w:val="22"/>
          <w:szCs w:val="22"/>
          <w:lang w:eastAsia="hi-IN" w:bidi="hi-IN"/>
        </w:rPr>
        <w:t xml:space="preserve"> 2012</w:t>
      </w:r>
      <w:r w:rsidR="009809A0">
        <w:rPr>
          <w:rFonts w:ascii="Arial" w:hAnsi="Arial" w:cs="Arial"/>
          <w:sz w:val="22"/>
          <w:szCs w:val="22"/>
          <w:lang w:eastAsia="hi-IN" w:bidi="hi-IN"/>
        </w:rPr>
        <w:t xml:space="preserve"> v rozsahu údajů o</w:t>
      </w:r>
      <w:r>
        <w:rPr>
          <w:rFonts w:ascii="Arial" w:hAnsi="Arial" w:cs="Arial"/>
          <w:sz w:val="22"/>
          <w:szCs w:val="22"/>
          <w:lang w:eastAsia="hi-IN" w:bidi="hi-IN"/>
        </w:rPr>
        <w:t>:</w:t>
      </w:r>
    </w:p>
    <w:p w14:paraId="00D9177C" w14:textId="77777777" w:rsidR="00E00DF2" w:rsidRPr="00DE6528" w:rsidRDefault="00E00DF2" w:rsidP="009809A0">
      <w:pPr>
        <w:pStyle w:val="Bezmezer"/>
        <w:numPr>
          <w:ilvl w:val="0"/>
          <w:numId w:val="42"/>
        </w:numPr>
        <w:spacing w:after="0"/>
        <w:ind w:left="284" w:hanging="284"/>
      </w:pPr>
      <w:r>
        <w:rPr>
          <w:color w:val="000000"/>
        </w:rPr>
        <w:t xml:space="preserve">majetku na účtu </w:t>
      </w:r>
      <w:r w:rsidRPr="00D57938">
        <w:rPr>
          <w:color w:val="000000"/>
        </w:rPr>
        <w:t xml:space="preserve">061 – </w:t>
      </w:r>
      <w:r w:rsidRPr="00D57938">
        <w:rPr>
          <w:i/>
          <w:color w:val="000000"/>
        </w:rPr>
        <w:t>Majetkové účasti v osobách s rozhodujícím vlivem</w:t>
      </w:r>
      <w:r w:rsidRPr="00D57938">
        <w:rPr>
          <w:color w:val="000000"/>
        </w:rPr>
        <w:t xml:space="preserve"> </w:t>
      </w:r>
      <w:r>
        <w:rPr>
          <w:color w:val="000000"/>
        </w:rPr>
        <w:t xml:space="preserve">uvedeném v PS </w:t>
      </w:r>
      <w:r w:rsidRPr="00D57938">
        <w:rPr>
          <w:color w:val="000000"/>
        </w:rPr>
        <w:t>ve výši 11 597 361 457,44 Kč</w:t>
      </w:r>
      <w:r>
        <w:rPr>
          <w:color w:val="000000"/>
        </w:rPr>
        <w:t xml:space="preserve">, obratu na straně MD </w:t>
      </w:r>
      <w:r w:rsidR="008B1BE7">
        <w:rPr>
          <w:color w:val="000000"/>
        </w:rPr>
        <w:t xml:space="preserve">ve výši </w:t>
      </w:r>
      <w:r w:rsidRPr="00D57938">
        <w:rPr>
          <w:color w:val="000000"/>
        </w:rPr>
        <w:t>1 580 232 400 Kč</w:t>
      </w:r>
      <w:r>
        <w:rPr>
          <w:color w:val="000000"/>
        </w:rPr>
        <w:t xml:space="preserve"> a</w:t>
      </w:r>
      <w:r w:rsidR="009809A0">
        <w:rPr>
          <w:i/>
          <w:color w:val="000000"/>
        </w:rPr>
        <w:t> </w:t>
      </w:r>
      <w:r>
        <w:rPr>
          <w:color w:val="000000"/>
        </w:rPr>
        <w:t xml:space="preserve">v KS ve výši </w:t>
      </w:r>
      <w:r w:rsidRPr="00D57938">
        <w:rPr>
          <w:color w:val="000000"/>
        </w:rPr>
        <w:t>13 177 593 857,44 Kč</w:t>
      </w:r>
      <w:r>
        <w:rPr>
          <w:color w:val="000000"/>
        </w:rPr>
        <w:t>,</w:t>
      </w:r>
    </w:p>
    <w:p w14:paraId="00D9177D" w14:textId="77777777" w:rsidR="00E00DF2" w:rsidRPr="005C6553" w:rsidRDefault="00E00DF2" w:rsidP="009809A0">
      <w:pPr>
        <w:pStyle w:val="Bezmezer"/>
        <w:numPr>
          <w:ilvl w:val="0"/>
          <w:numId w:val="42"/>
        </w:numPr>
        <w:spacing w:after="0"/>
        <w:ind w:left="284" w:hanging="284"/>
        <w:rPr>
          <w:lang w:eastAsia="hi-IN" w:bidi="hi-IN"/>
        </w:rPr>
      </w:pPr>
      <w:r>
        <w:rPr>
          <w:color w:val="000000"/>
        </w:rPr>
        <w:t xml:space="preserve">majetku na účtu </w:t>
      </w:r>
      <w:r w:rsidRPr="00D57938">
        <w:rPr>
          <w:color w:val="000000"/>
        </w:rPr>
        <w:t xml:space="preserve">062 – </w:t>
      </w:r>
      <w:r w:rsidRPr="00D57938">
        <w:rPr>
          <w:i/>
          <w:color w:val="000000"/>
        </w:rPr>
        <w:t xml:space="preserve">Majetkové účasti v osobách </w:t>
      </w:r>
      <w:r w:rsidR="009F047D">
        <w:rPr>
          <w:i/>
          <w:color w:val="000000"/>
        </w:rPr>
        <w:t>s </w:t>
      </w:r>
      <w:r w:rsidRPr="00D57938">
        <w:rPr>
          <w:i/>
          <w:color w:val="000000"/>
        </w:rPr>
        <w:t>podstatným vlivem</w:t>
      </w:r>
      <w:r w:rsidRPr="00275460">
        <w:rPr>
          <w:i/>
          <w:color w:val="000000"/>
        </w:rPr>
        <w:t xml:space="preserve"> </w:t>
      </w:r>
      <w:r>
        <w:rPr>
          <w:color w:val="000000"/>
        </w:rPr>
        <w:t>uvedeném v PS i</w:t>
      </w:r>
      <w:r w:rsidR="000D0F77">
        <w:rPr>
          <w:color w:val="000000"/>
        </w:rPr>
        <w:t> </w:t>
      </w:r>
      <w:r>
        <w:rPr>
          <w:color w:val="000000"/>
        </w:rPr>
        <w:t xml:space="preserve">KS shodně ve výši </w:t>
      </w:r>
      <w:r w:rsidRPr="00D57938">
        <w:rPr>
          <w:color w:val="000000"/>
        </w:rPr>
        <w:t>1 627 968 944,10 Kč</w:t>
      </w:r>
      <w:r>
        <w:rPr>
          <w:color w:val="000000"/>
        </w:rPr>
        <w:t>.</w:t>
      </w:r>
      <w:r w:rsidRPr="005C6553">
        <w:rPr>
          <w:lang w:eastAsia="hi-IN" w:bidi="hi-IN"/>
        </w:rPr>
        <w:t xml:space="preserve"> </w:t>
      </w:r>
    </w:p>
    <w:p w14:paraId="00D9177E" w14:textId="77777777" w:rsidR="00E00DF2" w:rsidRDefault="00E00DF2" w:rsidP="00E00DF2">
      <w:pPr>
        <w:jc w:val="both"/>
        <w:rPr>
          <w:rFonts w:ascii="Arial" w:hAnsi="Arial" w:cs="Arial"/>
          <w:sz w:val="22"/>
          <w:szCs w:val="22"/>
        </w:rPr>
      </w:pPr>
    </w:p>
    <w:p w14:paraId="00D9177F" w14:textId="77777777" w:rsidR="00E00DF2" w:rsidRDefault="00E00DF2" w:rsidP="00E00DF2">
      <w:pPr>
        <w:jc w:val="both"/>
        <w:rPr>
          <w:rFonts w:ascii="Arial" w:hAnsi="Arial" w:cs="Arial"/>
          <w:sz w:val="22"/>
          <w:szCs w:val="22"/>
          <w:lang w:eastAsia="hi-IN" w:bidi="hi-IN"/>
        </w:rPr>
      </w:pPr>
      <w:r>
        <w:rPr>
          <w:rFonts w:ascii="Arial" w:hAnsi="Arial" w:cs="Arial"/>
          <w:sz w:val="22"/>
          <w:szCs w:val="22"/>
        </w:rPr>
        <w:t>Tyto údaje přenesené do PAP z účetnictví byly v PAP dále členěny analyticky</w:t>
      </w:r>
      <w:r w:rsidR="008B1BE7">
        <w:rPr>
          <w:rFonts w:ascii="Arial" w:hAnsi="Arial" w:cs="Arial"/>
          <w:sz w:val="22"/>
          <w:szCs w:val="22"/>
        </w:rPr>
        <w:t>,</w:t>
      </w:r>
      <w:r>
        <w:rPr>
          <w:rFonts w:ascii="Arial" w:hAnsi="Arial" w:cs="Arial"/>
          <w:sz w:val="22"/>
          <w:szCs w:val="22"/>
        </w:rPr>
        <w:t xml:space="preserve"> podle </w:t>
      </w:r>
      <w:r w:rsidR="008B1BE7">
        <w:rPr>
          <w:rFonts w:ascii="Arial" w:hAnsi="Arial" w:cs="Arial"/>
          <w:sz w:val="22"/>
          <w:szCs w:val="22"/>
        </w:rPr>
        <w:t>„</w:t>
      </w:r>
      <w:r w:rsidRPr="008B1BE7">
        <w:rPr>
          <w:rFonts w:ascii="Arial" w:hAnsi="Arial" w:cs="Arial"/>
          <w:i/>
          <w:sz w:val="22"/>
          <w:szCs w:val="22"/>
        </w:rPr>
        <w:t>typu</w:t>
      </w:r>
      <w:r>
        <w:rPr>
          <w:rFonts w:ascii="Arial" w:hAnsi="Arial" w:cs="Arial"/>
          <w:sz w:val="22"/>
          <w:szCs w:val="22"/>
        </w:rPr>
        <w:t xml:space="preserve"> </w:t>
      </w:r>
      <w:r w:rsidRPr="008B1BE7">
        <w:rPr>
          <w:rFonts w:ascii="Arial" w:hAnsi="Arial" w:cs="Arial"/>
          <w:i/>
          <w:sz w:val="22"/>
          <w:szCs w:val="22"/>
        </w:rPr>
        <w:t>změny</w:t>
      </w:r>
      <w:r w:rsidR="008B1BE7" w:rsidRPr="00260B0C">
        <w:rPr>
          <w:rFonts w:ascii="Arial" w:hAnsi="Arial" w:cs="Arial"/>
          <w:sz w:val="22"/>
          <w:szCs w:val="22"/>
        </w:rPr>
        <w:t>“</w:t>
      </w:r>
      <w:r>
        <w:rPr>
          <w:rFonts w:ascii="Arial" w:hAnsi="Arial" w:cs="Arial"/>
          <w:sz w:val="22"/>
          <w:szCs w:val="22"/>
        </w:rPr>
        <w:t xml:space="preserve"> i </w:t>
      </w:r>
      <w:r w:rsidR="008B1BE7">
        <w:rPr>
          <w:rFonts w:ascii="Arial" w:hAnsi="Arial" w:cs="Arial"/>
          <w:sz w:val="22"/>
          <w:szCs w:val="22"/>
        </w:rPr>
        <w:t>„</w:t>
      </w:r>
      <w:r w:rsidRPr="008B1BE7">
        <w:rPr>
          <w:rFonts w:ascii="Arial" w:hAnsi="Arial" w:cs="Arial"/>
          <w:i/>
          <w:sz w:val="22"/>
          <w:szCs w:val="22"/>
        </w:rPr>
        <w:t>partnerů transakce</w:t>
      </w:r>
      <w:r w:rsidR="008B1BE7">
        <w:rPr>
          <w:rFonts w:ascii="Arial" w:hAnsi="Arial" w:cs="Arial"/>
          <w:sz w:val="22"/>
          <w:szCs w:val="22"/>
        </w:rPr>
        <w:t>“</w:t>
      </w:r>
      <w:r w:rsidR="0021320A">
        <w:rPr>
          <w:rFonts w:ascii="Arial" w:hAnsi="Arial" w:cs="Arial"/>
          <w:sz w:val="22"/>
          <w:szCs w:val="22"/>
        </w:rPr>
        <w:t>,</w:t>
      </w:r>
      <w:r>
        <w:rPr>
          <w:rFonts w:ascii="Arial" w:hAnsi="Arial" w:cs="Arial"/>
          <w:sz w:val="22"/>
          <w:szCs w:val="22"/>
        </w:rPr>
        <w:t xml:space="preserve"> a uvedeny v dalších částech PAP. Z důvodu toho</w:t>
      </w:r>
      <w:r w:rsidR="008B1BE7">
        <w:rPr>
          <w:rFonts w:ascii="Arial" w:hAnsi="Arial" w:cs="Arial"/>
          <w:sz w:val="22"/>
          <w:szCs w:val="22"/>
        </w:rPr>
        <w:t>to</w:t>
      </w:r>
      <w:r>
        <w:rPr>
          <w:rFonts w:ascii="Arial" w:hAnsi="Arial" w:cs="Arial"/>
          <w:sz w:val="22"/>
          <w:szCs w:val="22"/>
        </w:rPr>
        <w:t xml:space="preserve"> dalšího členění a řetězení údajů </w:t>
      </w:r>
      <w:r w:rsidR="008B1BE7">
        <w:rPr>
          <w:rFonts w:ascii="Arial" w:hAnsi="Arial" w:cs="Arial"/>
          <w:sz w:val="22"/>
          <w:szCs w:val="22"/>
        </w:rPr>
        <w:t xml:space="preserve">byly </w:t>
      </w:r>
      <w:r>
        <w:rPr>
          <w:rFonts w:ascii="Arial" w:hAnsi="Arial" w:cs="Arial"/>
          <w:sz w:val="22"/>
          <w:szCs w:val="22"/>
        </w:rPr>
        <w:t xml:space="preserve">v PAP </w:t>
      </w:r>
      <w:r w:rsidRPr="00831540">
        <w:rPr>
          <w:rFonts w:ascii="Arial" w:hAnsi="Arial" w:cs="Arial"/>
          <w:sz w:val="22"/>
          <w:szCs w:val="22"/>
        </w:rPr>
        <w:t xml:space="preserve">MPO k 31. </w:t>
      </w:r>
      <w:r>
        <w:rPr>
          <w:rFonts w:ascii="Arial" w:hAnsi="Arial" w:cs="Arial"/>
          <w:sz w:val="22"/>
          <w:szCs w:val="22"/>
        </w:rPr>
        <w:t>prosinci</w:t>
      </w:r>
      <w:r w:rsidRPr="00831540">
        <w:rPr>
          <w:rFonts w:ascii="Arial" w:hAnsi="Arial" w:cs="Arial"/>
          <w:sz w:val="22"/>
          <w:szCs w:val="22"/>
        </w:rPr>
        <w:t xml:space="preserve"> 2012 </w:t>
      </w:r>
      <w:r>
        <w:rPr>
          <w:rFonts w:ascii="Arial" w:hAnsi="Arial" w:cs="Arial"/>
          <w:sz w:val="22"/>
          <w:szCs w:val="22"/>
        </w:rPr>
        <w:t xml:space="preserve">výsledně zatíženy nejednoznačností údaje </w:t>
      </w:r>
      <w:r w:rsidR="009F047D">
        <w:rPr>
          <w:rFonts w:ascii="Arial" w:hAnsi="Arial" w:cs="Arial"/>
          <w:sz w:val="22"/>
          <w:szCs w:val="22"/>
        </w:rPr>
        <w:t>v </w:t>
      </w:r>
      <w:r>
        <w:rPr>
          <w:rFonts w:ascii="Arial" w:hAnsi="Arial" w:cs="Arial"/>
          <w:sz w:val="22"/>
          <w:szCs w:val="22"/>
        </w:rPr>
        <w:t xml:space="preserve">celkovém </w:t>
      </w:r>
      <w:r w:rsidRPr="00831540">
        <w:rPr>
          <w:rFonts w:ascii="Arial" w:hAnsi="Arial" w:cs="Arial"/>
          <w:sz w:val="22"/>
          <w:szCs w:val="22"/>
        </w:rPr>
        <w:t xml:space="preserve">objemu </w:t>
      </w:r>
      <w:r w:rsidRPr="005A5297">
        <w:rPr>
          <w:rFonts w:ascii="Arial" w:hAnsi="Arial" w:cs="Arial"/>
          <w:sz w:val="22"/>
          <w:szCs w:val="22"/>
          <w:lang w:eastAsia="hi-IN" w:bidi="hi-IN"/>
        </w:rPr>
        <w:t>93 574 074 009,24 Kč</w:t>
      </w:r>
      <w:r>
        <w:rPr>
          <w:rFonts w:ascii="Arial" w:hAnsi="Arial" w:cs="Arial"/>
          <w:sz w:val="22"/>
          <w:szCs w:val="22"/>
          <w:lang w:eastAsia="hi-IN" w:bidi="hi-IN"/>
        </w:rPr>
        <w:t xml:space="preserve"> uvedené v částech I, VIII, X a XIII PAP (viz tabulka č. 4). </w:t>
      </w:r>
    </w:p>
    <w:p w14:paraId="00D91780" w14:textId="77777777" w:rsidR="002C2600" w:rsidRDefault="002C2600" w:rsidP="00E00DF2">
      <w:pPr>
        <w:jc w:val="both"/>
        <w:rPr>
          <w:rFonts w:ascii="Arial" w:hAnsi="Arial" w:cs="Arial"/>
          <w:sz w:val="22"/>
          <w:szCs w:val="22"/>
          <w:highlight w:val="yellow"/>
        </w:rPr>
      </w:pPr>
    </w:p>
    <w:p w14:paraId="00D91781" w14:textId="77777777" w:rsidR="00E00DF2" w:rsidRPr="002A7A11" w:rsidRDefault="00E00DF2" w:rsidP="00546F1B">
      <w:pPr>
        <w:tabs>
          <w:tab w:val="right" w:pos="8931"/>
        </w:tabs>
        <w:spacing w:after="40"/>
        <w:ind w:left="1531" w:hanging="1531"/>
        <w:rPr>
          <w:rFonts w:ascii="Arial" w:hAnsi="Arial" w:cs="Arial"/>
          <w:b/>
          <w:sz w:val="22"/>
          <w:szCs w:val="22"/>
        </w:rPr>
      </w:pPr>
      <w:r w:rsidRPr="00B73BBD">
        <w:rPr>
          <w:rFonts w:ascii="Arial" w:hAnsi="Arial" w:cs="Arial"/>
          <w:b/>
          <w:sz w:val="22"/>
          <w:szCs w:val="22"/>
        </w:rPr>
        <w:t>Tabulka č. 4</w:t>
      </w:r>
      <w:r w:rsidRPr="002A7A11">
        <w:rPr>
          <w:rFonts w:ascii="Arial" w:hAnsi="Arial" w:cs="Arial"/>
          <w:b/>
          <w:sz w:val="22"/>
          <w:szCs w:val="22"/>
        </w:rPr>
        <w:t xml:space="preserve"> –</w:t>
      </w:r>
      <w:r w:rsidR="00500153">
        <w:rPr>
          <w:rFonts w:ascii="Arial" w:hAnsi="Arial" w:cs="Arial"/>
          <w:b/>
          <w:sz w:val="22"/>
          <w:szCs w:val="22"/>
        </w:rPr>
        <w:t xml:space="preserve"> </w:t>
      </w:r>
      <w:r w:rsidRPr="002A7A11">
        <w:rPr>
          <w:rFonts w:ascii="Arial" w:hAnsi="Arial" w:cs="Arial"/>
          <w:b/>
          <w:sz w:val="22"/>
          <w:szCs w:val="22"/>
        </w:rPr>
        <w:t xml:space="preserve">Údaje uvedené v PAP MPO k 31. </w:t>
      </w:r>
      <w:r>
        <w:rPr>
          <w:rFonts w:ascii="Arial" w:hAnsi="Arial" w:cs="Arial"/>
          <w:b/>
          <w:sz w:val="22"/>
          <w:szCs w:val="22"/>
        </w:rPr>
        <w:t>prosinci</w:t>
      </w:r>
      <w:r w:rsidRPr="002A7A11">
        <w:rPr>
          <w:rFonts w:ascii="Arial" w:hAnsi="Arial" w:cs="Arial"/>
          <w:b/>
          <w:sz w:val="22"/>
          <w:szCs w:val="22"/>
        </w:rPr>
        <w:t xml:space="preserve"> 2012 týkající se </w:t>
      </w:r>
      <w:r>
        <w:rPr>
          <w:rFonts w:ascii="Arial" w:hAnsi="Arial" w:cs="Arial"/>
          <w:b/>
          <w:sz w:val="22"/>
          <w:szCs w:val="22"/>
        </w:rPr>
        <w:t>majetkových účastí státu v obchodních společnostech</w:t>
      </w:r>
      <w:r w:rsidR="007A24C1" w:rsidRPr="007A24C1">
        <w:rPr>
          <w:rFonts w:ascii="Arial" w:hAnsi="Arial" w:cs="Arial"/>
          <w:b/>
          <w:sz w:val="22"/>
          <w:szCs w:val="22"/>
        </w:rPr>
        <w:t xml:space="preserve"> </w:t>
      </w:r>
      <w:r w:rsidR="007A24C1">
        <w:rPr>
          <w:rFonts w:ascii="Arial" w:hAnsi="Arial" w:cs="Arial"/>
          <w:b/>
          <w:sz w:val="22"/>
          <w:szCs w:val="22"/>
        </w:rPr>
        <w:t>nevyhodnocené z hlediska souladu</w:t>
      </w:r>
      <w:r w:rsidRPr="002A7A11">
        <w:rPr>
          <w:rFonts w:ascii="Arial" w:hAnsi="Arial" w:cs="Arial"/>
          <w:b/>
          <w:sz w:val="22"/>
          <w:szCs w:val="22"/>
        </w:rPr>
        <w:t xml:space="preserve"> s</w:t>
      </w:r>
      <w:r w:rsidR="008B1BE7">
        <w:rPr>
          <w:rFonts w:ascii="Arial" w:hAnsi="Arial" w:cs="Arial"/>
          <w:b/>
          <w:sz w:val="22"/>
          <w:szCs w:val="22"/>
        </w:rPr>
        <w:t> účetní regulací</w:t>
      </w:r>
      <w:r w:rsidR="00546F1B">
        <w:rPr>
          <w:rFonts w:ascii="Arial" w:hAnsi="Arial" w:cs="Arial"/>
          <w:b/>
          <w:sz w:val="22"/>
          <w:szCs w:val="22"/>
        </w:rPr>
        <w:t xml:space="preserve"> </w:t>
      </w:r>
      <w:r w:rsidR="00546F1B">
        <w:rPr>
          <w:rFonts w:ascii="Arial" w:hAnsi="Arial" w:cs="Arial"/>
          <w:b/>
          <w:sz w:val="22"/>
          <w:szCs w:val="22"/>
        </w:rPr>
        <w:tab/>
      </w:r>
      <w:r>
        <w:rPr>
          <w:rFonts w:ascii="Arial" w:hAnsi="Arial" w:cs="Arial"/>
          <w:b/>
          <w:sz w:val="22"/>
          <w:szCs w:val="22"/>
        </w:rPr>
        <w:t>(v Kč)</w:t>
      </w:r>
    </w:p>
    <w:tbl>
      <w:tblPr>
        <w:tblW w:w="0" w:type="auto"/>
        <w:tblInd w:w="40" w:type="dxa"/>
        <w:tblCellMar>
          <w:left w:w="70" w:type="dxa"/>
          <w:right w:w="70" w:type="dxa"/>
        </w:tblCellMar>
        <w:tblLook w:val="0000" w:firstRow="0" w:lastRow="0" w:firstColumn="0" w:lastColumn="0" w:noHBand="0" w:noVBand="0"/>
      </w:tblPr>
      <w:tblGrid>
        <w:gridCol w:w="1308"/>
        <w:gridCol w:w="1230"/>
        <w:gridCol w:w="1230"/>
        <w:gridCol w:w="1308"/>
        <w:gridCol w:w="1230"/>
        <w:gridCol w:w="1230"/>
        <w:gridCol w:w="1566"/>
      </w:tblGrid>
      <w:tr w:rsidR="00E00DF2" w:rsidRPr="008100D3" w14:paraId="00D91787" w14:textId="77777777" w:rsidTr="00260B0C">
        <w:trPr>
          <w:trHeight w:val="234"/>
        </w:trPr>
        <w:tc>
          <w:tcPr>
            <w:tcW w:w="0" w:type="auto"/>
            <w:gridSpan w:val="2"/>
            <w:tcBorders>
              <w:top w:val="single" w:sz="12" w:space="0" w:color="auto"/>
              <w:left w:val="single" w:sz="12" w:space="0" w:color="auto"/>
              <w:bottom w:val="single" w:sz="6" w:space="0" w:color="auto"/>
              <w:right w:val="nil"/>
            </w:tcBorders>
            <w:shd w:val="clear" w:color="auto" w:fill="C6D9F1" w:themeFill="text2" w:themeFillTint="33"/>
            <w:vAlign w:val="center"/>
          </w:tcPr>
          <w:p w14:paraId="00D91782"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Část PAP I</w:t>
            </w:r>
          </w:p>
        </w:tc>
        <w:tc>
          <w:tcPr>
            <w:tcW w:w="0" w:type="auto"/>
            <w:tcBorders>
              <w:top w:val="single" w:sz="12" w:space="0" w:color="auto"/>
              <w:left w:val="single" w:sz="12" w:space="0" w:color="auto"/>
              <w:bottom w:val="single" w:sz="6" w:space="0" w:color="auto"/>
              <w:right w:val="nil"/>
            </w:tcBorders>
            <w:shd w:val="clear" w:color="auto" w:fill="C6D9F1" w:themeFill="text2" w:themeFillTint="33"/>
            <w:vAlign w:val="center"/>
          </w:tcPr>
          <w:p w14:paraId="00D91783"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Část PAP VIII</w:t>
            </w:r>
          </w:p>
        </w:tc>
        <w:tc>
          <w:tcPr>
            <w:tcW w:w="0" w:type="auto"/>
            <w:gridSpan w:val="2"/>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84"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Část PAP X</w:t>
            </w:r>
          </w:p>
        </w:tc>
        <w:tc>
          <w:tcPr>
            <w:tcW w:w="0" w:type="auto"/>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85"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Část PAP XIII</w:t>
            </w:r>
          </w:p>
        </w:tc>
        <w:tc>
          <w:tcPr>
            <w:tcW w:w="1566" w:type="dxa"/>
            <w:vMerge w:val="restart"/>
            <w:tcBorders>
              <w:top w:val="single" w:sz="12" w:space="0" w:color="auto"/>
              <w:left w:val="single" w:sz="12" w:space="0" w:color="auto"/>
              <w:right w:val="single" w:sz="12" w:space="0" w:color="auto"/>
            </w:tcBorders>
            <w:shd w:val="clear" w:color="auto" w:fill="C6D9F1" w:themeFill="text2" w:themeFillTint="33"/>
            <w:vAlign w:val="center"/>
          </w:tcPr>
          <w:p w14:paraId="00D91786"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Celkový součet</w:t>
            </w:r>
          </w:p>
        </w:tc>
      </w:tr>
      <w:tr w:rsidR="00E00DF2" w:rsidRPr="008100D3" w14:paraId="00D91795" w14:textId="77777777" w:rsidTr="00260B0C">
        <w:trPr>
          <w:trHeight w:val="267"/>
        </w:trPr>
        <w:tc>
          <w:tcPr>
            <w:tcW w:w="0" w:type="auto"/>
            <w:tcBorders>
              <w:top w:val="single" w:sz="6" w:space="0" w:color="auto"/>
              <w:left w:val="single" w:sz="12" w:space="0" w:color="auto"/>
              <w:bottom w:val="single" w:sz="12" w:space="0" w:color="auto"/>
              <w:right w:val="single" w:sz="6" w:space="0" w:color="auto"/>
            </w:tcBorders>
            <w:shd w:val="clear" w:color="auto" w:fill="C6D9F1" w:themeFill="text2" w:themeFillTint="33"/>
            <w:vAlign w:val="center"/>
          </w:tcPr>
          <w:p w14:paraId="00D91788" w14:textId="77777777" w:rsidR="00E00DF2" w:rsidRPr="00E03926" w:rsidRDefault="0021320A" w:rsidP="00260B0C">
            <w:pPr>
              <w:autoSpaceDE w:val="0"/>
              <w:autoSpaceDN w:val="0"/>
              <w:adjustRightInd w:val="0"/>
              <w:spacing w:before="20"/>
              <w:jc w:val="center"/>
              <w:rPr>
                <w:rFonts w:ascii="Arial" w:eastAsiaTheme="minorHAnsi" w:hAnsi="Arial" w:cs="Arial"/>
                <w:b/>
                <w:bCs/>
                <w:color w:val="000000"/>
                <w:sz w:val="16"/>
                <w:szCs w:val="16"/>
              </w:rPr>
            </w:pPr>
            <w:r>
              <w:rPr>
                <w:rFonts w:ascii="Arial" w:eastAsiaTheme="minorHAnsi" w:hAnsi="Arial" w:cs="Arial"/>
                <w:b/>
                <w:bCs/>
                <w:color w:val="000000"/>
                <w:sz w:val="16"/>
                <w:szCs w:val="16"/>
              </w:rPr>
              <w:t>Ú</w:t>
            </w:r>
            <w:r w:rsidR="00E00DF2" w:rsidRPr="00E03926">
              <w:rPr>
                <w:rFonts w:ascii="Arial" w:eastAsiaTheme="minorHAnsi" w:hAnsi="Arial" w:cs="Arial"/>
                <w:b/>
                <w:bCs/>
                <w:color w:val="000000"/>
                <w:sz w:val="16"/>
                <w:szCs w:val="16"/>
              </w:rPr>
              <w:t xml:space="preserve">čet 061 </w:t>
            </w:r>
          </w:p>
          <w:p w14:paraId="00D91789" w14:textId="77777777" w:rsidR="00E00DF2" w:rsidRPr="00E03926" w:rsidRDefault="00E00DF2" w:rsidP="00260B0C">
            <w:pPr>
              <w:autoSpaceDE w:val="0"/>
              <w:autoSpaceDN w:val="0"/>
              <w:adjustRightInd w:val="0"/>
              <w:spacing w:before="2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w:t>
            </w:r>
          </w:p>
          <w:p w14:paraId="00D9178A" w14:textId="77777777" w:rsidR="00E00DF2" w:rsidRPr="00E03926" w:rsidRDefault="00E00DF2" w:rsidP="00260B0C">
            <w:pPr>
              <w:autoSpaceDE w:val="0"/>
              <w:autoSpaceDN w:val="0"/>
              <w:adjustRightInd w:val="0"/>
              <w:spacing w:before="2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AČ k účtu 061</w:t>
            </w:r>
          </w:p>
        </w:tc>
        <w:tc>
          <w:tcPr>
            <w:tcW w:w="0" w:type="auto"/>
            <w:tcBorders>
              <w:top w:val="single" w:sz="6" w:space="0" w:color="auto"/>
              <w:left w:val="single" w:sz="6" w:space="0" w:color="auto"/>
              <w:bottom w:val="single" w:sz="12" w:space="0" w:color="auto"/>
              <w:right w:val="single" w:sz="6" w:space="0" w:color="auto"/>
            </w:tcBorders>
            <w:shd w:val="clear" w:color="auto" w:fill="C6D9F1" w:themeFill="text2" w:themeFillTint="33"/>
            <w:vAlign w:val="center"/>
          </w:tcPr>
          <w:p w14:paraId="00D9178B" w14:textId="77777777" w:rsidR="00E00DF2" w:rsidRPr="00E03926" w:rsidRDefault="0021320A" w:rsidP="00260B0C">
            <w:pPr>
              <w:autoSpaceDE w:val="0"/>
              <w:autoSpaceDN w:val="0"/>
              <w:adjustRightInd w:val="0"/>
              <w:spacing w:before="20"/>
              <w:jc w:val="center"/>
              <w:rPr>
                <w:rFonts w:ascii="Arial" w:eastAsiaTheme="minorHAnsi" w:hAnsi="Arial" w:cs="Arial"/>
                <w:b/>
                <w:bCs/>
                <w:color w:val="000000"/>
                <w:sz w:val="16"/>
                <w:szCs w:val="16"/>
              </w:rPr>
            </w:pPr>
            <w:r>
              <w:rPr>
                <w:rFonts w:ascii="Arial" w:eastAsiaTheme="minorHAnsi" w:hAnsi="Arial" w:cs="Arial"/>
                <w:b/>
                <w:bCs/>
                <w:color w:val="000000"/>
                <w:sz w:val="16"/>
                <w:szCs w:val="16"/>
              </w:rPr>
              <w:t>Ú</w:t>
            </w:r>
            <w:r w:rsidR="00E00DF2" w:rsidRPr="00E03926">
              <w:rPr>
                <w:rFonts w:ascii="Arial" w:eastAsiaTheme="minorHAnsi" w:hAnsi="Arial" w:cs="Arial"/>
                <w:b/>
                <w:bCs/>
                <w:color w:val="000000"/>
                <w:sz w:val="16"/>
                <w:szCs w:val="16"/>
              </w:rPr>
              <w:t xml:space="preserve">čet 062 </w:t>
            </w:r>
          </w:p>
          <w:p w14:paraId="00D9178C" w14:textId="77777777" w:rsidR="00E00DF2" w:rsidRPr="00E03926" w:rsidRDefault="00E00DF2" w:rsidP="00260B0C">
            <w:pPr>
              <w:autoSpaceDE w:val="0"/>
              <w:autoSpaceDN w:val="0"/>
              <w:adjustRightInd w:val="0"/>
              <w:spacing w:before="2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w:t>
            </w:r>
          </w:p>
          <w:p w14:paraId="00D9178D" w14:textId="77777777" w:rsidR="00E00DF2" w:rsidRPr="00E03926" w:rsidRDefault="00E00DF2" w:rsidP="00260B0C">
            <w:pPr>
              <w:autoSpaceDE w:val="0"/>
              <w:autoSpaceDN w:val="0"/>
              <w:adjustRightInd w:val="0"/>
              <w:spacing w:before="2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AČ k účtu 062</w:t>
            </w:r>
          </w:p>
        </w:tc>
        <w:tc>
          <w:tcPr>
            <w:tcW w:w="0" w:type="auto"/>
            <w:tcBorders>
              <w:top w:val="single" w:sz="6" w:space="0" w:color="auto"/>
              <w:left w:val="single" w:sz="12" w:space="0" w:color="auto"/>
              <w:bottom w:val="single" w:sz="12" w:space="0" w:color="auto"/>
              <w:right w:val="single" w:sz="6" w:space="0" w:color="auto"/>
            </w:tcBorders>
            <w:shd w:val="clear" w:color="auto" w:fill="C6D9F1" w:themeFill="text2" w:themeFillTint="33"/>
            <w:vAlign w:val="center"/>
          </w:tcPr>
          <w:p w14:paraId="00D9178E" w14:textId="77777777" w:rsidR="00E00DF2" w:rsidRPr="00E03926" w:rsidRDefault="0021320A" w:rsidP="00260B0C">
            <w:pPr>
              <w:autoSpaceDE w:val="0"/>
              <w:autoSpaceDN w:val="0"/>
              <w:adjustRightInd w:val="0"/>
              <w:spacing w:before="20"/>
              <w:jc w:val="center"/>
              <w:rPr>
                <w:rFonts w:ascii="Arial" w:eastAsiaTheme="minorHAnsi" w:hAnsi="Arial" w:cs="Arial"/>
                <w:b/>
                <w:bCs/>
                <w:color w:val="000000"/>
                <w:sz w:val="16"/>
                <w:szCs w:val="16"/>
              </w:rPr>
            </w:pPr>
            <w:r>
              <w:rPr>
                <w:rFonts w:ascii="Arial" w:eastAsiaTheme="minorHAnsi" w:hAnsi="Arial" w:cs="Arial"/>
                <w:b/>
                <w:bCs/>
                <w:color w:val="000000"/>
                <w:sz w:val="16"/>
                <w:szCs w:val="16"/>
              </w:rPr>
              <w:t>Ú</w:t>
            </w:r>
            <w:r w:rsidR="00E00DF2" w:rsidRPr="00E03926">
              <w:rPr>
                <w:rFonts w:ascii="Arial" w:eastAsiaTheme="minorHAnsi" w:hAnsi="Arial" w:cs="Arial"/>
                <w:b/>
                <w:bCs/>
                <w:color w:val="000000"/>
                <w:sz w:val="16"/>
                <w:szCs w:val="16"/>
              </w:rPr>
              <w:t xml:space="preserve">čet 061 </w:t>
            </w:r>
          </w:p>
          <w:p w14:paraId="00D9178F" w14:textId="77777777" w:rsidR="00E00DF2" w:rsidRPr="00E03926" w:rsidRDefault="00E00DF2" w:rsidP="00260B0C">
            <w:pPr>
              <w:autoSpaceDE w:val="0"/>
              <w:autoSpaceDN w:val="0"/>
              <w:adjustRightInd w:val="0"/>
              <w:spacing w:before="2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w:t>
            </w:r>
          </w:p>
          <w:p w14:paraId="00D91790" w14:textId="77777777" w:rsidR="00E00DF2" w:rsidRPr="00E03926" w:rsidRDefault="00E00DF2" w:rsidP="00260B0C">
            <w:pPr>
              <w:autoSpaceDE w:val="0"/>
              <w:autoSpaceDN w:val="0"/>
              <w:adjustRightInd w:val="0"/>
              <w:spacing w:before="2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AČ k účtu 061</w:t>
            </w:r>
          </w:p>
        </w:tc>
        <w:tc>
          <w:tcPr>
            <w:tcW w:w="0" w:type="auto"/>
            <w:tcBorders>
              <w:top w:val="single" w:sz="6" w:space="0" w:color="auto"/>
              <w:left w:val="single" w:sz="12" w:space="0" w:color="auto"/>
              <w:bottom w:val="single" w:sz="12" w:space="0" w:color="auto"/>
              <w:right w:val="single" w:sz="6" w:space="0" w:color="auto"/>
            </w:tcBorders>
            <w:shd w:val="clear" w:color="auto" w:fill="C6D9F1" w:themeFill="text2" w:themeFillTint="33"/>
            <w:vAlign w:val="center"/>
          </w:tcPr>
          <w:p w14:paraId="00D91791"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AČ k účtu 061</w:t>
            </w:r>
          </w:p>
        </w:tc>
        <w:tc>
          <w:tcPr>
            <w:tcW w:w="0" w:type="auto"/>
            <w:tcBorders>
              <w:top w:val="single" w:sz="6" w:space="0" w:color="auto"/>
              <w:left w:val="single" w:sz="6" w:space="0" w:color="auto"/>
              <w:bottom w:val="single" w:sz="12" w:space="0" w:color="auto"/>
              <w:right w:val="single" w:sz="12" w:space="0" w:color="auto"/>
            </w:tcBorders>
            <w:shd w:val="clear" w:color="auto" w:fill="C6D9F1" w:themeFill="text2" w:themeFillTint="33"/>
            <w:vAlign w:val="center"/>
          </w:tcPr>
          <w:p w14:paraId="00D91792"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AČ k účtu 062</w:t>
            </w:r>
          </w:p>
        </w:tc>
        <w:tc>
          <w:tcPr>
            <w:tcW w:w="0" w:type="auto"/>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93"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r w:rsidRPr="00E03926">
              <w:rPr>
                <w:rFonts w:ascii="Arial" w:eastAsiaTheme="minorHAnsi" w:hAnsi="Arial" w:cs="Arial"/>
                <w:b/>
                <w:bCs/>
                <w:color w:val="000000"/>
                <w:sz w:val="16"/>
                <w:szCs w:val="16"/>
              </w:rPr>
              <w:t>AČ k účtu 062</w:t>
            </w:r>
          </w:p>
        </w:tc>
        <w:tc>
          <w:tcPr>
            <w:tcW w:w="1566" w:type="dxa"/>
            <w:vMerge/>
            <w:tcBorders>
              <w:left w:val="single" w:sz="12" w:space="0" w:color="auto"/>
              <w:bottom w:val="single" w:sz="12" w:space="0" w:color="auto"/>
              <w:right w:val="single" w:sz="12" w:space="0" w:color="auto"/>
            </w:tcBorders>
            <w:shd w:val="clear" w:color="auto" w:fill="C6D9F1" w:themeFill="text2" w:themeFillTint="33"/>
          </w:tcPr>
          <w:p w14:paraId="00D91794" w14:textId="77777777" w:rsidR="00E00DF2" w:rsidRPr="00E03926" w:rsidRDefault="00E00DF2" w:rsidP="007C7817">
            <w:pPr>
              <w:autoSpaceDE w:val="0"/>
              <w:autoSpaceDN w:val="0"/>
              <w:adjustRightInd w:val="0"/>
              <w:jc w:val="center"/>
              <w:rPr>
                <w:rFonts w:ascii="Arial" w:eastAsiaTheme="minorHAnsi" w:hAnsi="Arial" w:cs="Arial"/>
                <w:b/>
                <w:bCs/>
                <w:color w:val="000000"/>
                <w:sz w:val="16"/>
                <w:szCs w:val="16"/>
              </w:rPr>
            </w:pPr>
          </w:p>
        </w:tc>
      </w:tr>
      <w:tr w:rsidR="00E00DF2" w:rsidRPr="00E03926" w14:paraId="00D9179D" w14:textId="77777777" w:rsidTr="00E03926">
        <w:trPr>
          <w:trHeight w:val="256"/>
        </w:trPr>
        <w:tc>
          <w:tcPr>
            <w:tcW w:w="0" w:type="auto"/>
            <w:tcBorders>
              <w:top w:val="nil"/>
              <w:left w:val="single" w:sz="12" w:space="0" w:color="auto"/>
              <w:bottom w:val="single" w:sz="12" w:space="0" w:color="auto"/>
              <w:right w:val="single" w:sz="6" w:space="0" w:color="auto"/>
            </w:tcBorders>
            <w:vAlign w:val="center"/>
          </w:tcPr>
          <w:p w14:paraId="00D91796" w14:textId="77777777" w:rsidR="00E00DF2" w:rsidRPr="00E03926" w:rsidRDefault="00E00DF2" w:rsidP="007C7817">
            <w:pPr>
              <w:autoSpaceDE w:val="0"/>
              <w:autoSpaceDN w:val="0"/>
              <w:adjustRightInd w:val="0"/>
              <w:jc w:val="right"/>
              <w:rPr>
                <w:rFonts w:ascii="Arial" w:eastAsiaTheme="minorHAnsi" w:hAnsi="Arial" w:cs="Arial"/>
                <w:color w:val="000000"/>
                <w:sz w:val="14"/>
                <w:szCs w:val="14"/>
              </w:rPr>
            </w:pPr>
            <w:r w:rsidRPr="00E03926">
              <w:rPr>
                <w:rFonts w:ascii="Arial" w:eastAsiaTheme="minorHAnsi" w:hAnsi="Arial" w:cs="Arial"/>
                <w:color w:val="000000"/>
                <w:sz w:val="14"/>
                <w:szCs w:val="14"/>
              </w:rPr>
              <w:t>52 710 375 429,76</w:t>
            </w:r>
          </w:p>
        </w:tc>
        <w:tc>
          <w:tcPr>
            <w:tcW w:w="0" w:type="auto"/>
            <w:tcBorders>
              <w:top w:val="nil"/>
              <w:left w:val="single" w:sz="6" w:space="0" w:color="auto"/>
              <w:bottom w:val="single" w:sz="12" w:space="0" w:color="auto"/>
              <w:right w:val="single" w:sz="6" w:space="0" w:color="auto"/>
            </w:tcBorders>
            <w:vAlign w:val="center"/>
          </w:tcPr>
          <w:p w14:paraId="00D91797" w14:textId="77777777" w:rsidR="00E00DF2" w:rsidRPr="00E03926" w:rsidRDefault="00E00DF2" w:rsidP="007C7817">
            <w:pPr>
              <w:autoSpaceDE w:val="0"/>
              <w:autoSpaceDN w:val="0"/>
              <w:adjustRightInd w:val="0"/>
              <w:jc w:val="right"/>
              <w:rPr>
                <w:rFonts w:ascii="Arial" w:eastAsiaTheme="minorHAnsi" w:hAnsi="Arial" w:cs="Arial"/>
                <w:color w:val="000000"/>
                <w:sz w:val="14"/>
                <w:szCs w:val="14"/>
              </w:rPr>
            </w:pPr>
            <w:r w:rsidRPr="00E03926">
              <w:rPr>
                <w:rFonts w:ascii="Arial" w:eastAsiaTheme="minorHAnsi" w:hAnsi="Arial" w:cs="Arial"/>
                <w:color w:val="000000"/>
                <w:sz w:val="14"/>
                <w:szCs w:val="14"/>
              </w:rPr>
              <w:t>6 511 875 776,40</w:t>
            </w:r>
          </w:p>
        </w:tc>
        <w:tc>
          <w:tcPr>
            <w:tcW w:w="0" w:type="auto"/>
            <w:tcBorders>
              <w:top w:val="nil"/>
              <w:left w:val="single" w:sz="12" w:space="0" w:color="auto"/>
              <w:bottom w:val="single" w:sz="12" w:space="0" w:color="auto"/>
              <w:right w:val="single" w:sz="6" w:space="0" w:color="auto"/>
            </w:tcBorders>
            <w:vAlign w:val="center"/>
          </w:tcPr>
          <w:p w14:paraId="00D91798" w14:textId="77777777" w:rsidR="00E00DF2" w:rsidRPr="00E03926" w:rsidRDefault="00E00DF2" w:rsidP="007C7817">
            <w:pPr>
              <w:autoSpaceDE w:val="0"/>
              <w:autoSpaceDN w:val="0"/>
              <w:adjustRightInd w:val="0"/>
              <w:jc w:val="right"/>
              <w:rPr>
                <w:rFonts w:ascii="Arial" w:eastAsiaTheme="minorHAnsi" w:hAnsi="Arial" w:cs="Arial"/>
                <w:color w:val="000000"/>
                <w:sz w:val="14"/>
                <w:szCs w:val="14"/>
              </w:rPr>
            </w:pPr>
            <w:r w:rsidRPr="00E03926">
              <w:rPr>
                <w:rFonts w:ascii="Arial" w:eastAsiaTheme="minorHAnsi" w:hAnsi="Arial" w:cs="Arial"/>
                <w:color w:val="000000"/>
                <w:sz w:val="14"/>
                <w:szCs w:val="14"/>
              </w:rPr>
              <w:t>3 160 464 800,00</w:t>
            </w:r>
          </w:p>
        </w:tc>
        <w:tc>
          <w:tcPr>
            <w:tcW w:w="0" w:type="auto"/>
            <w:tcBorders>
              <w:top w:val="nil"/>
              <w:left w:val="single" w:sz="12" w:space="0" w:color="auto"/>
              <w:bottom w:val="single" w:sz="12" w:space="0" w:color="auto"/>
              <w:right w:val="single" w:sz="6" w:space="0" w:color="auto"/>
            </w:tcBorders>
            <w:vAlign w:val="center"/>
          </w:tcPr>
          <w:p w14:paraId="00D91799" w14:textId="77777777" w:rsidR="00E00DF2" w:rsidRPr="00E03926" w:rsidRDefault="00E00DF2" w:rsidP="007C7817">
            <w:pPr>
              <w:autoSpaceDE w:val="0"/>
              <w:autoSpaceDN w:val="0"/>
              <w:adjustRightInd w:val="0"/>
              <w:jc w:val="right"/>
              <w:rPr>
                <w:rFonts w:ascii="Arial" w:eastAsiaTheme="minorHAnsi" w:hAnsi="Arial" w:cs="Arial"/>
                <w:color w:val="000000"/>
                <w:sz w:val="14"/>
                <w:szCs w:val="14"/>
              </w:rPr>
            </w:pPr>
            <w:r w:rsidRPr="00E03926">
              <w:rPr>
                <w:rFonts w:ascii="Arial" w:eastAsiaTheme="minorHAnsi" w:hAnsi="Arial" w:cs="Arial"/>
                <w:color w:val="000000"/>
                <w:sz w:val="14"/>
                <w:szCs w:val="14"/>
              </w:rPr>
              <w:t>26 355 187 714,88</w:t>
            </w:r>
          </w:p>
        </w:tc>
        <w:tc>
          <w:tcPr>
            <w:tcW w:w="0" w:type="auto"/>
            <w:tcBorders>
              <w:top w:val="nil"/>
              <w:left w:val="single" w:sz="6" w:space="0" w:color="auto"/>
              <w:bottom w:val="single" w:sz="12" w:space="0" w:color="auto"/>
              <w:right w:val="single" w:sz="12" w:space="0" w:color="auto"/>
            </w:tcBorders>
            <w:vAlign w:val="center"/>
          </w:tcPr>
          <w:p w14:paraId="00D9179A" w14:textId="77777777" w:rsidR="00E00DF2" w:rsidRPr="00E03926" w:rsidRDefault="00E00DF2" w:rsidP="007C7817">
            <w:pPr>
              <w:autoSpaceDE w:val="0"/>
              <w:autoSpaceDN w:val="0"/>
              <w:adjustRightInd w:val="0"/>
              <w:jc w:val="right"/>
              <w:rPr>
                <w:rFonts w:ascii="Arial" w:eastAsiaTheme="minorHAnsi" w:hAnsi="Arial" w:cs="Arial"/>
                <w:color w:val="000000"/>
                <w:sz w:val="14"/>
                <w:szCs w:val="14"/>
              </w:rPr>
            </w:pPr>
            <w:r w:rsidRPr="00E03926">
              <w:rPr>
                <w:rFonts w:ascii="Arial" w:eastAsiaTheme="minorHAnsi" w:hAnsi="Arial" w:cs="Arial"/>
                <w:color w:val="000000"/>
                <w:sz w:val="14"/>
                <w:szCs w:val="14"/>
              </w:rPr>
              <w:t>3 255 937 888,20</w:t>
            </w:r>
          </w:p>
        </w:tc>
        <w:tc>
          <w:tcPr>
            <w:tcW w:w="0" w:type="auto"/>
            <w:tcBorders>
              <w:top w:val="nil"/>
              <w:left w:val="single" w:sz="12" w:space="0" w:color="auto"/>
              <w:bottom w:val="single" w:sz="12" w:space="0" w:color="auto"/>
              <w:right w:val="single" w:sz="12" w:space="0" w:color="auto"/>
            </w:tcBorders>
            <w:vAlign w:val="center"/>
          </w:tcPr>
          <w:p w14:paraId="00D9179B" w14:textId="77777777" w:rsidR="00E00DF2" w:rsidRPr="00E03926" w:rsidRDefault="00E00DF2" w:rsidP="007C7817">
            <w:pPr>
              <w:autoSpaceDE w:val="0"/>
              <w:autoSpaceDN w:val="0"/>
              <w:adjustRightInd w:val="0"/>
              <w:jc w:val="right"/>
              <w:rPr>
                <w:rFonts w:ascii="Arial" w:eastAsiaTheme="minorHAnsi" w:hAnsi="Arial" w:cs="Arial"/>
                <w:color w:val="000000"/>
                <w:sz w:val="14"/>
                <w:szCs w:val="14"/>
              </w:rPr>
            </w:pPr>
            <w:r w:rsidRPr="00E03926">
              <w:rPr>
                <w:rFonts w:ascii="Arial" w:eastAsiaTheme="minorHAnsi" w:hAnsi="Arial" w:cs="Arial"/>
                <w:color w:val="000000"/>
                <w:sz w:val="14"/>
                <w:szCs w:val="14"/>
              </w:rPr>
              <w:t>1 580 232 400,00</w:t>
            </w:r>
          </w:p>
        </w:tc>
        <w:tc>
          <w:tcPr>
            <w:tcW w:w="1566" w:type="dxa"/>
            <w:tcBorders>
              <w:top w:val="nil"/>
              <w:left w:val="nil"/>
              <w:bottom w:val="single" w:sz="12" w:space="0" w:color="auto"/>
              <w:right w:val="single" w:sz="12" w:space="0" w:color="auto"/>
            </w:tcBorders>
            <w:vAlign w:val="center"/>
          </w:tcPr>
          <w:p w14:paraId="00D9179C" w14:textId="77777777" w:rsidR="00E00DF2" w:rsidRPr="00E03926" w:rsidRDefault="00E00DF2" w:rsidP="007C7817">
            <w:pPr>
              <w:autoSpaceDE w:val="0"/>
              <w:autoSpaceDN w:val="0"/>
              <w:adjustRightInd w:val="0"/>
              <w:jc w:val="right"/>
              <w:rPr>
                <w:rFonts w:ascii="Arial" w:eastAsiaTheme="minorHAnsi" w:hAnsi="Arial" w:cs="Arial"/>
                <w:b/>
                <w:bCs/>
                <w:color w:val="000000"/>
                <w:sz w:val="14"/>
                <w:szCs w:val="14"/>
              </w:rPr>
            </w:pPr>
            <w:r w:rsidRPr="00E03926">
              <w:rPr>
                <w:rFonts w:ascii="Arial" w:eastAsiaTheme="minorHAnsi" w:hAnsi="Arial" w:cs="Arial"/>
                <w:b/>
                <w:bCs/>
                <w:color w:val="000000"/>
                <w:sz w:val="14"/>
                <w:szCs w:val="14"/>
              </w:rPr>
              <w:t>93 574 074 009,24</w:t>
            </w:r>
          </w:p>
        </w:tc>
      </w:tr>
    </w:tbl>
    <w:p w14:paraId="00D9179E" w14:textId="77777777" w:rsidR="00E00DF2" w:rsidRDefault="00E00DF2" w:rsidP="00546F1B">
      <w:pPr>
        <w:pStyle w:val="Odstavecseseznamem"/>
        <w:tabs>
          <w:tab w:val="left" w:pos="720"/>
        </w:tabs>
        <w:autoSpaceDE w:val="0"/>
        <w:autoSpaceDN w:val="0"/>
        <w:adjustRightInd w:val="0"/>
        <w:spacing w:before="20"/>
        <w:ind w:left="0"/>
        <w:jc w:val="both"/>
        <w:rPr>
          <w:rFonts w:ascii="Arial" w:hAnsi="Arial" w:cs="Arial"/>
          <w:sz w:val="18"/>
          <w:szCs w:val="18"/>
        </w:rPr>
      </w:pPr>
      <w:r w:rsidRPr="00260B0C">
        <w:rPr>
          <w:rFonts w:ascii="Arial" w:hAnsi="Arial" w:cs="Arial"/>
          <w:b/>
          <w:sz w:val="18"/>
          <w:szCs w:val="18"/>
        </w:rPr>
        <w:t>Pozn</w:t>
      </w:r>
      <w:r w:rsidR="0021320A">
        <w:rPr>
          <w:rFonts w:ascii="Arial" w:hAnsi="Arial" w:cs="Arial"/>
          <w:b/>
          <w:sz w:val="18"/>
          <w:szCs w:val="18"/>
        </w:rPr>
        <w:t>ámka</w:t>
      </w:r>
      <w:r w:rsidRPr="00260B0C">
        <w:rPr>
          <w:rFonts w:ascii="Arial" w:hAnsi="Arial" w:cs="Arial"/>
          <w:b/>
          <w:sz w:val="18"/>
          <w:szCs w:val="18"/>
        </w:rPr>
        <w:t xml:space="preserve"> k částkám u jednotlivých částí PAP:</w:t>
      </w:r>
      <w:r>
        <w:rPr>
          <w:rFonts w:ascii="Arial" w:hAnsi="Arial" w:cs="Arial"/>
          <w:sz w:val="18"/>
          <w:szCs w:val="18"/>
        </w:rPr>
        <w:t xml:space="preserve"> </w:t>
      </w:r>
      <w:r w:rsidR="0021320A">
        <w:rPr>
          <w:rFonts w:ascii="Arial" w:hAnsi="Arial" w:cs="Arial"/>
          <w:sz w:val="18"/>
          <w:szCs w:val="18"/>
        </w:rPr>
        <w:t>V</w:t>
      </w:r>
      <w:r>
        <w:rPr>
          <w:rFonts w:ascii="Arial" w:hAnsi="Arial" w:cs="Arial"/>
          <w:sz w:val="18"/>
          <w:szCs w:val="18"/>
        </w:rPr>
        <w:t> souladu s konstrukcí PAP se v případě rozvahových účtů uvád</w:t>
      </w:r>
      <w:r w:rsidR="00500153">
        <w:rPr>
          <w:rFonts w:ascii="Arial" w:hAnsi="Arial" w:cs="Arial"/>
          <w:sz w:val="18"/>
          <w:szCs w:val="18"/>
        </w:rPr>
        <w:t>ějí</w:t>
      </w:r>
      <w:r>
        <w:rPr>
          <w:rFonts w:ascii="Arial" w:hAnsi="Arial" w:cs="Arial"/>
          <w:sz w:val="18"/>
          <w:szCs w:val="18"/>
        </w:rPr>
        <w:t xml:space="preserve"> všechny v účetnictví vedené údaje, tj. PS, </w:t>
      </w:r>
      <w:r w:rsidR="00500153">
        <w:rPr>
          <w:rFonts w:ascii="Arial" w:hAnsi="Arial" w:cs="Arial"/>
          <w:sz w:val="18"/>
          <w:szCs w:val="18"/>
        </w:rPr>
        <w:t xml:space="preserve">KS a </w:t>
      </w:r>
      <w:r>
        <w:rPr>
          <w:rFonts w:ascii="Arial" w:hAnsi="Arial" w:cs="Arial"/>
          <w:sz w:val="18"/>
          <w:szCs w:val="18"/>
        </w:rPr>
        <w:t>obraty strany MD a D; v tabulce j</w:t>
      </w:r>
      <w:r w:rsidR="009809A0">
        <w:rPr>
          <w:rFonts w:ascii="Arial" w:hAnsi="Arial" w:cs="Arial"/>
          <w:sz w:val="18"/>
          <w:szCs w:val="18"/>
        </w:rPr>
        <w:t>e uveden součet těchto údajů, a </w:t>
      </w:r>
      <w:r>
        <w:rPr>
          <w:rFonts w:ascii="Arial" w:hAnsi="Arial" w:cs="Arial"/>
          <w:sz w:val="18"/>
          <w:szCs w:val="18"/>
        </w:rPr>
        <w:t>to za syntetické účty uváděné v PAP i za jejich analytická členění.</w:t>
      </w:r>
    </w:p>
    <w:p w14:paraId="00D9179F" w14:textId="77777777" w:rsidR="00E00DF2" w:rsidRPr="00260B0C" w:rsidRDefault="00E00DF2" w:rsidP="00E00DF2">
      <w:pPr>
        <w:pStyle w:val="Odstavecseseznamem"/>
        <w:tabs>
          <w:tab w:val="left" w:pos="720"/>
        </w:tabs>
        <w:autoSpaceDE w:val="0"/>
        <w:autoSpaceDN w:val="0"/>
        <w:adjustRightInd w:val="0"/>
        <w:ind w:left="0"/>
        <w:jc w:val="both"/>
        <w:rPr>
          <w:rFonts w:ascii="Arial" w:hAnsi="Arial" w:cs="Arial"/>
          <w:sz w:val="22"/>
          <w:szCs w:val="22"/>
        </w:rPr>
      </w:pPr>
    </w:p>
    <w:p w14:paraId="00D917A0" w14:textId="77777777" w:rsidR="00E00DF2" w:rsidRPr="005B58DC" w:rsidRDefault="00E00DF2" w:rsidP="00E00DF2">
      <w:pPr>
        <w:tabs>
          <w:tab w:val="left" w:pos="720"/>
        </w:tabs>
        <w:autoSpaceDE w:val="0"/>
        <w:autoSpaceDN w:val="0"/>
        <w:adjustRightInd w:val="0"/>
        <w:jc w:val="both"/>
        <w:rPr>
          <w:rFonts w:ascii="Arial" w:hAnsi="Arial" w:cs="Arial"/>
          <w:b/>
          <w:sz w:val="22"/>
          <w:szCs w:val="22"/>
        </w:rPr>
      </w:pPr>
      <w:r>
        <w:rPr>
          <w:rFonts w:ascii="Arial" w:hAnsi="Arial" w:cs="Arial"/>
          <w:b/>
          <w:sz w:val="22"/>
          <w:szCs w:val="22"/>
        </w:rPr>
        <w:t>4</w:t>
      </w:r>
      <w:r w:rsidR="00500153">
        <w:rPr>
          <w:rFonts w:ascii="Arial" w:hAnsi="Arial" w:cs="Arial"/>
          <w:b/>
          <w:sz w:val="22"/>
          <w:szCs w:val="22"/>
        </w:rPr>
        <w:t>.</w:t>
      </w:r>
      <w:r>
        <w:rPr>
          <w:rFonts w:ascii="Arial" w:hAnsi="Arial" w:cs="Arial"/>
          <w:b/>
          <w:sz w:val="22"/>
          <w:szCs w:val="22"/>
        </w:rPr>
        <w:t xml:space="preserve"> Nedostatky a další skutečnosti zjištěné v údajích PAP MPO k 31. prosinci 2012</w:t>
      </w:r>
    </w:p>
    <w:p w14:paraId="00D917A1" w14:textId="77777777" w:rsidR="00E00DF2" w:rsidRPr="00260B0C" w:rsidRDefault="00E00DF2" w:rsidP="00E00DF2">
      <w:pPr>
        <w:pStyle w:val="Odstavecseseznamem"/>
        <w:tabs>
          <w:tab w:val="left" w:pos="720"/>
        </w:tabs>
        <w:autoSpaceDE w:val="0"/>
        <w:autoSpaceDN w:val="0"/>
        <w:adjustRightInd w:val="0"/>
        <w:ind w:left="0"/>
        <w:jc w:val="both"/>
        <w:rPr>
          <w:rFonts w:ascii="Arial" w:hAnsi="Arial" w:cs="Arial"/>
          <w:sz w:val="22"/>
          <w:szCs w:val="22"/>
        </w:rPr>
      </w:pPr>
    </w:p>
    <w:p w14:paraId="00D917A2" w14:textId="77777777" w:rsidR="00E00DF2" w:rsidRDefault="00E00DF2" w:rsidP="00E00DF2">
      <w:pPr>
        <w:jc w:val="both"/>
        <w:rPr>
          <w:rFonts w:ascii="Arial" w:hAnsi="Arial" w:cs="Arial"/>
          <w:sz w:val="22"/>
          <w:szCs w:val="22"/>
        </w:rPr>
      </w:pPr>
      <w:r w:rsidRPr="002C7514">
        <w:rPr>
          <w:rFonts w:ascii="Arial" w:hAnsi="Arial" w:cs="Arial"/>
          <w:sz w:val="22"/>
          <w:szCs w:val="22"/>
        </w:rPr>
        <w:t xml:space="preserve">Při kontrole </w:t>
      </w:r>
      <w:r>
        <w:rPr>
          <w:rFonts w:ascii="Arial" w:hAnsi="Arial" w:cs="Arial"/>
          <w:sz w:val="22"/>
          <w:szCs w:val="22"/>
        </w:rPr>
        <w:t xml:space="preserve">údajů PAP </w:t>
      </w:r>
      <w:r w:rsidRPr="002C7514">
        <w:rPr>
          <w:rFonts w:ascii="Arial" w:hAnsi="Arial" w:cs="Arial"/>
          <w:sz w:val="22"/>
          <w:szCs w:val="22"/>
        </w:rPr>
        <w:t>byly zjištěny nesprávnost</w:t>
      </w:r>
      <w:r>
        <w:rPr>
          <w:rFonts w:ascii="Arial" w:hAnsi="Arial" w:cs="Arial"/>
          <w:sz w:val="22"/>
          <w:szCs w:val="22"/>
        </w:rPr>
        <w:t>i</w:t>
      </w:r>
      <w:r w:rsidRPr="002C7514">
        <w:rPr>
          <w:rFonts w:ascii="Arial" w:hAnsi="Arial" w:cs="Arial"/>
          <w:sz w:val="22"/>
          <w:szCs w:val="22"/>
        </w:rPr>
        <w:t xml:space="preserve"> vyplývající z</w:t>
      </w:r>
      <w:r w:rsidR="0013529F">
        <w:rPr>
          <w:rFonts w:ascii="Arial" w:hAnsi="Arial" w:cs="Arial"/>
          <w:sz w:val="22"/>
          <w:szCs w:val="22"/>
        </w:rPr>
        <w:t>:</w:t>
      </w:r>
    </w:p>
    <w:p w14:paraId="00D917A3" w14:textId="77777777" w:rsidR="00E00DF2" w:rsidRDefault="00E00DF2" w:rsidP="009809A0">
      <w:pPr>
        <w:pStyle w:val="Odstavecseseznamem"/>
        <w:numPr>
          <w:ilvl w:val="0"/>
          <w:numId w:val="42"/>
        </w:numPr>
        <w:ind w:left="284" w:hanging="284"/>
        <w:jc w:val="both"/>
        <w:rPr>
          <w:rFonts w:ascii="Arial" w:hAnsi="Arial" w:cs="Arial"/>
          <w:sz w:val="22"/>
          <w:szCs w:val="22"/>
        </w:rPr>
      </w:pPr>
      <w:r w:rsidRPr="009809A0">
        <w:rPr>
          <w:rFonts w:ascii="Arial" w:hAnsi="Arial" w:cs="Arial"/>
          <w:sz w:val="22"/>
          <w:szCs w:val="22"/>
        </w:rPr>
        <w:t xml:space="preserve">porušení účetní regulace, v jehož důsledku došlo </w:t>
      </w:r>
      <w:r w:rsidR="009F047D">
        <w:rPr>
          <w:rFonts w:ascii="Arial" w:hAnsi="Arial" w:cs="Arial"/>
          <w:sz w:val="22"/>
          <w:szCs w:val="22"/>
        </w:rPr>
        <w:t>k </w:t>
      </w:r>
      <w:r w:rsidRPr="009809A0">
        <w:rPr>
          <w:rFonts w:ascii="Arial" w:hAnsi="Arial" w:cs="Arial"/>
          <w:sz w:val="22"/>
          <w:szCs w:val="22"/>
        </w:rPr>
        <w:t>přenosu</w:t>
      </w:r>
      <w:r w:rsidR="009809A0">
        <w:rPr>
          <w:rFonts w:ascii="Arial" w:hAnsi="Arial" w:cs="Arial"/>
          <w:sz w:val="22"/>
          <w:szCs w:val="22"/>
        </w:rPr>
        <w:t xml:space="preserve"> nesprávného údaje z </w:t>
      </w:r>
      <w:r w:rsidRPr="009809A0">
        <w:rPr>
          <w:rFonts w:ascii="Arial" w:hAnsi="Arial" w:cs="Arial"/>
          <w:sz w:val="22"/>
          <w:szCs w:val="22"/>
        </w:rPr>
        <w:t>účetnictví do PAP (dále také „nesprávnosti přenesené do PAP z chyb vzniklých při vedení účetnictví“)</w:t>
      </w:r>
      <w:r w:rsidR="00525767">
        <w:rPr>
          <w:rFonts w:ascii="Arial" w:hAnsi="Arial" w:cs="Arial"/>
          <w:sz w:val="22"/>
          <w:szCs w:val="22"/>
        </w:rPr>
        <w:t>;</w:t>
      </w:r>
    </w:p>
    <w:p w14:paraId="00D917A4" w14:textId="77777777" w:rsidR="00A30487" w:rsidRDefault="00A30487" w:rsidP="00A30487">
      <w:pPr>
        <w:jc w:val="both"/>
        <w:rPr>
          <w:rFonts w:ascii="Arial" w:hAnsi="Arial" w:cs="Arial"/>
          <w:sz w:val="22"/>
          <w:szCs w:val="22"/>
        </w:rPr>
      </w:pPr>
    </w:p>
    <w:p w14:paraId="00D917A5" w14:textId="77777777" w:rsidR="00A30487" w:rsidRPr="00A30487" w:rsidRDefault="00A30487" w:rsidP="00A30487">
      <w:pPr>
        <w:jc w:val="both"/>
        <w:rPr>
          <w:rFonts w:ascii="Arial" w:hAnsi="Arial" w:cs="Arial"/>
          <w:sz w:val="22"/>
          <w:szCs w:val="22"/>
        </w:rPr>
      </w:pPr>
    </w:p>
    <w:p w14:paraId="00D917A6" w14:textId="77777777" w:rsidR="00F5002C" w:rsidRPr="00A30487" w:rsidRDefault="00E00DF2" w:rsidP="00260B0C">
      <w:pPr>
        <w:pStyle w:val="Odstavecseseznamem"/>
        <w:numPr>
          <w:ilvl w:val="0"/>
          <w:numId w:val="42"/>
        </w:numPr>
        <w:tabs>
          <w:tab w:val="right" w:pos="9072"/>
        </w:tabs>
        <w:ind w:left="284" w:hanging="284"/>
        <w:jc w:val="both"/>
        <w:rPr>
          <w:rFonts w:ascii="Arial" w:hAnsi="Arial" w:cs="Arial"/>
          <w:sz w:val="22"/>
          <w:szCs w:val="22"/>
        </w:rPr>
      </w:pPr>
      <w:r w:rsidRPr="009809A0">
        <w:rPr>
          <w:rFonts w:ascii="Arial" w:hAnsi="Arial" w:cs="Arial"/>
          <w:sz w:val="22"/>
          <w:szCs w:val="22"/>
        </w:rPr>
        <w:lastRenderedPageBreak/>
        <w:t>nesprávné</w:t>
      </w:r>
      <w:r w:rsidR="00F5002C" w:rsidRPr="009809A0">
        <w:rPr>
          <w:rFonts w:ascii="Arial" w:hAnsi="Arial" w:cs="Arial"/>
          <w:sz w:val="22"/>
          <w:szCs w:val="22"/>
        </w:rPr>
        <w:t>ho</w:t>
      </w:r>
      <w:r w:rsidRPr="009809A0">
        <w:rPr>
          <w:rFonts w:ascii="Arial" w:hAnsi="Arial" w:cs="Arial"/>
          <w:sz w:val="22"/>
          <w:szCs w:val="22"/>
        </w:rPr>
        <w:t xml:space="preserve"> zatřídění údajů</w:t>
      </w:r>
      <w:r w:rsidR="00F5002C" w:rsidRPr="009809A0">
        <w:rPr>
          <w:rFonts w:ascii="Arial" w:hAnsi="Arial" w:cs="Arial"/>
          <w:sz w:val="22"/>
          <w:szCs w:val="22"/>
        </w:rPr>
        <w:t xml:space="preserve"> </w:t>
      </w:r>
      <w:r w:rsidR="00525767">
        <w:rPr>
          <w:rFonts w:ascii="Arial" w:hAnsi="Arial" w:cs="Arial"/>
          <w:sz w:val="22"/>
          <w:szCs w:val="22"/>
        </w:rPr>
        <w:t>(</w:t>
      </w:r>
      <w:r w:rsidRPr="009809A0">
        <w:rPr>
          <w:rFonts w:ascii="Arial" w:hAnsi="Arial" w:cs="Arial"/>
          <w:sz w:val="22"/>
          <w:szCs w:val="22"/>
        </w:rPr>
        <w:t>přenesených z</w:t>
      </w:r>
      <w:r w:rsidR="00525767">
        <w:rPr>
          <w:rFonts w:ascii="Arial" w:hAnsi="Arial" w:cs="Arial"/>
          <w:sz w:val="22"/>
          <w:szCs w:val="22"/>
        </w:rPr>
        <w:t> </w:t>
      </w:r>
      <w:r w:rsidRPr="009809A0">
        <w:rPr>
          <w:rFonts w:ascii="Arial" w:hAnsi="Arial" w:cs="Arial"/>
          <w:sz w:val="22"/>
          <w:szCs w:val="22"/>
        </w:rPr>
        <w:t>účetnictví</w:t>
      </w:r>
      <w:r w:rsidR="00525767">
        <w:rPr>
          <w:rFonts w:ascii="Arial" w:hAnsi="Arial" w:cs="Arial"/>
          <w:sz w:val="22"/>
          <w:szCs w:val="22"/>
        </w:rPr>
        <w:t>)</w:t>
      </w:r>
      <w:r w:rsidRPr="009809A0">
        <w:rPr>
          <w:rFonts w:ascii="Arial" w:hAnsi="Arial" w:cs="Arial"/>
          <w:sz w:val="22"/>
          <w:szCs w:val="22"/>
        </w:rPr>
        <w:t xml:space="preserve"> na analytické členění</w:t>
      </w:r>
      <w:r w:rsidRPr="009809A0">
        <w:rPr>
          <w:rFonts w:ascii="Arial" w:hAnsi="Arial" w:cs="Arial"/>
          <w:i/>
          <w:sz w:val="22"/>
          <w:szCs w:val="22"/>
        </w:rPr>
        <w:t xml:space="preserve"> </w:t>
      </w:r>
      <w:r w:rsidRPr="009809A0">
        <w:rPr>
          <w:rFonts w:ascii="Arial" w:hAnsi="Arial" w:cs="Arial"/>
          <w:sz w:val="22"/>
          <w:szCs w:val="22"/>
        </w:rPr>
        <w:t>pro účely PAP a nesprávné</w:t>
      </w:r>
      <w:r w:rsidR="00F5002C" w:rsidRPr="009809A0">
        <w:rPr>
          <w:rFonts w:ascii="Arial" w:hAnsi="Arial" w:cs="Arial"/>
          <w:sz w:val="22"/>
          <w:szCs w:val="22"/>
        </w:rPr>
        <w:t>ho</w:t>
      </w:r>
      <w:r w:rsidRPr="009809A0">
        <w:rPr>
          <w:rFonts w:ascii="Arial" w:hAnsi="Arial" w:cs="Arial"/>
          <w:sz w:val="22"/>
          <w:szCs w:val="22"/>
        </w:rPr>
        <w:t xml:space="preserve"> zatřídění na „</w:t>
      </w:r>
      <w:r w:rsidRPr="009809A0">
        <w:rPr>
          <w:rFonts w:ascii="Arial" w:hAnsi="Arial" w:cs="Arial"/>
          <w:i/>
          <w:sz w:val="22"/>
          <w:szCs w:val="22"/>
        </w:rPr>
        <w:t>typ změny</w:t>
      </w:r>
      <w:r w:rsidRPr="00260B0C">
        <w:rPr>
          <w:rFonts w:ascii="Arial" w:hAnsi="Arial" w:cs="Arial"/>
          <w:sz w:val="22"/>
          <w:szCs w:val="22"/>
        </w:rPr>
        <w:t>“</w:t>
      </w:r>
      <w:r w:rsidRPr="009809A0">
        <w:rPr>
          <w:rFonts w:ascii="Arial" w:hAnsi="Arial" w:cs="Arial"/>
          <w:sz w:val="22"/>
          <w:szCs w:val="22"/>
        </w:rPr>
        <w:t xml:space="preserve"> (dále také „nesprávnosti </w:t>
      </w:r>
      <w:r w:rsidRPr="009809A0">
        <w:rPr>
          <w:rFonts w:ascii="Arial" w:hAnsi="Arial" w:cs="Arial"/>
          <w:color w:val="000000"/>
          <w:sz w:val="22"/>
          <w:szCs w:val="22"/>
          <w:lang w:eastAsia="cs-CZ"/>
        </w:rPr>
        <w:t>v důsledku nedodržení požadavků vyhlášky č. 383/2009 Sb.</w:t>
      </w:r>
      <w:r w:rsidRPr="00260B0C">
        <w:rPr>
          <w:rFonts w:ascii="Arial" w:hAnsi="Arial" w:cs="Arial"/>
          <w:color w:val="000000"/>
          <w:sz w:val="22"/>
          <w:szCs w:val="22"/>
          <w:lang w:eastAsia="cs-CZ"/>
        </w:rPr>
        <w:t>“</w:t>
      </w:r>
      <w:r w:rsidRPr="009809A0">
        <w:rPr>
          <w:rFonts w:ascii="Arial" w:hAnsi="Arial" w:cs="Arial"/>
          <w:color w:val="000000"/>
          <w:sz w:val="22"/>
          <w:szCs w:val="22"/>
          <w:lang w:eastAsia="cs-CZ"/>
        </w:rPr>
        <w:t>)</w:t>
      </w:r>
      <w:r w:rsidR="00D970B0" w:rsidRPr="009809A0">
        <w:rPr>
          <w:rFonts w:ascii="Arial" w:hAnsi="Arial" w:cs="Arial"/>
          <w:color w:val="000000"/>
          <w:sz w:val="22"/>
          <w:szCs w:val="22"/>
          <w:lang w:eastAsia="cs-CZ"/>
        </w:rPr>
        <w:t>,</w:t>
      </w:r>
    </w:p>
    <w:p w14:paraId="00D917A7" w14:textId="77777777" w:rsidR="00A30487" w:rsidRPr="00A30487" w:rsidRDefault="00A30487" w:rsidP="00A30487">
      <w:pPr>
        <w:tabs>
          <w:tab w:val="right" w:pos="9072"/>
        </w:tabs>
        <w:jc w:val="both"/>
        <w:rPr>
          <w:rFonts w:ascii="Arial" w:hAnsi="Arial" w:cs="Arial"/>
          <w:sz w:val="22"/>
          <w:szCs w:val="22"/>
        </w:rPr>
      </w:pPr>
    </w:p>
    <w:p w14:paraId="00D917A8" w14:textId="77777777" w:rsidR="00E00DF2" w:rsidRPr="00ED5C98" w:rsidRDefault="00013FB5" w:rsidP="00E00DF2">
      <w:pPr>
        <w:jc w:val="both"/>
        <w:rPr>
          <w:rFonts w:ascii="Arial" w:hAnsi="Arial" w:cs="Arial"/>
          <w:color w:val="000000"/>
          <w:sz w:val="22"/>
          <w:szCs w:val="22"/>
          <w:lang w:eastAsia="cs-CZ"/>
        </w:rPr>
      </w:pPr>
      <w:r>
        <w:rPr>
          <w:rFonts w:ascii="Arial" w:hAnsi="Arial" w:cs="Arial"/>
          <w:sz w:val="22"/>
          <w:szCs w:val="22"/>
        </w:rPr>
        <w:t xml:space="preserve">a </w:t>
      </w:r>
      <w:r w:rsidR="00F5002C">
        <w:rPr>
          <w:rFonts w:ascii="Arial" w:hAnsi="Arial" w:cs="Arial"/>
          <w:sz w:val="22"/>
          <w:szCs w:val="22"/>
        </w:rPr>
        <w:t xml:space="preserve">u některých údajů byl zjištěn nesoulad </w:t>
      </w:r>
      <w:r w:rsidR="00E00DF2" w:rsidRPr="00ED5C98">
        <w:rPr>
          <w:rFonts w:ascii="Arial" w:hAnsi="Arial" w:cs="Arial"/>
          <w:sz w:val="22"/>
          <w:szCs w:val="22"/>
        </w:rPr>
        <w:t>s </w:t>
      </w:r>
      <w:r w:rsidR="00E00DF2" w:rsidRPr="00260B0C">
        <w:rPr>
          <w:rFonts w:ascii="Arial" w:hAnsi="Arial" w:cs="Arial"/>
          <w:i/>
          <w:sz w:val="22"/>
          <w:szCs w:val="22"/>
        </w:rPr>
        <w:t>Metodikou tvorby PAP</w:t>
      </w:r>
      <w:r w:rsidR="00E00DF2" w:rsidRPr="00ED5C98">
        <w:rPr>
          <w:rFonts w:ascii="Arial" w:hAnsi="Arial" w:cs="Arial"/>
          <w:sz w:val="22"/>
          <w:szCs w:val="22"/>
        </w:rPr>
        <w:t xml:space="preserve"> (dále také „</w:t>
      </w:r>
      <w:r w:rsidR="00E00DF2">
        <w:rPr>
          <w:rFonts w:ascii="Arial" w:hAnsi="Arial" w:cs="Arial"/>
          <w:sz w:val="22"/>
          <w:szCs w:val="22"/>
        </w:rPr>
        <w:t>ú</w:t>
      </w:r>
      <w:r w:rsidR="00E00DF2" w:rsidRPr="00ED5C98">
        <w:rPr>
          <w:rFonts w:ascii="Arial" w:hAnsi="Arial" w:cs="Arial"/>
          <w:color w:val="000000"/>
          <w:sz w:val="22"/>
          <w:szCs w:val="22"/>
          <w:lang w:eastAsia="cs-CZ"/>
        </w:rPr>
        <w:t>daje v nesouladu s </w:t>
      </w:r>
      <w:r w:rsidR="00E00DF2" w:rsidRPr="00260B0C">
        <w:rPr>
          <w:rFonts w:ascii="Arial" w:hAnsi="Arial" w:cs="Arial"/>
          <w:i/>
          <w:color w:val="000000"/>
          <w:sz w:val="22"/>
          <w:szCs w:val="22"/>
          <w:lang w:eastAsia="cs-CZ"/>
        </w:rPr>
        <w:t>Metodikou tvorby PAP</w:t>
      </w:r>
      <w:r w:rsidR="00E00DF2" w:rsidRPr="00ED5C98">
        <w:rPr>
          <w:rFonts w:ascii="Arial" w:hAnsi="Arial" w:cs="Arial"/>
          <w:color w:val="000000"/>
          <w:sz w:val="22"/>
          <w:szCs w:val="22"/>
          <w:lang w:eastAsia="cs-CZ"/>
        </w:rPr>
        <w:t>“)</w:t>
      </w:r>
      <w:r w:rsidR="00E00DF2" w:rsidRPr="00ED5C98">
        <w:rPr>
          <w:rFonts w:ascii="Arial" w:hAnsi="Arial" w:cs="Arial"/>
          <w:sz w:val="22"/>
          <w:szCs w:val="22"/>
        </w:rPr>
        <w:t xml:space="preserve">.  </w:t>
      </w:r>
    </w:p>
    <w:p w14:paraId="00D917A9" w14:textId="77777777" w:rsidR="00E00DF2" w:rsidRDefault="00E00DF2" w:rsidP="00E00DF2">
      <w:pPr>
        <w:jc w:val="both"/>
        <w:rPr>
          <w:rFonts w:ascii="Arial" w:hAnsi="Arial" w:cs="Arial"/>
          <w:sz w:val="22"/>
          <w:szCs w:val="22"/>
        </w:rPr>
      </w:pPr>
    </w:p>
    <w:p w14:paraId="00D917AA" w14:textId="77777777" w:rsidR="00E00DF2" w:rsidRDefault="00F5002C" w:rsidP="00E00DF2">
      <w:pPr>
        <w:jc w:val="both"/>
        <w:rPr>
          <w:rFonts w:ascii="Arial" w:hAnsi="Arial" w:cs="Arial"/>
          <w:sz w:val="22"/>
          <w:szCs w:val="22"/>
        </w:rPr>
      </w:pPr>
      <w:r>
        <w:rPr>
          <w:rFonts w:ascii="Arial" w:hAnsi="Arial" w:cs="Arial"/>
          <w:sz w:val="22"/>
          <w:szCs w:val="22"/>
        </w:rPr>
        <w:t>Nejvýznamnější zjištění jsou uvedena dále</w:t>
      </w:r>
      <w:r w:rsidR="00E00DF2">
        <w:rPr>
          <w:rFonts w:ascii="Arial" w:hAnsi="Arial" w:cs="Arial"/>
          <w:sz w:val="22"/>
          <w:szCs w:val="22"/>
        </w:rPr>
        <w:t xml:space="preserve"> na příkladech</w:t>
      </w:r>
      <w:r w:rsidR="00245C09">
        <w:rPr>
          <w:rFonts w:ascii="Arial" w:hAnsi="Arial" w:cs="Arial"/>
          <w:sz w:val="22"/>
          <w:szCs w:val="22"/>
        </w:rPr>
        <w:t>, z nichž některé byly zatíženy větším počtem nedostatků současně.</w:t>
      </w:r>
    </w:p>
    <w:p w14:paraId="00D917AB" w14:textId="77777777" w:rsidR="002C2600" w:rsidRDefault="002C2600" w:rsidP="00E00DF2">
      <w:pPr>
        <w:jc w:val="both"/>
        <w:rPr>
          <w:rFonts w:ascii="Arial" w:hAnsi="Arial" w:cs="Arial"/>
          <w:sz w:val="22"/>
          <w:szCs w:val="22"/>
        </w:rPr>
      </w:pPr>
    </w:p>
    <w:p w14:paraId="00D917AC" w14:textId="77777777" w:rsidR="00E00DF2" w:rsidRPr="00260B0C" w:rsidRDefault="00525767" w:rsidP="00E00DF2">
      <w:pPr>
        <w:jc w:val="both"/>
        <w:rPr>
          <w:rFonts w:ascii="Arial" w:hAnsi="Arial" w:cs="Arial"/>
          <w:b/>
          <w:bCs/>
          <w:iCs/>
          <w:sz w:val="22"/>
          <w:szCs w:val="22"/>
        </w:rPr>
      </w:pPr>
      <w:r w:rsidRPr="00260B0C">
        <w:rPr>
          <w:rFonts w:ascii="Arial" w:hAnsi="Arial" w:cs="Arial"/>
          <w:b/>
          <w:bCs/>
          <w:iCs/>
          <w:sz w:val="22"/>
          <w:szCs w:val="22"/>
        </w:rPr>
        <w:t xml:space="preserve">4.1 </w:t>
      </w:r>
      <w:r w:rsidR="00E00DF2" w:rsidRPr="00260B0C">
        <w:rPr>
          <w:rFonts w:ascii="Arial" w:hAnsi="Arial" w:cs="Arial"/>
          <w:b/>
          <w:bCs/>
          <w:iCs/>
          <w:sz w:val="22"/>
          <w:szCs w:val="22"/>
        </w:rPr>
        <w:t>Zálohy na transfery</w:t>
      </w:r>
      <w:r w:rsidR="00E03661" w:rsidRPr="00260B0C">
        <w:rPr>
          <w:rFonts w:ascii="Arial" w:hAnsi="Arial" w:cs="Arial"/>
          <w:b/>
          <w:bCs/>
          <w:iCs/>
          <w:sz w:val="22"/>
          <w:szCs w:val="22"/>
        </w:rPr>
        <w:t xml:space="preserve"> a vratky nespotřebovaných dotací</w:t>
      </w:r>
    </w:p>
    <w:p w14:paraId="00D917AD" w14:textId="77777777" w:rsidR="00E00DF2" w:rsidRDefault="00E00DF2" w:rsidP="00E00DF2">
      <w:pPr>
        <w:jc w:val="both"/>
        <w:rPr>
          <w:rFonts w:ascii="Arial" w:hAnsi="Arial" w:cs="Arial"/>
          <w:sz w:val="22"/>
          <w:szCs w:val="22"/>
        </w:rPr>
      </w:pPr>
    </w:p>
    <w:p w14:paraId="00D917AE" w14:textId="77777777" w:rsidR="00E00DF2" w:rsidRPr="00373B37" w:rsidRDefault="00E00DF2" w:rsidP="00E00DF2">
      <w:pPr>
        <w:jc w:val="both"/>
        <w:rPr>
          <w:rFonts w:ascii="Arial" w:hAnsi="Arial" w:cs="Arial"/>
          <w:i/>
          <w:sz w:val="22"/>
          <w:szCs w:val="22"/>
        </w:rPr>
      </w:pPr>
      <w:r w:rsidRPr="00ED5C98">
        <w:rPr>
          <w:rFonts w:ascii="Arial" w:hAnsi="Arial" w:cs="Arial"/>
          <w:sz w:val="22"/>
          <w:szCs w:val="22"/>
        </w:rPr>
        <w:t>V případě transfer</w:t>
      </w:r>
      <w:r>
        <w:rPr>
          <w:rFonts w:ascii="Arial" w:hAnsi="Arial" w:cs="Arial"/>
          <w:sz w:val="22"/>
          <w:szCs w:val="22"/>
        </w:rPr>
        <w:t>ů</w:t>
      </w:r>
      <w:r w:rsidRPr="00ED5C98">
        <w:rPr>
          <w:rFonts w:ascii="Arial" w:hAnsi="Arial" w:cs="Arial"/>
          <w:sz w:val="22"/>
          <w:szCs w:val="22"/>
        </w:rPr>
        <w:t>, kter</w:t>
      </w:r>
      <w:r>
        <w:rPr>
          <w:rFonts w:ascii="Arial" w:hAnsi="Arial" w:cs="Arial"/>
          <w:sz w:val="22"/>
          <w:szCs w:val="22"/>
        </w:rPr>
        <w:t>é</w:t>
      </w:r>
      <w:r w:rsidRPr="00ED5C98">
        <w:rPr>
          <w:rFonts w:ascii="Arial" w:hAnsi="Arial" w:cs="Arial"/>
          <w:sz w:val="22"/>
          <w:szCs w:val="22"/>
        </w:rPr>
        <w:t xml:space="preserve"> j</w:t>
      </w:r>
      <w:r>
        <w:rPr>
          <w:rFonts w:ascii="Arial" w:hAnsi="Arial" w:cs="Arial"/>
          <w:sz w:val="22"/>
          <w:szCs w:val="22"/>
        </w:rPr>
        <w:t>sou</w:t>
      </w:r>
      <w:r w:rsidRPr="00ED5C98">
        <w:rPr>
          <w:rFonts w:ascii="Arial" w:hAnsi="Arial" w:cs="Arial"/>
          <w:sz w:val="22"/>
          <w:szCs w:val="22"/>
        </w:rPr>
        <w:t xml:space="preserve"> realizován</w:t>
      </w:r>
      <w:r>
        <w:rPr>
          <w:rFonts w:ascii="Arial" w:hAnsi="Arial" w:cs="Arial"/>
          <w:sz w:val="22"/>
          <w:szCs w:val="22"/>
        </w:rPr>
        <w:t>y</w:t>
      </w:r>
      <w:r w:rsidRPr="00ED5C98">
        <w:rPr>
          <w:rFonts w:ascii="Arial" w:hAnsi="Arial" w:cs="Arial"/>
          <w:sz w:val="22"/>
          <w:szCs w:val="22"/>
        </w:rPr>
        <w:t xml:space="preserve"> </w:t>
      </w:r>
      <w:r>
        <w:rPr>
          <w:rFonts w:ascii="Arial" w:hAnsi="Arial" w:cs="Arial"/>
          <w:sz w:val="22"/>
          <w:szCs w:val="22"/>
        </w:rPr>
        <w:t>formou poskytnutí peněžních prostředků před splněním povinnosti jejich</w:t>
      </w:r>
      <w:r w:rsidRPr="00ED5C98">
        <w:rPr>
          <w:rFonts w:ascii="Arial" w:hAnsi="Arial" w:cs="Arial"/>
          <w:sz w:val="22"/>
          <w:szCs w:val="22"/>
        </w:rPr>
        <w:t xml:space="preserve"> vyúčtování (nejpozději k okamžiku provedení finančního vypořádání)</w:t>
      </w:r>
      <w:r>
        <w:rPr>
          <w:rFonts w:ascii="Arial" w:hAnsi="Arial" w:cs="Arial"/>
          <w:sz w:val="22"/>
          <w:szCs w:val="22"/>
        </w:rPr>
        <w:t xml:space="preserve">, </w:t>
      </w:r>
      <w:r w:rsidRPr="00ED5C98">
        <w:rPr>
          <w:rFonts w:ascii="Arial" w:hAnsi="Arial" w:cs="Arial"/>
          <w:sz w:val="22"/>
          <w:szCs w:val="22"/>
        </w:rPr>
        <w:t>mělo MPO účtovat o zálohách</w:t>
      </w:r>
      <w:r>
        <w:rPr>
          <w:rFonts w:ascii="Arial" w:hAnsi="Arial" w:cs="Arial"/>
          <w:sz w:val="22"/>
          <w:szCs w:val="22"/>
        </w:rPr>
        <w:t xml:space="preserve"> na účtu </w:t>
      </w:r>
      <w:r w:rsidRPr="00DA7D84">
        <w:rPr>
          <w:rFonts w:ascii="Arial" w:hAnsi="Arial" w:cs="Arial"/>
          <w:sz w:val="22"/>
          <w:szCs w:val="22"/>
        </w:rPr>
        <w:t>373</w:t>
      </w:r>
      <w:r w:rsidRPr="00E43A22">
        <w:rPr>
          <w:rFonts w:ascii="Arial" w:hAnsi="Arial" w:cs="Arial"/>
          <w:sz w:val="22"/>
          <w:szCs w:val="22"/>
        </w:rPr>
        <w:t xml:space="preserve"> –</w:t>
      </w:r>
      <w:r>
        <w:rPr>
          <w:rFonts w:ascii="Arial" w:hAnsi="Arial" w:cs="Arial"/>
          <w:sz w:val="22"/>
          <w:szCs w:val="22"/>
        </w:rPr>
        <w:t xml:space="preserve"> </w:t>
      </w:r>
      <w:r w:rsidRPr="00454A48">
        <w:rPr>
          <w:rFonts w:ascii="Arial" w:hAnsi="Arial" w:cs="Arial"/>
          <w:i/>
          <w:sz w:val="22"/>
          <w:szCs w:val="22"/>
        </w:rPr>
        <w:t>Krátkodobé poskytnuté zálohy na transfery</w:t>
      </w:r>
      <w:r>
        <w:rPr>
          <w:rFonts w:ascii="Arial" w:hAnsi="Arial" w:cs="Arial"/>
          <w:sz w:val="22"/>
          <w:szCs w:val="22"/>
        </w:rPr>
        <w:t xml:space="preserve"> nebo</w:t>
      </w:r>
      <w:r w:rsidR="00E03661">
        <w:rPr>
          <w:rFonts w:ascii="Arial" w:hAnsi="Arial" w:cs="Arial"/>
          <w:sz w:val="22"/>
          <w:szCs w:val="22"/>
        </w:rPr>
        <w:t xml:space="preserve"> na účtu</w:t>
      </w:r>
      <w:r>
        <w:rPr>
          <w:rFonts w:ascii="Arial" w:hAnsi="Arial" w:cs="Arial"/>
          <w:sz w:val="22"/>
          <w:szCs w:val="22"/>
        </w:rPr>
        <w:t xml:space="preserve"> </w:t>
      </w:r>
      <w:r w:rsidRPr="00DA7D84">
        <w:rPr>
          <w:rFonts w:ascii="Arial" w:hAnsi="Arial" w:cs="Arial"/>
          <w:sz w:val="22"/>
          <w:szCs w:val="22"/>
        </w:rPr>
        <w:t>471</w:t>
      </w:r>
      <w:r w:rsidRPr="00E43A22">
        <w:rPr>
          <w:rFonts w:ascii="Arial" w:hAnsi="Arial" w:cs="Arial"/>
          <w:sz w:val="22"/>
          <w:szCs w:val="22"/>
        </w:rPr>
        <w:t xml:space="preserve"> –</w:t>
      </w:r>
      <w:r>
        <w:rPr>
          <w:rFonts w:ascii="Arial" w:hAnsi="Arial" w:cs="Arial"/>
          <w:sz w:val="22"/>
          <w:szCs w:val="22"/>
        </w:rPr>
        <w:t xml:space="preserve"> </w:t>
      </w:r>
      <w:r w:rsidRPr="00454A48">
        <w:rPr>
          <w:rFonts w:ascii="Arial" w:hAnsi="Arial" w:cs="Arial"/>
          <w:i/>
          <w:sz w:val="22"/>
          <w:szCs w:val="22"/>
        </w:rPr>
        <w:t>Dlouhodobé poskytnuté zálohy na transfery</w:t>
      </w:r>
      <w:r w:rsidRPr="00ED5C98">
        <w:rPr>
          <w:rFonts w:ascii="Arial" w:hAnsi="Arial" w:cs="Arial"/>
          <w:sz w:val="22"/>
          <w:szCs w:val="22"/>
        </w:rPr>
        <w:t xml:space="preserve">. </w:t>
      </w:r>
      <w:r>
        <w:rPr>
          <w:rFonts w:ascii="Arial" w:hAnsi="Arial" w:cs="Arial"/>
          <w:sz w:val="22"/>
          <w:szCs w:val="22"/>
        </w:rPr>
        <w:t xml:space="preserve">Až na některé výjimky však </w:t>
      </w:r>
      <w:r w:rsidRPr="00ED5C98">
        <w:rPr>
          <w:rFonts w:ascii="Arial" w:hAnsi="Arial" w:cs="Arial"/>
          <w:sz w:val="22"/>
          <w:szCs w:val="22"/>
        </w:rPr>
        <w:t xml:space="preserve">MPO </w:t>
      </w:r>
      <w:r>
        <w:rPr>
          <w:rFonts w:ascii="Arial" w:hAnsi="Arial" w:cs="Arial"/>
          <w:sz w:val="22"/>
          <w:szCs w:val="22"/>
        </w:rPr>
        <w:t xml:space="preserve">v případě poskytnutí transferů určených k vyúčtování/vypořádání </w:t>
      </w:r>
      <w:r w:rsidR="00293D1A">
        <w:rPr>
          <w:rFonts w:ascii="Arial" w:hAnsi="Arial" w:cs="Arial"/>
          <w:sz w:val="22"/>
          <w:szCs w:val="22"/>
        </w:rPr>
        <w:t>o </w:t>
      </w:r>
      <w:r w:rsidRPr="00ED5C98">
        <w:rPr>
          <w:rFonts w:ascii="Arial" w:hAnsi="Arial" w:cs="Arial"/>
          <w:sz w:val="22"/>
          <w:szCs w:val="22"/>
        </w:rPr>
        <w:t>zálohách na transfery</w:t>
      </w:r>
      <w:r>
        <w:rPr>
          <w:rFonts w:ascii="Arial" w:hAnsi="Arial" w:cs="Arial"/>
          <w:sz w:val="22"/>
          <w:szCs w:val="22"/>
        </w:rPr>
        <w:t xml:space="preserve"> </w:t>
      </w:r>
      <w:r w:rsidRPr="00ED5C98">
        <w:rPr>
          <w:rFonts w:ascii="Arial" w:hAnsi="Arial" w:cs="Arial"/>
          <w:sz w:val="22"/>
          <w:szCs w:val="22"/>
        </w:rPr>
        <w:t>neúčtovalo</w:t>
      </w:r>
      <w:r w:rsidR="0039290B">
        <w:rPr>
          <w:rFonts w:ascii="Arial" w:hAnsi="Arial" w:cs="Arial"/>
          <w:sz w:val="22"/>
          <w:szCs w:val="22"/>
        </w:rPr>
        <w:t>,</w:t>
      </w:r>
      <w:r w:rsidRPr="00ED5C98">
        <w:rPr>
          <w:rFonts w:ascii="Arial" w:hAnsi="Arial" w:cs="Arial"/>
          <w:sz w:val="22"/>
          <w:szCs w:val="22"/>
        </w:rPr>
        <w:t xml:space="preserve"> a nepostupovalo tak při vedení účetnictví podle Č</w:t>
      </w:r>
      <w:r w:rsidR="00E03661">
        <w:rPr>
          <w:rFonts w:ascii="Arial" w:hAnsi="Arial" w:cs="Arial"/>
          <w:sz w:val="22"/>
          <w:szCs w:val="22"/>
        </w:rPr>
        <w:t>ÚS č.</w:t>
      </w:r>
      <w:r w:rsidR="00293D1A">
        <w:rPr>
          <w:rFonts w:ascii="Arial" w:hAnsi="Arial" w:cs="Arial"/>
          <w:sz w:val="22"/>
          <w:szCs w:val="22"/>
        </w:rPr>
        <w:t> </w:t>
      </w:r>
      <w:r w:rsidRPr="00ED5C98">
        <w:rPr>
          <w:rFonts w:ascii="Arial" w:hAnsi="Arial" w:cs="Arial"/>
          <w:sz w:val="22"/>
          <w:szCs w:val="22"/>
        </w:rPr>
        <w:t xml:space="preserve">703 – </w:t>
      </w:r>
      <w:r w:rsidRPr="00373B37">
        <w:rPr>
          <w:rFonts w:ascii="Arial" w:hAnsi="Arial" w:cs="Arial"/>
          <w:i/>
          <w:sz w:val="22"/>
          <w:szCs w:val="22"/>
        </w:rPr>
        <w:t xml:space="preserve">Transfery. </w:t>
      </w:r>
    </w:p>
    <w:p w14:paraId="00D917AF" w14:textId="77777777" w:rsidR="00E00DF2" w:rsidRPr="00ED5C98" w:rsidRDefault="00E00DF2" w:rsidP="00E00DF2">
      <w:pPr>
        <w:jc w:val="both"/>
        <w:rPr>
          <w:rFonts w:ascii="Arial" w:hAnsi="Arial" w:cs="Arial"/>
          <w:sz w:val="22"/>
          <w:szCs w:val="22"/>
        </w:rPr>
      </w:pPr>
    </w:p>
    <w:p w14:paraId="00D917B0" w14:textId="77777777" w:rsidR="00E00DF2" w:rsidRPr="00ED5C98" w:rsidRDefault="00E00DF2" w:rsidP="00E00DF2">
      <w:pPr>
        <w:jc w:val="both"/>
        <w:rPr>
          <w:rFonts w:ascii="Arial" w:hAnsi="Arial" w:cs="Arial"/>
          <w:sz w:val="22"/>
          <w:szCs w:val="22"/>
        </w:rPr>
      </w:pPr>
      <w:r>
        <w:rPr>
          <w:rFonts w:ascii="Arial" w:hAnsi="Arial" w:cs="Arial"/>
          <w:sz w:val="22"/>
          <w:szCs w:val="22"/>
        </w:rPr>
        <w:t>Údaje n</w:t>
      </w:r>
      <w:r w:rsidRPr="00ED5C98">
        <w:rPr>
          <w:rFonts w:ascii="Arial" w:hAnsi="Arial" w:cs="Arial"/>
          <w:sz w:val="22"/>
          <w:szCs w:val="22"/>
        </w:rPr>
        <w:t xml:space="preserve">esprávně zachycené </w:t>
      </w:r>
      <w:r>
        <w:rPr>
          <w:rFonts w:ascii="Arial" w:hAnsi="Arial" w:cs="Arial"/>
          <w:sz w:val="22"/>
          <w:szCs w:val="22"/>
        </w:rPr>
        <w:t>v účetnictví přeneslo následně</w:t>
      </w:r>
      <w:r w:rsidRPr="00ED5C98">
        <w:rPr>
          <w:rFonts w:ascii="Arial" w:hAnsi="Arial" w:cs="Arial"/>
          <w:sz w:val="22"/>
          <w:szCs w:val="22"/>
        </w:rPr>
        <w:t xml:space="preserve"> MPO do údajů PAP k 31.</w:t>
      </w:r>
      <w:r w:rsidR="00AB6BB1">
        <w:rPr>
          <w:rFonts w:ascii="Arial" w:hAnsi="Arial" w:cs="Arial"/>
          <w:sz w:val="22"/>
          <w:szCs w:val="22"/>
        </w:rPr>
        <w:t> </w:t>
      </w:r>
      <w:r>
        <w:rPr>
          <w:rFonts w:ascii="Arial" w:hAnsi="Arial" w:cs="Arial"/>
          <w:sz w:val="22"/>
          <w:szCs w:val="22"/>
        </w:rPr>
        <w:t>prosinci</w:t>
      </w:r>
      <w:r w:rsidRPr="00ED5C98">
        <w:rPr>
          <w:rFonts w:ascii="Arial" w:hAnsi="Arial" w:cs="Arial"/>
          <w:sz w:val="22"/>
          <w:szCs w:val="22"/>
        </w:rPr>
        <w:t xml:space="preserve"> 2012. Č</w:t>
      </w:r>
      <w:r w:rsidRPr="00ED5C98">
        <w:rPr>
          <w:rFonts w:ascii="Arial" w:hAnsi="Arial" w:cs="Arial"/>
          <w:bCs/>
          <w:sz w:val="22"/>
          <w:szCs w:val="22"/>
        </w:rPr>
        <w:t xml:space="preserve">ástka poskytnutých transferů v případě dotací činila </w:t>
      </w:r>
      <w:r w:rsidRPr="00ED5C98">
        <w:rPr>
          <w:rFonts w:ascii="Arial" w:hAnsi="Arial" w:cs="Arial"/>
          <w:bCs/>
          <w:iCs/>
          <w:sz w:val="22"/>
          <w:szCs w:val="22"/>
        </w:rPr>
        <w:t>5 143 408 000 Kč a v PAP MPO se promítla</w:t>
      </w:r>
      <w:r>
        <w:rPr>
          <w:rFonts w:ascii="Arial" w:hAnsi="Arial" w:cs="Arial"/>
          <w:bCs/>
          <w:iCs/>
          <w:sz w:val="22"/>
          <w:szCs w:val="22"/>
        </w:rPr>
        <w:t xml:space="preserve"> </w:t>
      </w:r>
      <w:r w:rsidRPr="00ED5C98">
        <w:rPr>
          <w:rFonts w:ascii="Arial" w:hAnsi="Arial" w:cs="Arial"/>
          <w:bCs/>
          <w:iCs/>
          <w:sz w:val="22"/>
          <w:szCs w:val="22"/>
        </w:rPr>
        <w:t>v důsledku řetězení do částí I, VI, X v </w:t>
      </w:r>
      <w:r>
        <w:rPr>
          <w:rFonts w:ascii="Arial" w:hAnsi="Arial" w:cs="Arial"/>
          <w:bCs/>
          <w:iCs/>
          <w:sz w:val="22"/>
          <w:szCs w:val="22"/>
        </w:rPr>
        <w:t xml:space="preserve">celkové výši </w:t>
      </w:r>
      <w:r w:rsidR="0039290B">
        <w:rPr>
          <w:rFonts w:ascii="Arial" w:hAnsi="Arial" w:cs="Arial"/>
          <w:bCs/>
          <w:iCs/>
          <w:sz w:val="22"/>
          <w:szCs w:val="22"/>
        </w:rPr>
        <w:br/>
      </w:r>
      <w:r>
        <w:rPr>
          <w:rFonts w:ascii="Arial" w:hAnsi="Arial" w:cs="Arial"/>
          <w:bCs/>
          <w:iCs/>
          <w:sz w:val="22"/>
          <w:szCs w:val="22"/>
        </w:rPr>
        <w:t>25 717 040 000 Kč (viz tabulka č. 5)</w:t>
      </w:r>
      <w:r w:rsidRPr="00ED5C98">
        <w:rPr>
          <w:rFonts w:ascii="Arial" w:hAnsi="Arial" w:cs="Arial"/>
          <w:bCs/>
          <w:iCs/>
          <w:sz w:val="22"/>
          <w:szCs w:val="22"/>
        </w:rPr>
        <w:t>.</w:t>
      </w:r>
    </w:p>
    <w:p w14:paraId="00D917B1" w14:textId="77777777" w:rsidR="00E00DF2" w:rsidRDefault="00E00DF2" w:rsidP="00E00DF2">
      <w:pPr>
        <w:rPr>
          <w:rFonts w:ascii="Arial" w:hAnsi="Arial" w:cs="Arial"/>
          <w:b/>
          <w:sz w:val="22"/>
          <w:szCs w:val="22"/>
          <w:highlight w:val="yellow"/>
        </w:rPr>
      </w:pPr>
    </w:p>
    <w:p w14:paraId="00D917B2" w14:textId="77777777" w:rsidR="00E00DF2" w:rsidRDefault="00E00DF2" w:rsidP="00260B0C">
      <w:pPr>
        <w:tabs>
          <w:tab w:val="right" w:pos="9072"/>
        </w:tabs>
        <w:spacing w:after="40"/>
        <w:ind w:left="1531" w:hanging="1531"/>
        <w:rPr>
          <w:rFonts w:ascii="Arial" w:hAnsi="Arial" w:cs="Arial"/>
          <w:b/>
          <w:sz w:val="22"/>
          <w:szCs w:val="22"/>
        </w:rPr>
      </w:pPr>
      <w:r w:rsidRPr="00B73BBD">
        <w:rPr>
          <w:rFonts w:ascii="Arial" w:hAnsi="Arial" w:cs="Arial"/>
          <w:b/>
          <w:sz w:val="22"/>
          <w:szCs w:val="22"/>
        </w:rPr>
        <w:t>Tabulka č. 5</w:t>
      </w:r>
      <w:r w:rsidRPr="002A7A11">
        <w:rPr>
          <w:rFonts w:ascii="Arial" w:hAnsi="Arial" w:cs="Arial"/>
          <w:b/>
          <w:sz w:val="22"/>
          <w:szCs w:val="22"/>
        </w:rPr>
        <w:t xml:space="preserve"> –</w:t>
      </w:r>
      <w:r w:rsidR="0039290B">
        <w:rPr>
          <w:rFonts w:ascii="Arial" w:hAnsi="Arial" w:cs="Arial"/>
          <w:b/>
          <w:sz w:val="22"/>
          <w:szCs w:val="22"/>
        </w:rPr>
        <w:t xml:space="preserve"> </w:t>
      </w:r>
      <w:r>
        <w:rPr>
          <w:rFonts w:ascii="Arial" w:hAnsi="Arial" w:cs="Arial"/>
          <w:b/>
          <w:sz w:val="22"/>
          <w:szCs w:val="22"/>
        </w:rPr>
        <w:t xml:space="preserve">Nesprávnosti přenesené z účetnictví do </w:t>
      </w:r>
      <w:r w:rsidRPr="002A7A11">
        <w:rPr>
          <w:rFonts w:ascii="Arial" w:hAnsi="Arial" w:cs="Arial"/>
          <w:b/>
          <w:sz w:val="22"/>
          <w:szCs w:val="22"/>
        </w:rPr>
        <w:t>PAP MPO k 31.</w:t>
      </w:r>
      <w:r w:rsidR="00E03926">
        <w:rPr>
          <w:rFonts w:ascii="Arial" w:hAnsi="Arial" w:cs="Arial"/>
          <w:b/>
          <w:sz w:val="22"/>
          <w:szCs w:val="22"/>
        </w:rPr>
        <w:t> </w:t>
      </w:r>
      <w:r>
        <w:rPr>
          <w:rFonts w:ascii="Arial" w:hAnsi="Arial" w:cs="Arial"/>
          <w:b/>
          <w:sz w:val="22"/>
          <w:szCs w:val="22"/>
        </w:rPr>
        <w:t>prosinci</w:t>
      </w:r>
      <w:r w:rsidR="00E03926">
        <w:rPr>
          <w:rFonts w:ascii="Arial" w:hAnsi="Arial" w:cs="Arial"/>
          <w:b/>
          <w:sz w:val="22"/>
          <w:szCs w:val="22"/>
        </w:rPr>
        <w:t> </w:t>
      </w:r>
      <w:r w:rsidRPr="002A7A11">
        <w:rPr>
          <w:rFonts w:ascii="Arial" w:hAnsi="Arial" w:cs="Arial"/>
          <w:b/>
          <w:sz w:val="22"/>
          <w:szCs w:val="22"/>
        </w:rPr>
        <w:t>2012</w:t>
      </w:r>
      <w:r w:rsidR="00C956A5">
        <w:rPr>
          <w:rFonts w:ascii="Arial" w:hAnsi="Arial" w:cs="Arial"/>
          <w:b/>
          <w:sz w:val="22"/>
          <w:szCs w:val="22"/>
        </w:rPr>
        <w:t xml:space="preserve"> v </w:t>
      </w:r>
      <w:r>
        <w:rPr>
          <w:rFonts w:ascii="Arial" w:hAnsi="Arial" w:cs="Arial"/>
          <w:b/>
          <w:sz w:val="22"/>
          <w:szCs w:val="22"/>
        </w:rPr>
        <w:t>důsledku nepoužívání účtu záloh na transfery</w:t>
      </w:r>
      <w:r w:rsidRPr="002A7A11">
        <w:rPr>
          <w:rFonts w:ascii="Arial" w:hAnsi="Arial" w:cs="Arial"/>
          <w:b/>
          <w:sz w:val="22"/>
          <w:szCs w:val="22"/>
        </w:rPr>
        <w:t xml:space="preserve"> </w:t>
      </w:r>
      <w:r w:rsidR="00E03926">
        <w:rPr>
          <w:rFonts w:ascii="Arial" w:hAnsi="Arial" w:cs="Arial"/>
          <w:b/>
          <w:sz w:val="22"/>
          <w:szCs w:val="22"/>
        </w:rPr>
        <w:tab/>
      </w:r>
      <w:r>
        <w:rPr>
          <w:rFonts w:ascii="Arial" w:hAnsi="Arial" w:cs="Arial"/>
          <w:b/>
          <w:sz w:val="22"/>
          <w:szCs w:val="22"/>
        </w:rPr>
        <w:t>(v</w:t>
      </w:r>
      <w:r w:rsidR="00E03926">
        <w:rPr>
          <w:rFonts w:ascii="Arial" w:hAnsi="Arial" w:cs="Arial"/>
          <w:b/>
          <w:sz w:val="22"/>
          <w:szCs w:val="22"/>
        </w:rPr>
        <w:t> </w:t>
      </w:r>
      <w:r>
        <w:rPr>
          <w:rFonts w:ascii="Arial" w:hAnsi="Arial" w:cs="Arial"/>
          <w:b/>
          <w:sz w:val="22"/>
          <w:szCs w:val="22"/>
        </w:rPr>
        <w:t>Kč)</w:t>
      </w:r>
    </w:p>
    <w:tbl>
      <w:tblPr>
        <w:tblW w:w="0" w:type="auto"/>
        <w:tblInd w:w="40" w:type="dxa"/>
        <w:tblLayout w:type="fixed"/>
        <w:tblCellMar>
          <w:left w:w="70" w:type="dxa"/>
          <w:right w:w="70" w:type="dxa"/>
        </w:tblCellMar>
        <w:tblLook w:val="0000" w:firstRow="0" w:lastRow="0" w:firstColumn="0" w:lastColumn="0" w:noHBand="0" w:noVBand="0"/>
      </w:tblPr>
      <w:tblGrid>
        <w:gridCol w:w="2275"/>
        <w:gridCol w:w="2276"/>
        <w:gridCol w:w="2275"/>
        <w:gridCol w:w="2276"/>
      </w:tblGrid>
      <w:tr w:rsidR="00E00DF2" w:rsidRPr="00ED5C98" w14:paraId="00D917B7" w14:textId="77777777" w:rsidTr="00260B0C">
        <w:trPr>
          <w:trHeight w:val="290"/>
        </w:trPr>
        <w:tc>
          <w:tcPr>
            <w:tcW w:w="2275"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B3"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I</w:t>
            </w:r>
          </w:p>
        </w:tc>
        <w:tc>
          <w:tcPr>
            <w:tcW w:w="2276"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B4"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VI</w:t>
            </w:r>
          </w:p>
        </w:tc>
        <w:tc>
          <w:tcPr>
            <w:tcW w:w="2275"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B5"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X</w:t>
            </w:r>
          </w:p>
        </w:tc>
        <w:tc>
          <w:tcPr>
            <w:tcW w:w="2276" w:type="dxa"/>
            <w:vMerge w:val="restart"/>
            <w:tcBorders>
              <w:top w:val="single" w:sz="12" w:space="0" w:color="auto"/>
              <w:left w:val="single" w:sz="12" w:space="0" w:color="auto"/>
              <w:right w:val="single" w:sz="12" w:space="0" w:color="auto"/>
            </w:tcBorders>
            <w:shd w:val="clear" w:color="auto" w:fill="C6D9F1" w:themeFill="text2" w:themeFillTint="33"/>
            <w:vAlign w:val="center"/>
          </w:tcPr>
          <w:p w14:paraId="00D917B6"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Celkový součet</w:t>
            </w:r>
          </w:p>
        </w:tc>
      </w:tr>
      <w:tr w:rsidR="00E00DF2" w:rsidRPr="00ED5C98" w14:paraId="00D917C1" w14:textId="77777777" w:rsidTr="00260B0C">
        <w:trPr>
          <w:trHeight w:val="305"/>
        </w:trPr>
        <w:tc>
          <w:tcPr>
            <w:tcW w:w="2275"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B8" w14:textId="77777777" w:rsidR="00E00DF2" w:rsidRDefault="0039290B"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čty</w:t>
            </w:r>
            <w:r w:rsidR="00E00DF2" w:rsidRPr="00ED5C98">
              <w:rPr>
                <w:rFonts w:ascii="Arial" w:eastAsiaTheme="minorHAnsi" w:hAnsi="Arial" w:cs="Arial"/>
                <w:b/>
                <w:bCs/>
                <w:color w:val="000000"/>
                <w:sz w:val="18"/>
                <w:szCs w:val="18"/>
              </w:rPr>
              <w:t xml:space="preserve"> 373</w:t>
            </w:r>
            <w:r w:rsidR="00E00DF2">
              <w:rPr>
                <w:rFonts w:ascii="Arial" w:eastAsiaTheme="minorHAnsi" w:hAnsi="Arial" w:cs="Arial"/>
                <w:b/>
                <w:bCs/>
                <w:color w:val="000000"/>
                <w:sz w:val="18"/>
                <w:szCs w:val="18"/>
              </w:rPr>
              <w:t xml:space="preserve"> a</w:t>
            </w:r>
            <w:r w:rsidR="00E00DF2" w:rsidRPr="00ED5C98">
              <w:rPr>
                <w:rFonts w:ascii="Arial" w:eastAsiaTheme="minorHAnsi" w:hAnsi="Arial" w:cs="Arial"/>
                <w:b/>
                <w:bCs/>
                <w:color w:val="000000"/>
                <w:sz w:val="18"/>
                <w:szCs w:val="18"/>
              </w:rPr>
              <w:t xml:space="preserve"> 471</w:t>
            </w:r>
          </w:p>
          <w:p w14:paraId="00D917B9" w14:textId="77777777" w:rsidR="00E00DF2" w:rsidRDefault="00E00DF2" w:rsidP="00304590">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w:t>
            </w:r>
          </w:p>
          <w:p w14:paraId="00D917BA" w14:textId="77777777" w:rsidR="00E00DF2" w:rsidRPr="00ED5C98" w:rsidRDefault="00E00DF2" w:rsidP="00304590">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AČ k účtům 373 a 471</w:t>
            </w:r>
          </w:p>
        </w:tc>
        <w:tc>
          <w:tcPr>
            <w:tcW w:w="2276"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BB" w14:textId="77777777" w:rsidR="00E00DF2" w:rsidRDefault="0039290B"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čty</w:t>
            </w:r>
            <w:r w:rsidR="00E00DF2" w:rsidRPr="00ED5C98">
              <w:rPr>
                <w:rFonts w:ascii="Arial" w:eastAsiaTheme="minorHAnsi" w:hAnsi="Arial" w:cs="Arial"/>
                <w:b/>
                <w:bCs/>
                <w:color w:val="000000"/>
                <w:sz w:val="18"/>
                <w:szCs w:val="18"/>
              </w:rPr>
              <w:t xml:space="preserve"> 373</w:t>
            </w:r>
            <w:r w:rsidR="00E00DF2">
              <w:rPr>
                <w:rFonts w:ascii="Arial" w:eastAsiaTheme="minorHAnsi" w:hAnsi="Arial" w:cs="Arial"/>
                <w:b/>
                <w:bCs/>
                <w:color w:val="000000"/>
                <w:sz w:val="18"/>
                <w:szCs w:val="18"/>
              </w:rPr>
              <w:t xml:space="preserve"> a</w:t>
            </w:r>
            <w:r w:rsidR="00E00DF2" w:rsidRPr="00ED5C98">
              <w:rPr>
                <w:rFonts w:ascii="Arial" w:eastAsiaTheme="minorHAnsi" w:hAnsi="Arial" w:cs="Arial"/>
                <w:b/>
                <w:bCs/>
                <w:color w:val="000000"/>
                <w:sz w:val="18"/>
                <w:szCs w:val="18"/>
              </w:rPr>
              <w:t xml:space="preserve"> 471</w:t>
            </w:r>
          </w:p>
          <w:p w14:paraId="00D917BC" w14:textId="77777777" w:rsidR="00E00DF2" w:rsidRDefault="00E00DF2" w:rsidP="00304590">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w:t>
            </w:r>
          </w:p>
          <w:p w14:paraId="00D917BD" w14:textId="77777777" w:rsidR="00E00DF2" w:rsidRPr="00ED5C98" w:rsidRDefault="00E00DF2" w:rsidP="00304590">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AČ k účtům 373 a 471</w:t>
            </w:r>
          </w:p>
        </w:tc>
        <w:tc>
          <w:tcPr>
            <w:tcW w:w="2275"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BE" w14:textId="77777777" w:rsidR="00E00DF2" w:rsidRDefault="0039290B"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čty</w:t>
            </w:r>
            <w:r w:rsidR="00E00DF2" w:rsidRPr="00ED5C98">
              <w:rPr>
                <w:rFonts w:ascii="Arial" w:eastAsiaTheme="minorHAnsi" w:hAnsi="Arial" w:cs="Arial"/>
                <w:b/>
                <w:bCs/>
                <w:color w:val="000000"/>
                <w:sz w:val="18"/>
                <w:szCs w:val="18"/>
              </w:rPr>
              <w:t xml:space="preserve"> 373</w:t>
            </w:r>
            <w:r w:rsidR="00E00DF2">
              <w:rPr>
                <w:rFonts w:ascii="Arial" w:eastAsiaTheme="minorHAnsi" w:hAnsi="Arial" w:cs="Arial"/>
                <w:b/>
                <w:bCs/>
                <w:color w:val="000000"/>
                <w:sz w:val="18"/>
                <w:szCs w:val="18"/>
              </w:rPr>
              <w:t xml:space="preserve"> a</w:t>
            </w:r>
            <w:r w:rsidR="00E00DF2" w:rsidRPr="00ED5C98">
              <w:rPr>
                <w:rFonts w:ascii="Arial" w:eastAsiaTheme="minorHAnsi" w:hAnsi="Arial" w:cs="Arial"/>
                <w:b/>
                <w:bCs/>
                <w:color w:val="000000"/>
                <w:sz w:val="18"/>
                <w:szCs w:val="18"/>
              </w:rPr>
              <w:t xml:space="preserve"> 471</w:t>
            </w:r>
          </w:p>
          <w:p w14:paraId="00D917BF"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p>
        </w:tc>
        <w:tc>
          <w:tcPr>
            <w:tcW w:w="2276" w:type="dxa"/>
            <w:vMerge/>
            <w:tcBorders>
              <w:left w:val="single" w:sz="12" w:space="0" w:color="auto"/>
              <w:bottom w:val="single" w:sz="12" w:space="0" w:color="auto"/>
              <w:right w:val="single" w:sz="12" w:space="0" w:color="auto"/>
            </w:tcBorders>
            <w:shd w:val="clear" w:color="auto" w:fill="D9D9D9" w:themeFill="background1" w:themeFillShade="D9"/>
          </w:tcPr>
          <w:p w14:paraId="00D917C0"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p>
        </w:tc>
      </w:tr>
      <w:tr w:rsidR="00E00DF2" w:rsidRPr="00ED5C98" w14:paraId="00D917C6" w14:textId="77777777" w:rsidTr="00E03926">
        <w:trPr>
          <w:trHeight w:val="305"/>
        </w:trPr>
        <w:tc>
          <w:tcPr>
            <w:tcW w:w="2275" w:type="dxa"/>
            <w:tcBorders>
              <w:top w:val="nil"/>
              <w:left w:val="single" w:sz="12" w:space="0" w:color="auto"/>
              <w:bottom w:val="single" w:sz="12" w:space="0" w:color="auto"/>
              <w:right w:val="single" w:sz="12" w:space="0" w:color="auto"/>
            </w:tcBorders>
            <w:vAlign w:val="center"/>
          </w:tcPr>
          <w:p w14:paraId="00D917C2"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10 286 816 000,00</w:t>
            </w:r>
          </w:p>
        </w:tc>
        <w:tc>
          <w:tcPr>
            <w:tcW w:w="2276" w:type="dxa"/>
            <w:tcBorders>
              <w:top w:val="nil"/>
              <w:left w:val="single" w:sz="12" w:space="0" w:color="auto"/>
              <w:bottom w:val="single" w:sz="12" w:space="0" w:color="auto"/>
              <w:right w:val="single" w:sz="12" w:space="0" w:color="auto"/>
            </w:tcBorders>
            <w:vAlign w:val="center"/>
          </w:tcPr>
          <w:p w14:paraId="00D917C3"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10 286 816 000,00</w:t>
            </w:r>
          </w:p>
        </w:tc>
        <w:tc>
          <w:tcPr>
            <w:tcW w:w="2275" w:type="dxa"/>
            <w:tcBorders>
              <w:top w:val="nil"/>
              <w:left w:val="single" w:sz="12" w:space="0" w:color="auto"/>
              <w:bottom w:val="single" w:sz="12" w:space="0" w:color="auto"/>
              <w:right w:val="single" w:sz="12" w:space="0" w:color="auto"/>
            </w:tcBorders>
            <w:vAlign w:val="center"/>
          </w:tcPr>
          <w:p w14:paraId="00D917C4"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5 143 408 000,00</w:t>
            </w:r>
          </w:p>
        </w:tc>
        <w:tc>
          <w:tcPr>
            <w:tcW w:w="2276" w:type="dxa"/>
            <w:tcBorders>
              <w:top w:val="nil"/>
              <w:left w:val="single" w:sz="12" w:space="0" w:color="auto"/>
              <w:bottom w:val="single" w:sz="12" w:space="0" w:color="auto"/>
              <w:right w:val="single" w:sz="12" w:space="0" w:color="auto"/>
            </w:tcBorders>
            <w:vAlign w:val="center"/>
          </w:tcPr>
          <w:p w14:paraId="00D917C5" w14:textId="77777777" w:rsidR="00E00DF2" w:rsidRPr="00ED5C98" w:rsidRDefault="00E00DF2" w:rsidP="007C7817">
            <w:pPr>
              <w:autoSpaceDE w:val="0"/>
              <w:autoSpaceDN w:val="0"/>
              <w:adjustRightInd w:val="0"/>
              <w:jc w:val="right"/>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25 717 040 000,00</w:t>
            </w:r>
          </w:p>
        </w:tc>
      </w:tr>
    </w:tbl>
    <w:p w14:paraId="00D917C7" w14:textId="77777777" w:rsidR="00E00DF2" w:rsidRPr="00ED5C98" w:rsidRDefault="00E00DF2" w:rsidP="00E00DF2">
      <w:pPr>
        <w:jc w:val="both"/>
        <w:rPr>
          <w:rFonts w:ascii="Arial" w:hAnsi="Arial" w:cs="Arial"/>
          <w:bCs/>
          <w:iCs/>
          <w:sz w:val="22"/>
          <w:szCs w:val="22"/>
        </w:rPr>
      </w:pPr>
    </w:p>
    <w:p w14:paraId="00D917C8" w14:textId="77777777" w:rsidR="00E00DF2" w:rsidRDefault="00E00DF2" w:rsidP="00E00DF2">
      <w:pPr>
        <w:jc w:val="both"/>
        <w:rPr>
          <w:rFonts w:ascii="Arial" w:hAnsi="Arial" w:cs="Arial"/>
          <w:bCs/>
          <w:iCs/>
          <w:sz w:val="22"/>
          <w:szCs w:val="22"/>
        </w:rPr>
      </w:pPr>
      <w:r>
        <w:rPr>
          <w:rFonts w:ascii="Arial" w:hAnsi="Arial" w:cs="Arial"/>
          <w:bCs/>
          <w:iCs/>
          <w:sz w:val="22"/>
          <w:szCs w:val="22"/>
        </w:rPr>
        <w:t xml:space="preserve">Kontrolou byla prokázána a vyčíslena nesprávnost </w:t>
      </w:r>
      <w:r w:rsidR="00F431AF">
        <w:rPr>
          <w:rFonts w:ascii="Arial" w:hAnsi="Arial" w:cs="Arial"/>
          <w:bCs/>
          <w:iCs/>
          <w:sz w:val="22"/>
          <w:szCs w:val="22"/>
        </w:rPr>
        <w:t xml:space="preserve">pouze </w:t>
      </w:r>
      <w:r>
        <w:rPr>
          <w:rFonts w:ascii="Arial" w:hAnsi="Arial" w:cs="Arial"/>
          <w:bCs/>
          <w:iCs/>
          <w:sz w:val="22"/>
          <w:szCs w:val="22"/>
        </w:rPr>
        <w:t>v případě neza</w:t>
      </w:r>
      <w:r w:rsidR="00C956A5">
        <w:rPr>
          <w:rFonts w:ascii="Arial" w:hAnsi="Arial" w:cs="Arial"/>
          <w:bCs/>
          <w:iCs/>
          <w:sz w:val="22"/>
          <w:szCs w:val="22"/>
        </w:rPr>
        <w:t>účtované výše záloh u </w:t>
      </w:r>
      <w:r>
        <w:rPr>
          <w:rFonts w:ascii="Arial" w:hAnsi="Arial" w:cs="Arial"/>
          <w:bCs/>
          <w:iCs/>
          <w:sz w:val="22"/>
          <w:szCs w:val="22"/>
        </w:rPr>
        <w:t xml:space="preserve">národních dotací (tj. dotací bez spolufinancování ze zahraničí), a to jen v případě údajů, které měly být v PAP zachyceny v údajích k obratům na straně MD účtů </w:t>
      </w:r>
      <w:r w:rsidR="0039290B">
        <w:rPr>
          <w:rFonts w:ascii="Arial" w:hAnsi="Arial" w:cs="Arial"/>
          <w:bCs/>
          <w:iCs/>
          <w:sz w:val="22"/>
          <w:szCs w:val="22"/>
        </w:rPr>
        <w:br/>
      </w:r>
      <w:r>
        <w:rPr>
          <w:rFonts w:ascii="Arial" w:hAnsi="Arial" w:cs="Arial"/>
          <w:bCs/>
          <w:iCs/>
          <w:sz w:val="22"/>
          <w:szCs w:val="22"/>
        </w:rPr>
        <w:t xml:space="preserve">373 </w:t>
      </w:r>
      <w:r w:rsidR="00C956A5">
        <w:rPr>
          <w:rFonts w:ascii="Arial" w:hAnsi="Arial" w:cs="Arial"/>
          <w:bCs/>
          <w:iCs/>
          <w:sz w:val="22"/>
          <w:szCs w:val="22"/>
        </w:rPr>
        <w:t>–</w:t>
      </w:r>
      <w:r w:rsidR="00391D85">
        <w:rPr>
          <w:rFonts w:ascii="Arial" w:hAnsi="Arial" w:cs="Arial"/>
          <w:bCs/>
          <w:iCs/>
          <w:sz w:val="22"/>
          <w:szCs w:val="22"/>
        </w:rPr>
        <w:t xml:space="preserve"> </w:t>
      </w:r>
      <w:r w:rsidR="00391D85" w:rsidRPr="00454A48">
        <w:rPr>
          <w:rFonts w:ascii="Arial" w:hAnsi="Arial" w:cs="Arial"/>
          <w:i/>
          <w:sz w:val="22"/>
          <w:szCs w:val="22"/>
        </w:rPr>
        <w:t>Krátkodobé poskytnuté zálohy na transfery</w:t>
      </w:r>
      <w:r w:rsidR="00391D85">
        <w:rPr>
          <w:rFonts w:ascii="Arial" w:hAnsi="Arial" w:cs="Arial"/>
          <w:bCs/>
          <w:iCs/>
          <w:sz w:val="22"/>
          <w:szCs w:val="22"/>
        </w:rPr>
        <w:t xml:space="preserve"> </w:t>
      </w:r>
      <w:r>
        <w:rPr>
          <w:rFonts w:ascii="Arial" w:hAnsi="Arial" w:cs="Arial"/>
          <w:bCs/>
          <w:iCs/>
          <w:sz w:val="22"/>
          <w:szCs w:val="22"/>
        </w:rPr>
        <w:t>a 471</w:t>
      </w:r>
      <w:r w:rsidR="00391D85">
        <w:rPr>
          <w:rFonts w:ascii="Arial" w:hAnsi="Arial" w:cs="Arial"/>
          <w:bCs/>
          <w:iCs/>
          <w:sz w:val="22"/>
          <w:szCs w:val="22"/>
        </w:rPr>
        <w:t xml:space="preserve"> </w:t>
      </w:r>
      <w:r w:rsidR="00C956A5">
        <w:rPr>
          <w:rFonts w:ascii="Arial" w:hAnsi="Arial" w:cs="Arial"/>
          <w:bCs/>
          <w:iCs/>
          <w:sz w:val="22"/>
          <w:szCs w:val="22"/>
        </w:rPr>
        <w:t>–</w:t>
      </w:r>
      <w:r w:rsidR="00391D85" w:rsidRPr="00391D85">
        <w:rPr>
          <w:rFonts w:ascii="Arial" w:hAnsi="Arial" w:cs="Arial"/>
          <w:i/>
          <w:sz w:val="22"/>
          <w:szCs w:val="22"/>
        </w:rPr>
        <w:t xml:space="preserve"> </w:t>
      </w:r>
      <w:r w:rsidR="00391D85" w:rsidRPr="00454A48">
        <w:rPr>
          <w:rFonts w:ascii="Arial" w:hAnsi="Arial" w:cs="Arial"/>
          <w:i/>
          <w:sz w:val="22"/>
          <w:szCs w:val="22"/>
        </w:rPr>
        <w:t>Dlouhodobé poskytnuté zálohy na transfery</w:t>
      </w:r>
      <w:r>
        <w:rPr>
          <w:rFonts w:ascii="Arial" w:hAnsi="Arial" w:cs="Arial"/>
          <w:bCs/>
          <w:iCs/>
          <w:sz w:val="22"/>
          <w:szCs w:val="22"/>
        </w:rPr>
        <w:t xml:space="preserve">. </w:t>
      </w:r>
    </w:p>
    <w:p w14:paraId="00D917C9" w14:textId="77777777" w:rsidR="00391D85" w:rsidRDefault="00391D85" w:rsidP="00E00DF2">
      <w:pPr>
        <w:jc w:val="both"/>
        <w:rPr>
          <w:rFonts w:ascii="Arial" w:hAnsi="Arial" w:cs="Arial"/>
          <w:b/>
          <w:bCs/>
          <w:iCs/>
          <w:sz w:val="22"/>
          <w:szCs w:val="22"/>
        </w:rPr>
      </w:pPr>
    </w:p>
    <w:p w14:paraId="00D917CA" w14:textId="77777777" w:rsidR="00E00DF2" w:rsidRPr="00ED5C98" w:rsidRDefault="00E00DF2" w:rsidP="00E00DF2">
      <w:pPr>
        <w:jc w:val="both"/>
        <w:rPr>
          <w:rFonts w:ascii="Arial" w:hAnsi="Arial" w:cs="Arial"/>
          <w:bCs/>
          <w:iCs/>
          <w:sz w:val="22"/>
          <w:szCs w:val="22"/>
        </w:rPr>
      </w:pPr>
      <w:r w:rsidRPr="00B52452">
        <w:rPr>
          <w:rFonts w:ascii="Arial" w:hAnsi="Arial" w:cs="Arial"/>
          <w:color w:val="000000"/>
          <w:sz w:val="22"/>
          <w:szCs w:val="22"/>
        </w:rPr>
        <w:t xml:space="preserve">MPO nesprávně účtovalo </w:t>
      </w:r>
      <w:r>
        <w:rPr>
          <w:rFonts w:ascii="Arial" w:hAnsi="Arial" w:cs="Arial"/>
          <w:color w:val="000000"/>
          <w:sz w:val="22"/>
          <w:szCs w:val="22"/>
        </w:rPr>
        <w:t xml:space="preserve">také </w:t>
      </w:r>
      <w:r w:rsidRPr="00B52452">
        <w:rPr>
          <w:rFonts w:ascii="Arial" w:hAnsi="Arial" w:cs="Arial"/>
          <w:color w:val="000000"/>
          <w:sz w:val="22"/>
          <w:szCs w:val="22"/>
        </w:rPr>
        <w:t xml:space="preserve">o vratkách prostředků </w:t>
      </w:r>
      <w:r w:rsidRPr="00B52452">
        <w:rPr>
          <w:rFonts w:ascii="Arial" w:hAnsi="Arial" w:cs="Arial"/>
          <w:sz w:val="22"/>
          <w:szCs w:val="22"/>
        </w:rPr>
        <w:t xml:space="preserve">z nespotřebovaných dotací a </w:t>
      </w:r>
      <w:r w:rsidR="0039290B">
        <w:rPr>
          <w:rFonts w:ascii="Arial" w:hAnsi="Arial" w:cs="Arial"/>
          <w:sz w:val="22"/>
          <w:szCs w:val="22"/>
        </w:rPr>
        <w:t xml:space="preserve">o </w:t>
      </w:r>
      <w:r w:rsidRPr="00B52452">
        <w:rPr>
          <w:rFonts w:ascii="Arial" w:hAnsi="Arial" w:cs="Arial"/>
          <w:sz w:val="22"/>
          <w:szCs w:val="22"/>
        </w:rPr>
        <w:t>jejich převodu na Ministerstvo financí</w:t>
      </w:r>
      <w:r w:rsidRPr="00B52452">
        <w:rPr>
          <w:rFonts w:ascii="Arial" w:hAnsi="Arial" w:cs="Arial"/>
          <w:bCs/>
          <w:iCs/>
          <w:sz w:val="22"/>
          <w:szCs w:val="22"/>
        </w:rPr>
        <w:t>.</w:t>
      </w:r>
      <w:r>
        <w:rPr>
          <w:rFonts w:ascii="Arial" w:hAnsi="Arial" w:cs="Arial"/>
          <w:bCs/>
          <w:iCs/>
          <w:sz w:val="22"/>
          <w:szCs w:val="22"/>
        </w:rPr>
        <w:t xml:space="preserve"> </w:t>
      </w:r>
      <w:r w:rsidR="009B6838">
        <w:rPr>
          <w:rFonts w:ascii="Arial" w:hAnsi="Arial" w:cs="Arial"/>
          <w:bCs/>
          <w:iCs/>
          <w:sz w:val="22"/>
          <w:szCs w:val="22"/>
        </w:rPr>
        <w:t xml:space="preserve">Správně měly být </w:t>
      </w:r>
      <w:r w:rsidR="0039290B">
        <w:rPr>
          <w:rFonts w:ascii="Arial" w:hAnsi="Arial" w:cs="Arial"/>
          <w:bCs/>
          <w:iCs/>
          <w:sz w:val="22"/>
          <w:szCs w:val="22"/>
        </w:rPr>
        <w:t>tyto</w:t>
      </w:r>
      <w:r>
        <w:rPr>
          <w:rFonts w:ascii="Arial" w:hAnsi="Arial" w:cs="Arial"/>
          <w:bCs/>
          <w:iCs/>
          <w:sz w:val="22"/>
          <w:szCs w:val="22"/>
        </w:rPr>
        <w:t xml:space="preserve"> prostředky</w:t>
      </w:r>
      <w:r w:rsidR="0039290B">
        <w:rPr>
          <w:rFonts w:ascii="Arial" w:hAnsi="Arial" w:cs="Arial"/>
          <w:bCs/>
          <w:iCs/>
          <w:sz w:val="22"/>
          <w:szCs w:val="22"/>
        </w:rPr>
        <w:t>, které příjemci vrátili,</w:t>
      </w:r>
      <w:r>
        <w:rPr>
          <w:rFonts w:ascii="Arial" w:hAnsi="Arial" w:cs="Arial"/>
          <w:bCs/>
          <w:iCs/>
          <w:sz w:val="22"/>
          <w:szCs w:val="22"/>
        </w:rPr>
        <w:t xml:space="preserve"> zúčtovány s poskytnutou zálohou, protože však MPO o takové záloze neúčtovalo, použilo nesprávně </w:t>
      </w:r>
      <w:r w:rsidRPr="00ED5C98">
        <w:rPr>
          <w:rFonts w:ascii="Arial" w:hAnsi="Arial" w:cs="Arial"/>
          <w:bCs/>
          <w:iCs/>
          <w:sz w:val="22"/>
          <w:szCs w:val="22"/>
        </w:rPr>
        <w:t>syntetick</w:t>
      </w:r>
      <w:r>
        <w:rPr>
          <w:rFonts w:ascii="Arial" w:hAnsi="Arial" w:cs="Arial"/>
          <w:bCs/>
          <w:iCs/>
          <w:sz w:val="22"/>
          <w:szCs w:val="22"/>
        </w:rPr>
        <w:t>ý</w:t>
      </w:r>
      <w:r w:rsidRPr="00ED5C98">
        <w:rPr>
          <w:rFonts w:ascii="Arial" w:hAnsi="Arial" w:cs="Arial"/>
          <w:bCs/>
          <w:iCs/>
          <w:sz w:val="22"/>
          <w:szCs w:val="22"/>
        </w:rPr>
        <w:t xml:space="preserve"> úč</w:t>
      </w:r>
      <w:r>
        <w:rPr>
          <w:rFonts w:ascii="Arial" w:hAnsi="Arial" w:cs="Arial"/>
          <w:bCs/>
          <w:iCs/>
          <w:sz w:val="22"/>
          <w:szCs w:val="22"/>
        </w:rPr>
        <w:t>e</w:t>
      </w:r>
      <w:r w:rsidRPr="00ED5C98">
        <w:rPr>
          <w:rFonts w:ascii="Arial" w:hAnsi="Arial" w:cs="Arial"/>
          <w:bCs/>
          <w:iCs/>
          <w:sz w:val="22"/>
          <w:szCs w:val="22"/>
        </w:rPr>
        <w:t xml:space="preserve">t </w:t>
      </w:r>
      <w:r w:rsidRPr="00260B0C">
        <w:rPr>
          <w:rFonts w:ascii="Arial" w:hAnsi="Arial" w:cs="Arial"/>
          <w:bCs/>
          <w:iCs/>
          <w:sz w:val="22"/>
          <w:szCs w:val="22"/>
        </w:rPr>
        <w:t xml:space="preserve">378 </w:t>
      </w:r>
      <w:r w:rsidRPr="00ED5C98">
        <w:rPr>
          <w:rFonts w:ascii="Arial" w:hAnsi="Arial" w:cs="Arial"/>
          <w:bCs/>
          <w:i/>
          <w:iCs/>
          <w:sz w:val="22"/>
          <w:szCs w:val="22"/>
        </w:rPr>
        <w:t>– Ostatní krátkodobé závazky</w:t>
      </w:r>
      <w:r>
        <w:rPr>
          <w:rFonts w:ascii="Arial" w:hAnsi="Arial" w:cs="Arial"/>
          <w:bCs/>
          <w:i/>
          <w:iCs/>
          <w:sz w:val="22"/>
          <w:szCs w:val="22"/>
        </w:rPr>
        <w:t>.</w:t>
      </w:r>
      <w:r w:rsidRPr="00ED5C98">
        <w:rPr>
          <w:rFonts w:ascii="Arial" w:hAnsi="Arial" w:cs="Arial"/>
          <w:bCs/>
          <w:iCs/>
          <w:sz w:val="22"/>
          <w:szCs w:val="22"/>
        </w:rPr>
        <w:t xml:space="preserve"> </w:t>
      </w:r>
      <w:r>
        <w:rPr>
          <w:rFonts w:ascii="Arial" w:hAnsi="Arial" w:cs="Arial"/>
          <w:bCs/>
          <w:iCs/>
          <w:sz w:val="22"/>
          <w:szCs w:val="22"/>
        </w:rPr>
        <w:t>Účtování</w:t>
      </w:r>
      <w:r w:rsidRPr="00ED5C98">
        <w:rPr>
          <w:rFonts w:ascii="Arial" w:hAnsi="Arial" w:cs="Arial"/>
          <w:bCs/>
          <w:iCs/>
          <w:sz w:val="22"/>
          <w:szCs w:val="22"/>
        </w:rPr>
        <w:t xml:space="preserve"> tímto způsobem </w:t>
      </w:r>
      <w:r>
        <w:rPr>
          <w:rFonts w:ascii="Arial" w:hAnsi="Arial" w:cs="Arial"/>
          <w:bCs/>
          <w:iCs/>
          <w:sz w:val="22"/>
          <w:szCs w:val="22"/>
        </w:rPr>
        <w:t xml:space="preserve">však </w:t>
      </w:r>
      <w:r w:rsidRPr="00ED5C98">
        <w:rPr>
          <w:rFonts w:ascii="Arial" w:hAnsi="Arial" w:cs="Arial"/>
          <w:bCs/>
          <w:iCs/>
          <w:sz w:val="22"/>
          <w:szCs w:val="22"/>
        </w:rPr>
        <w:t>Č</w:t>
      </w:r>
      <w:r w:rsidR="00E03661">
        <w:rPr>
          <w:rFonts w:ascii="Arial" w:hAnsi="Arial" w:cs="Arial"/>
          <w:bCs/>
          <w:iCs/>
          <w:sz w:val="22"/>
          <w:szCs w:val="22"/>
        </w:rPr>
        <w:t>ÚS</w:t>
      </w:r>
      <w:r w:rsidRPr="00ED5C98">
        <w:rPr>
          <w:rFonts w:ascii="Arial" w:hAnsi="Arial" w:cs="Arial"/>
          <w:bCs/>
          <w:iCs/>
          <w:sz w:val="22"/>
          <w:szCs w:val="22"/>
        </w:rPr>
        <w:t xml:space="preserve"> č. 703 – </w:t>
      </w:r>
      <w:r w:rsidRPr="00391D85">
        <w:rPr>
          <w:rFonts w:ascii="Arial" w:hAnsi="Arial" w:cs="Arial"/>
          <w:bCs/>
          <w:i/>
          <w:iCs/>
          <w:sz w:val="22"/>
          <w:szCs w:val="22"/>
        </w:rPr>
        <w:t>Transfery</w:t>
      </w:r>
      <w:r>
        <w:rPr>
          <w:rFonts w:ascii="Arial" w:hAnsi="Arial" w:cs="Arial"/>
          <w:bCs/>
          <w:iCs/>
          <w:sz w:val="22"/>
          <w:szCs w:val="22"/>
        </w:rPr>
        <w:t xml:space="preserve"> neumožňuje</w:t>
      </w:r>
      <w:r w:rsidRPr="00ED5C98">
        <w:rPr>
          <w:rFonts w:ascii="Arial" w:hAnsi="Arial" w:cs="Arial"/>
          <w:bCs/>
          <w:iCs/>
          <w:sz w:val="22"/>
          <w:szCs w:val="22"/>
        </w:rPr>
        <w:t>.</w:t>
      </w:r>
    </w:p>
    <w:p w14:paraId="00D917CB" w14:textId="77777777" w:rsidR="00E00DF2" w:rsidRPr="00ED5C98" w:rsidRDefault="00E00DF2" w:rsidP="00E00DF2">
      <w:pPr>
        <w:jc w:val="both"/>
        <w:rPr>
          <w:rFonts w:ascii="Arial" w:hAnsi="Arial" w:cs="Arial"/>
          <w:bCs/>
          <w:iCs/>
          <w:sz w:val="22"/>
          <w:szCs w:val="22"/>
        </w:rPr>
      </w:pPr>
    </w:p>
    <w:p w14:paraId="00D917CC" w14:textId="77777777" w:rsidR="00E00DF2" w:rsidRDefault="00E00DF2" w:rsidP="00E00DF2">
      <w:pPr>
        <w:jc w:val="both"/>
        <w:rPr>
          <w:rFonts w:ascii="Arial" w:hAnsi="Arial" w:cs="Arial"/>
          <w:bCs/>
          <w:iCs/>
          <w:sz w:val="22"/>
          <w:szCs w:val="22"/>
        </w:rPr>
      </w:pPr>
      <w:r w:rsidRPr="00ED5C98">
        <w:rPr>
          <w:rFonts w:ascii="Arial" w:hAnsi="Arial" w:cs="Arial"/>
          <w:bCs/>
          <w:iCs/>
          <w:sz w:val="22"/>
          <w:szCs w:val="22"/>
        </w:rPr>
        <w:t xml:space="preserve">Nesprávně zachycené údaje </w:t>
      </w:r>
      <w:r>
        <w:rPr>
          <w:rFonts w:ascii="Arial" w:hAnsi="Arial" w:cs="Arial"/>
          <w:bCs/>
          <w:iCs/>
          <w:sz w:val="22"/>
          <w:szCs w:val="22"/>
        </w:rPr>
        <w:t>o vratkách přeplatků přeneslo</w:t>
      </w:r>
      <w:r w:rsidRPr="00ED5C98">
        <w:rPr>
          <w:rFonts w:ascii="Arial" w:hAnsi="Arial" w:cs="Arial"/>
          <w:bCs/>
          <w:iCs/>
          <w:sz w:val="22"/>
          <w:szCs w:val="22"/>
        </w:rPr>
        <w:t xml:space="preserve"> MPO </w:t>
      </w:r>
      <w:r>
        <w:rPr>
          <w:rFonts w:ascii="Arial" w:hAnsi="Arial" w:cs="Arial"/>
          <w:bCs/>
          <w:iCs/>
          <w:sz w:val="22"/>
          <w:szCs w:val="22"/>
        </w:rPr>
        <w:t>následně</w:t>
      </w:r>
      <w:r w:rsidRPr="00ED5C98">
        <w:rPr>
          <w:rFonts w:ascii="Arial" w:hAnsi="Arial" w:cs="Arial"/>
          <w:bCs/>
          <w:iCs/>
          <w:sz w:val="22"/>
          <w:szCs w:val="22"/>
        </w:rPr>
        <w:t xml:space="preserve"> do údajů </w:t>
      </w:r>
      <w:r>
        <w:rPr>
          <w:rFonts w:ascii="Arial" w:hAnsi="Arial" w:cs="Arial"/>
          <w:bCs/>
          <w:iCs/>
          <w:sz w:val="22"/>
          <w:szCs w:val="22"/>
        </w:rPr>
        <w:t>uvedených</w:t>
      </w:r>
      <w:r w:rsidRPr="00ED5C98">
        <w:rPr>
          <w:rFonts w:ascii="Arial" w:hAnsi="Arial" w:cs="Arial"/>
          <w:bCs/>
          <w:iCs/>
          <w:sz w:val="22"/>
          <w:szCs w:val="22"/>
        </w:rPr>
        <w:t xml:space="preserve"> v PAP k 31.</w:t>
      </w:r>
      <w:r>
        <w:rPr>
          <w:rFonts w:ascii="Arial" w:hAnsi="Arial" w:cs="Arial"/>
          <w:bCs/>
          <w:iCs/>
          <w:sz w:val="22"/>
          <w:szCs w:val="22"/>
        </w:rPr>
        <w:t xml:space="preserve"> prosinci</w:t>
      </w:r>
      <w:r w:rsidRPr="00ED5C98">
        <w:rPr>
          <w:rFonts w:ascii="Arial" w:hAnsi="Arial" w:cs="Arial"/>
          <w:bCs/>
          <w:iCs/>
          <w:sz w:val="22"/>
          <w:szCs w:val="22"/>
        </w:rPr>
        <w:t xml:space="preserve"> 2012. Částka t</w:t>
      </w:r>
      <w:r>
        <w:rPr>
          <w:rFonts w:ascii="Arial" w:hAnsi="Arial" w:cs="Arial"/>
          <w:bCs/>
          <w:iCs/>
          <w:sz w:val="22"/>
          <w:szCs w:val="22"/>
        </w:rPr>
        <w:t xml:space="preserve">ěchto vratek za rok 2011, odvedených v roce 2012 na vypořádací účet Ministerstva financí, </w:t>
      </w:r>
      <w:r w:rsidRPr="00ED5C98">
        <w:rPr>
          <w:rFonts w:ascii="Arial" w:hAnsi="Arial" w:cs="Arial"/>
          <w:bCs/>
          <w:iCs/>
          <w:sz w:val="22"/>
          <w:szCs w:val="22"/>
        </w:rPr>
        <w:t>činila 43 319 855,99 Kč a v PAP MPO se promítla</w:t>
      </w:r>
      <w:r>
        <w:rPr>
          <w:rFonts w:ascii="Arial" w:hAnsi="Arial" w:cs="Arial"/>
          <w:bCs/>
          <w:iCs/>
          <w:sz w:val="22"/>
          <w:szCs w:val="22"/>
        </w:rPr>
        <w:t xml:space="preserve"> </w:t>
      </w:r>
      <w:r w:rsidRPr="00ED5C98">
        <w:rPr>
          <w:rFonts w:ascii="Arial" w:hAnsi="Arial" w:cs="Arial"/>
          <w:bCs/>
          <w:iCs/>
          <w:sz w:val="22"/>
          <w:szCs w:val="22"/>
        </w:rPr>
        <w:t>v důsledku řetězení do částí I, VII</w:t>
      </w:r>
      <w:r>
        <w:rPr>
          <w:rFonts w:ascii="Arial" w:hAnsi="Arial" w:cs="Arial"/>
          <w:bCs/>
          <w:iCs/>
          <w:sz w:val="22"/>
          <w:szCs w:val="22"/>
        </w:rPr>
        <w:t xml:space="preserve"> a</w:t>
      </w:r>
      <w:r w:rsidRPr="00ED5C98">
        <w:rPr>
          <w:rFonts w:ascii="Arial" w:hAnsi="Arial" w:cs="Arial"/>
          <w:bCs/>
          <w:iCs/>
          <w:sz w:val="22"/>
          <w:szCs w:val="22"/>
        </w:rPr>
        <w:t xml:space="preserve"> X v celkové výši 216 599 279,95 Kč</w:t>
      </w:r>
      <w:r>
        <w:rPr>
          <w:rFonts w:ascii="Arial" w:hAnsi="Arial" w:cs="Arial"/>
          <w:bCs/>
          <w:iCs/>
          <w:sz w:val="22"/>
          <w:szCs w:val="22"/>
        </w:rPr>
        <w:t xml:space="preserve"> (viz tabulka č. 6). Celá částka</w:t>
      </w:r>
      <w:r w:rsidRPr="00ED5C98">
        <w:rPr>
          <w:rFonts w:ascii="Arial" w:hAnsi="Arial" w:cs="Arial"/>
          <w:bCs/>
          <w:iCs/>
          <w:sz w:val="22"/>
          <w:szCs w:val="22"/>
        </w:rPr>
        <w:t xml:space="preserve"> je tvořena obratem strany MD</w:t>
      </w:r>
      <w:r>
        <w:rPr>
          <w:rFonts w:ascii="Arial" w:hAnsi="Arial" w:cs="Arial"/>
          <w:bCs/>
          <w:iCs/>
          <w:sz w:val="22"/>
          <w:szCs w:val="22"/>
        </w:rPr>
        <w:t xml:space="preserve"> účtu 378</w:t>
      </w:r>
      <w:r w:rsidR="00560025">
        <w:rPr>
          <w:rFonts w:ascii="Arial" w:hAnsi="Arial" w:cs="Arial"/>
          <w:bCs/>
          <w:iCs/>
          <w:sz w:val="22"/>
          <w:szCs w:val="22"/>
        </w:rPr>
        <w:t xml:space="preserve"> –</w:t>
      </w:r>
      <w:r w:rsidR="00614305">
        <w:rPr>
          <w:rFonts w:ascii="Arial" w:hAnsi="Arial" w:cs="Arial"/>
          <w:bCs/>
          <w:iCs/>
          <w:sz w:val="22"/>
          <w:szCs w:val="22"/>
        </w:rPr>
        <w:t xml:space="preserve"> </w:t>
      </w:r>
      <w:r w:rsidR="00614305" w:rsidRPr="00ED5C98">
        <w:rPr>
          <w:rFonts w:ascii="Arial" w:hAnsi="Arial" w:cs="Arial"/>
          <w:bCs/>
          <w:i/>
          <w:iCs/>
          <w:sz w:val="22"/>
          <w:szCs w:val="22"/>
        </w:rPr>
        <w:t>Ostatní krátkodobé závazky</w:t>
      </w:r>
      <w:r>
        <w:rPr>
          <w:rFonts w:ascii="Arial" w:hAnsi="Arial" w:cs="Arial"/>
          <w:bCs/>
          <w:iCs/>
          <w:sz w:val="22"/>
          <w:szCs w:val="22"/>
        </w:rPr>
        <w:t>.</w:t>
      </w:r>
    </w:p>
    <w:p w14:paraId="00D917CD" w14:textId="77777777" w:rsidR="00A30487" w:rsidRDefault="00A30487">
      <w:pPr>
        <w:spacing w:after="200" w:line="276" w:lineRule="auto"/>
        <w:rPr>
          <w:rFonts w:ascii="Arial" w:hAnsi="Arial" w:cs="Arial"/>
          <w:bCs/>
          <w:iCs/>
          <w:sz w:val="22"/>
          <w:szCs w:val="22"/>
        </w:rPr>
      </w:pPr>
      <w:r>
        <w:rPr>
          <w:rFonts w:ascii="Arial" w:hAnsi="Arial" w:cs="Arial"/>
          <w:bCs/>
          <w:iCs/>
          <w:sz w:val="22"/>
          <w:szCs w:val="22"/>
        </w:rPr>
        <w:br w:type="page"/>
      </w:r>
    </w:p>
    <w:p w14:paraId="00D917CE" w14:textId="77777777" w:rsidR="00E00DF2" w:rsidRDefault="00E03661" w:rsidP="00A30487">
      <w:pPr>
        <w:tabs>
          <w:tab w:val="right" w:pos="9072"/>
        </w:tabs>
        <w:spacing w:after="40"/>
        <w:ind w:left="1474" w:hanging="1474"/>
        <w:rPr>
          <w:rFonts w:ascii="Arial" w:hAnsi="Arial" w:cs="Arial"/>
          <w:b/>
          <w:sz w:val="22"/>
          <w:szCs w:val="22"/>
        </w:rPr>
      </w:pPr>
      <w:r>
        <w:rPr>
          <w:rFonts w:ascii="Arial" w:hAnsi="Arial" w:cs="Arial"/>
          <w:b/>
          <w:sz w:val="22"/>
          <w:szCs w:val="22"/>
        </w:rPr>
        <w:lastRenderedPageBreak/>
        <w:t>T</w:t>
      </w:r>
      <w:r w:rsidR="00E00DF2" w:rsidRPr="00B73BBD">
        <w:rPr>
          <w:rFonts w:ascii="Arial" w:hAnsi="Arial" w:cs="Arial"/>
          <w:b/>
          <w:sz w:val="22"/>
          <w:szCs w:val="22"/>
        </w:rPr>
        <w:t>abulka č. 6 –</w:t>
      </w:r>
      <w:r w:rsidR="0039290B">
        <w:rPr>
          <w:rFonts w:ascii="Arial" w:hAnsi="Arial" w:cs="Arial"/>
          <w:b/>
          <w:sz w:val="22"/>
          <w:szCs w:val="22"/>
        </w:rPr>
        <w:t xml:space="preserve"> </w:t>
      </w:r>
      <w:r w:rsidR="00E00DF2" w:rsidRPr="00B73BBD">
        <w:rPr>
          <w:rFonts w:ascii="Arial" w:hAnsi="Arial" w:cs="Arial"/>
          <w:b/>
          <w:sz w:val="22"/>
          <w:szCs w:val="22"/>
        </w:rPr>
        <w:t>Nes</w:t>
      </w:r>
      <w:r w:rsidR="00E00DF2">
        <w:rPr>
          <w:rFonts w:ascii="Arial" w:hAnsi="Arial" w:cs="Arial"/>
          <w:b/>
          <w:sz w:val="22"/>
          <w:szCs w:val="22"/>
        </w:rPr>
        <w:t xml:space="preserve">právnosti přenesené z účetnictví do </w:t>
      </w:r>
      <w:r w:rsidR="00E00DF2" w:rsidRPr="002A7A11">
        <w:rPr>
          <w:rFonts w:ascii="Arial" w:hAnsi="Arial" w:cs="Arial"/>
          <w:b/>
          <w:sz w:val="22"/>
          <w:szCs w:val="22"/>
        </w:rPr>
        <w:t>PAP MPO k 31.</w:t>
      </w:r>
      <w:r w:rsidR="00E03926">
        <w:rPr>
          <w:rFonts w:ascii="Arial" w:hAnsi="Arial" w:cs="Arial"/>
          <w:b/>
          <w:sz w:val="22"/>
          <w:szCs w:val="22"/>
        </w:rPr>
        <w:t> </w:t>
      </w:r>
      <w:r w:rsidR="00E00DF2">
        <w:rPr>
          <w:rFonts w:ascii="Arial" w:hAnsi="Arial" w:cs="Arial"/>
          <w:b/>
          <w:sz w:val="22"/>
          <w:szCs w:val="22"/>
        </w:rPr>
        <w:t>prosinci</w:t>
      </w:r>
      <w:r w:rsidR="00E03926">
        <w:rPr>
          <w:rFonts w:ascii="Arial" w:hAnsi="Arial" w:cs="Arial"/>
          <w:b/>
          <w:sz w:val="22"/>
          <w:szCs w:val="22"/>
        </w:rPr>
        <w:t> </w:t>
      </w:r>
      <w:r w:rsidR="00E00DF2" w:rsidRPr="002A7A11">
        <w:rPr>
          <w:rFonts w:ascii="Arial" w:hAnsi="Arial" w:cs="Arial"/>
          <w:b/>
          <w:sz w:val="22"/>
          <w:szCs w:val="22"/>
        </w:rPr>
        <w:t>2012</w:t>
      </w:r>
      <w:r w:rsidR="00560025">
        <w:rPr>
          <w:rFonts w:ascii="Arial" w:hAnsi="Arial" w:cs="Arial"/>
          <w:b/>
          <w:sz w:val="22"/>
          <w:szCs w:val="22"/>
        </w:rPr>
        <w:t xml:space="preserve"> v </w:t>
      </w:r>
      <w:r w:rsidR="00E00DF2">
        <w:rPr>
          <w:rFonts w:ascii="Arial" w:hAnsi="Arial" w:cs="Arial"/>
          <w:b/>
          <w:sz w:val="22"/>
          <w:szCs w:val="22"/>
        </w:rPr>
        <w:t xml:space="preserve">důsledku nesprávného účtování o vratkách nespotřebovaných dotací a </w:t>
      </w:r>
      <w:r w:rsidR="0039290B">
        <w:rPr>
          <w:rFonts w:ascii="Arial" w:hAnsi="Arial" w:cs="Arial"/>
          <w:b/>
          <w:sz w:val="22"/>
          <w:szCs w:val="22"/>
        </w:rPr>
        <w:t xml:space="preserve">o </w:t>
      </w:r>
      <w:r w:rsidR="00E00DF2">
        <w:rPr>
          <w:rFonts w:ascii="Arial" w:hAnsi="Arial" w:cs="Arial"/>
          <w:b/>
          <w:sz w:val="22"/>
          <w:szCs w:val="22"/>
        </w:rPr>
        <w:t>jejich převodu na M</w:t>
      </w:r>
      <w:r w:rsidR="0039290B">
        <w:rPr>
          <w:rFonts w:ascii="Arial" w:hAnsi="Arial" w:cs="Arial"/>
          <w:b/>
          <w:sz w:val="22"/>
          <w:szCs w:val="22"/>
        </w:rPr>
        <w:t xml:space="preserve">F </w:t>
      </w:r>
      <w:r w:rsidR="00A30487">
        <w:rPr>
          <w:rFonts w:ascii="Arial" w:hAnsi="Arial" w:cs="Arial"/>
          <w:b/>
          <w:sz w:val="22"/>
          <w:szCs w:val="22"/>
        </w:rPr>
        <w:tab/>
      </w:r>
      <w:r w:rsidR="00E00DF2">
        <w:rPr>
          <w:rFonts w:ascii="Arial" w:hAnsi="Arial" w:cs="Arial"/>
          <w:b/>
          <w:sz w:val="22"/>
          <w:szCs w:val="22"/>
        </w:rPr>
        <w:t>(v Kč)</w:t>
      </w:r>
    </w:p>
    <w:tbl>
      <w:tblPr>
        <w:tblW w:w="0" w:type="auto"/>
        <w:tblInd w:w="40" w:type="dxa"/>
        <w:tblCellMar>
          <w:left w:w="70" w:type="dxa"/>
          <w:right w:w="70" w:type="dxa"/>
        </w:tblCellMar>
        <w:tblLook w:val="0000" w:firstRow="0" w:lastRow="0" w:firstColumn="0" w:lastColumn="0" w:noHBand="0" w:noVBand="0"/>
      </w:tblPr>
      <w:tblGrid>
        <w:gridCol w:w="2275"/>
        <w:gridCol w:w="2276"/>
        <w:gridCol w:w="2275"/>
        <w:gridCol w:w="2276"/>
      </w:tblGrid>
      <w:tr w:rsidR="00E00DF2" w:rsidRPr="00ED5C98" w14:paraId="00D917D3" w14:textId="77777777" w:rsidTr="00260B0C">
        <w:trPr>
          <w:trHeight w:val="290"/>
        </w:trPr>
        <w:tc>
          <w:tcPr>
            <w:tcW w:w="2275" w:type="dxa"/>
            <w:tcBorders>
              <w:top w:val="single" w:sz="12" w:space="0" w:color="auto"/>
              <w:left w:val="single" w:sz="12" w:space="0" w:color="auto"/>
              <w:bottom w:val="single" w:sz="6" w:space="0" w:color="auto"/>
              <w:right w:val="nil"/>
            </w:tcBorders>
            <w:shd w:val="clear" w:color="auto" w:fill="C6D9F1" w:themeFill="text2" w:themeFillTint="33"/>
            <w:vAlign w:val="center"/>
          </w:tcPr>
          <w:p w14:paraId="00D917CF"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I</w:t>
            </w:r>
          </w:p>
        </w:tc>
        <w:tc>
          <w:tcPr>
            <w:tcW w:w="2276" w:type="dxa"/>
            <w:tcBorders>
              <w:top w:val="single" w:sz="12" w:space="0" w:color="auto"/>
              <w:left w:val="single" w:sz="12" w:space="0" w:color="auto"/>
              <w:bottom w:val="single" w:sz="6" w:space="0" w:color="auto"/>
              <w:right w:val="nil"/>
            </w:tcBorders>
            <w:shd w:val="clear" w:color="auto" w:fill="C6D9F1" w:themeFill="text2" w:themeFillTint="33"/>
            <w:vAlign w:val="center"/>
          </w:tcPr>
          <w:p w14:paraId="00D917D0"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VII</w:t>
            </w:r>
          </w:p>
        </w:tc>
        <w:tc>
          <w:tcPr>
            <w:tcW w:w="2275"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D1"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X</w:t>
            </w:r>
          </w:p>
        </w:tc>
        <w:tc>
          <w:tcPr>
            <w:tcW w:w="2276" w:type="dxa"/>
            <w:vMerge w:val="restart"/>
            <w:tcBorders>
              <w:top w:val="single" w:sz="12" w:space="0" w:color="auto"/>
              <w:left w:val="single" w:sz="12" w:space="0" w:color="auto"/>
              <w:right w:val="single" w:sz="12" w:space="0" w:color="auto"/>
            </w:tcBorders>
            <w:shd w:val="clear" w:color="auto" w:fill="C6D9F1" w:themeFill="text2" w:themeFillTint="33"/>
            <w:vAlign w:val="center"/>
          </w:tcPr>
          <w:p w14:paraId="00D917D2"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Celkový součet</w:t>
            </w:r>
          </w:p>
        </w:tc>
      </w:tr>
      <w:tr w:rsidR="00E00DF2" w:rsidRPr="00ED5C98" w14:paraId="00D917D8" w14:textId="77777777" w:rsidTr="00260B0C">
        <w:trPr>
          <w:trHeight w:val="305"/>
        </w:trPr>
        <w:tc>
          <w:tcPr>
            <w:tcW w:w="2275"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D4" w14:textId="77777777" w:rsidR="00E00DF2" w:rsidRPr="00ED5C98" w:rsidRDefault="00E725E7" w:rsidP="00260B0C">
            <w:pPr>
              <w:autoSpaceDE w:val="0"/>
              <w:autoSpaceDN w:val="0"/>
              <w:adjustRightInd w:val="0"/>
              <w:spacing w:before="40"/>
              <w:ind w:left="-40" w:right="-93"/>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 378 + AČ k účtu 378</w:t>
            </w:r>
          </w:p>
        </w:tc>
        <w:tc>
          <w:tcPr>
            <w:tcW w:w="2276" w:type="dxa"/>
            <w:tcBorders>
              <w:top w:val="single" w:sz="6" w:space="0" w:color="auto"/>
              <w:left w:val="single" w:sz="6" w:space="0" w:color="auto"/>
              <w:bottom w:val="single" w:sz="12" w:space="0" w:color="auto"/>
              <w:right w:val="single" w:sz="12" w:space="0" w:color="auto"/>
            </w:tcBorders>
            <w:shd w:val="clear" w:color="auto" w:fill="C6D9F1" w:themeFill="text2" w:themeFillTint="33"/>
            <w:vAlign w:val="center"/>
          </w:tcPr>
          <w:p w14:paraId="00D917D5" w14:textId="77777777" w:rsidR="00E00DF2" w:rsidRPr="00ED5C98" w:rsidRDefault="00E725E7" w:rsidP="00260B0C">
            <w:pPr>
              <w:autoSpaceDE w:val="0"/>
              <w:autoSpaceDN w:val="0"/>
              <w:adjustRightInd w:val="0"/>
              <w:spacing w:before="40"/>
              <w:ind w:left="-47" w:right="-85"/>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 378 + AČ k účtu 378</w:t>
            </w:r>
          </w:p>
        </w:tc>
        <w:tc>
          <w:tcPr>
            <w:tcW w:w="2275"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D6"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 xml:space="preserve">AČ </w:t>
            </w:r>
            <w:r>
              <w:rPr>
                <w:rFonts w:ascii="Arial" w:eastAsiaTheme="minorHAnsi" w:hAnsi="Arial" w:cs="Arial"/>
                <w:b/>
                <w:bCs/>
                <w:color w:val="000000"/>
                <w:sz w:val="18"/>
                <w:szCs w:val="18"/>
              </w:rPr>
              <w:t xml:space="preserve">k účtu </w:t>
            </w:r>
            <w:r w:rsidRPr="00ED5C98">
              <w:rPr>
                <w:rFonts w:ascii="Arial" w:eastAsiaTheme="minorHAnsi" w:hAnsi="Arial" w:cs="Arial"/>
                <w:b/>
                <w:bCs/>
                <w:color w:val="000000"/>
                <w:sz w:val="18"/>
                <w:szCs w:val="18"/>
              </w:rPr>
              <w:t>378</w:t>
            </w:r>
          </w:p>
        </w:tc>
        <w:tc>
          <w:tcPr>
            <w:tcW w:w="2276" w:type="dxa"/>
            <w:vMerge/>
            <w:tcBorders>
              <w:left w:val="single" w:sz="12" w:space="0" w:color="auto"/>
              <w:bottom w:val="single" w:sz="12" w:space="0" w:color="auto"/>
              <w:right w:val="single" w:sz="12" w:space="0" w:color="auto"/>
            </w:tcBorders>
            <w:shd w:val="clear" w:color="auto" w:fill="D9D9D9" w:themeFill="background1" w:themeFillShade="D9"/>
          </w:tcPr>
          <w:p w14:paraId="00D917D7"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p>
        </w:tc>
      </w:tr>
      <w:tr w:rsidR="00E00DF2" w:rsidRPr="00ED5C98" w14:paraId="00D917DD" w14:textId="77777777" w:rsidTr="00E03926">
        <w:trPr>
          <w:trHeight w:val="305"/>
        </w:trPr>
        <w:tc>
          <w:tcPr>
            <w:tcW w:w="2275" w:type="dxa"/>
            <w:tcBorders>
              <w:top w:val="nil"/>
              <w:left w:val="single" w:sz="12" w:space="0" w:color="auto"/>
              <w:bottom w:val="single" w:sz="12" w:space="0" w:color="auto"/>
              <w:right w:val="single" w:sz="6" w:space="0" w:color="auto"/>
            </w:tcBorders>
            <w:vAlign w:val="center"/>
          </w:tcPr>
          <w:p w14:paraId="00D917D9"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86 639 711,98</w:t>
            </w:r>
          </w:p>
        </w:tc>
        <w:tc>
          <w:tcPr>
            <w:tcW w:w="2276" w:type="dxa"/>
            <w:tcBorders>
              <w:top w:val="nil"/>
              <w:left w:val="single" w:sz="6" w:space="0" w:color="auto"/>
              <w:bottom w:val="single" w:sz="12" w:space="0" w:color="auto"/>
              <w:right w:val="single" w:sz="12" w:space="0" w:color="auto"/>
            </w:tcBorders>
            <w:vAlign w:val="center"/>
          </w:tcPr>
          <w:p w14:paraId="00D917DA"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86 639 711,98</w:t>
            </w:r>
          </w:p>
        </w:tc>
        <w:tc>
          <w:tcPr>
            <w:tcW w:w="2275" w:type="dxa"/>
            <w:tcBorders>
              <w:top w:val="nil"/>
              <w:left w:val="single" w:sz="12" w:space="0" w:color="auto"/>
              <w:bottom w:val="single" w:sz="12" w:space="0" w:color="auto"/>
              <w:right w:val="single" w:sz="12" w:space="0" w:color="auto"/>
            </w:tcBorders>
            <w:vAlign w:val="center"/>
          </w:tcPr>
          <w:p w14:paraId="00D917DB"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43 319 855,99</w:t>
            </w:r>
          </w:p>
        </w:tc>
        <w:tc>
          <w:tcPr>
            <w:tcW w:w="2276" w:type="dxa"/>
            <w:tcBorders>
              <w:top w:val="nil"/>
              <w:left w:val="nil"/>
              <w:bottom w:val="single" w:sz="12" w:space="0" w:color="auto"/>
              <w:right w:val="single" w:sz="12" w:space="0" w:color="auto"/>
            </w:tcBorders>
            <w:vAlign w:val="center"/>
          </w:tcPr>
          <w:p w14:paraId="00D917DC" w14:textId="77777777" w:rsidR="00E00DF2" w:rsidRPr="00ED5C98" w:rsidRDefault="00E00DF2" w:rsidP="007C7817">
            <w:pPr>
              <w:autoSpaceDE w:val="0"/>
              <w:autoSpaceDN w:val="0"/>
              <w:adjustRightInd w:val="0"/>
              <w:jc w:val="right"/>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216 599 279,95</w:t>
            </w:r>
          </w:p>
        </w:tc>
      </w:tr>
    </w:tbl>
    <w:p w14:paraId="00D917DE" w14:textId="77777777" w:rsidR="00A30487" w:rsidRDefault="00A30487" w:rsidP="00E00DF2">
      <w:pPr>
        <w:jc w:val="both"/>
        <w:rPr>
          <w:rFonts w:ascii="Arial" w:hAnsi="Arial" w:cs="Arial"/>
          <w:b/>
          <w:bCs/>
          <w:iCs/>
          <w:sz w:val="22"/>
          <w:szCs w:val="22"/>
        </w:rPr>
      </w:pPr>
    </w:p>
    <w:p w14:paraId="00D917DF" w14:textId="77777777" w:rsidR="00E00DF2" w:rsidRPr="00260B0C" w:rsidRDefault="00525767" w:rsidP="00E00DF2">
      <w:pPr>
        <w:jc w:val="both"/>
        <w:rPr>
          <w:rFonts w:ascii="Arial" w:hAnsi="Arial" w:cs="Arial"/>
          <w:b/>
          <w:bCs/>
          <w:iCs/>
          <w:sz w:val="22"/>
          <w:szCs w:val="22"/>
        </w:rPr>
      </w:pPr>
      <w:r w:rsidRPr="00260B0C">
        <w:rPr>
          <w:rFonts w:ascii="Arial" w:hAnsi="Arial" w:cs="Arial"/>
          <w:b/>
          <w:bCs/>
          <w:iCs/>
          <w:sz w:val="22"/>
          <w:szCs w:val="22"/>
        </w:rPr>
        <w:t xml:space="preserve">4.2 </w:t>
      </w:r>
      <w:r w:rsidR="00E00DF2" w:rsidRPr="00260B0C">
        <w:rPr>
          <w:rFonts w:ascii="Arial" w:hAnsi="Arial" w:cs="Arial"/>
          <w:b/>
          <w:bCs/>
          <w:iCs/>
          <w:sz w:val="22"/>
          <w:szCs w:val="22"/>
        </w:rPr>
        <w:t>Dlouhodobé závazky z poskytnutých dlouhodobých záloh na transfery</w:t>
      </w:r>
    </w:p>
    <w:p w14:paraId="00D917E0" w14:textId="77777777" w:rsidR="00E00DF2" w:rsidRDefault="00E00DF2" w:rsidP="00E00DF2">
      <w:pPr>
        <w:jc w:val="both"/>
        <w:rPr>
          <w:rFonts w:ascii="Arial" w:hAnsi="Arial" w:cs="Arial"/>
          <w:bCs/>
          <w:iCs/>
          <w:sz w:val="22"/>
          <w:szCs w:val="22"/>
        </w:rPr>
      </w:pPr>
    </w:p>
    <w:p w14:paraId="00D917E1" w14:textId="77777777" w:rsidR="00E00DF2" w:rsidRPr="00ED5C98" w:rsidRDefault="00E00DF2" w:rsidP="00E00DF2">
      <w:pPr>
        <w:jc w:val="both"/>
        <w:rPr>
          <w:rFonts w:ascii="Arial" w:hAnsi="Arial" w:cs="Arial"/>
          <w:bCs/>
          <w:iCs/>
          <w:sz w:val="22"/>
          <w:szCs w:val="22"/>
        </w:rPr>
      </w:pPr>
      <w:r w:rsidRPr="00ED5C98">
        <w:rPr>
          <w:rFonts w:ascii="Arial" w:hAnsi="Arial" w:cs="Arial"/>
          <w:bCs/>
          <w:iCs/>
          <w:sz w:val="22"/>
          <w:szCs w:val="22"/>
        </w:rPr>
        <w:t xml:space="preserve">MPO při vedení účetnictví </w:t>
      </w:r>
      <w:r>
        <w:rPr>
          <w:rFonts w:ascii="Arial" w:hAnsi="Arial" w:cs="Arial"/>
          <w:bCs/>
          <w:iCs/>
          <w:sz w:val="22"/>
          <w:szCs w:val="22"/>
        </w:rPr>
        <w:t>účtovalo</w:t>
      </w:r>
      <w:r w:rsidRPr="00ED5C98">
        <w:rPr>
          <w:rFonts w:ascii="Arial" w:hAnsi="Arial" w:cs="Arial"/>
          <w:bCs/>
          <w:iCs/>
          <w:sz w:val="22"/>
          <w:szCs w:val="22"/>
        </w:rPr>
        <w:t xml:space="preserve"> některé zálohy na transfery </w:t>
      </w:r>
      <w:r>
        <w:rPr>
          <w:rFonts w:ascii="Arial" w:hAnsi="Arial" w:cs="Arial"/>
          <w:bCs/>
          <w:iCs/>
          <w:sz w:val="22"/>
          <w:szCs w:val="22"/>
        </w:rPr>
        <w:t>prostřednictvím úč</w:t>
      </w:r>
      <w:r w:rsidRPr="00ED5C98">
        <w:rPr>
          <w:rFonts w:ascii="Arial" w:hAnsi="Arial" w:cs="Arial"/>
          <w:bCs/>
          <w:iCs/>
          <w:sz w:val="22"/>
          <w:szCs w:val="22"/>
        </w:rPr>
        <w:t>t</w:t>
      </w:r>
      <w:r>
        <w:rPr>
          <w:rFonts w:ascii="Arial" w:hAnsi="Arial" w:cs="Arial"/>
          <w:bCs/>
          <w:iCs/>
          <w:sz w:val="22"/>
          <w:szCs w:val="22"/>
        </w:rPr>
        <w:t>u</w:t>
      </w:r>
      <w:r w:rsidRPr="00ED5C98">
        <w:rPr>
          <w:rFonts w:ascii="Arial" w:hAnsi="Arial" w:cs="Arial"/>
          <w:bCs/>
          <w:iCs/>
          <w:sz w:val="22"/>
          <w:szCs w:val="22"/>
        </w:rPr>
        <w:t xml:space="preserve"> </w:t>
      </w:r>
      <w:r w:rsidR="00E725E7">
        <w:rPr>
          <w:rFonts w:ascii="Arial" w:hAnsi="Arial" w:cs="Arial"/>
          <w:bCs/>
          <w:iCs/>
          <w:sz w:val="22"/>
          <w:szCs w:val="22"/>
        </w:rPr>
        <w:br/>
      </w:r>
      <w:r w:rsidRPr="00DA7D84">
        <w:rPr>
          <w:rFonts w:ascii="Arial" w:hAnsi="Arial" w:cs="Arial"/>
          <w:bCs/>
          <w:iCs/>
          <w:sz w:val="22"/>
          <w:szCs w:val="22"/>
        </w:rPr>
        <w:t>465 –</w:t>
      </w:r>
      <w:r w:rsidRPr="00ED5C98">
        <w:rPr>
          <w:rFonts w:ascii="Arial" w:hAnsi="Arial" w:cs="Arial"/>
          <w:bCs/>
          <w:i/>
          <w:iCs/>
          <w:sz w:val="22"/>
          <w:szCs w:val="22"/>
        </w:rPr>
        <w:t xml:space="preserve"> Dlouhodobé poskytnuté zálohy</w:t>
      </w:r>
      <w:r>
        <w:rPr>
          <w:rFonts w:ascii="Arial" w:hAnsi="Arial" w:cs="Arial"/>
          <w:bCs/>
          <w:iCs/>
          <w:sz w:val="22"/>
          <w:szCs w:val="22"/>
        </w:rPr>
        <w:t>, tj. účtu, který není určen pro transfery</w:t>
      </w:r>
      <w:r w:rsidRPr="00ED5C98">
        <w:rPr>
          <w:rFonts w:ascii="Arial" w:hAnsi="Arial" w:cs="Arial"/>
          <w:bCs/>
          <w:iCs/>
          <w:sz w:val="22"/>
          <w:szCs w:val="22"/>
        </w:rPr>
        <w:t>.</w:t>
      </w:r>
      <w:r>
        <w:rPr>
          <w:rFonts w:ascii="Arial" w:hAnsi="Arial" w:cs="Arial"/>
          <w:bCs/>
          <w:iCs/>
          <w:sz w:val="22"/>
          <w:szCs w:val="22"/>
        </w:rPr>
        <w:t xml:space="preserve"> </w:t>
      </w:r>
      <w:r w:rsidRPr="00ED5C98">
        <w:rPr>
          <w:rFonts w:ascii="Arial" w:hAnsi="Arial" w:cs="Arial"/>
          <w:bCs/>
          <w:iCs/>
          <w:sz w:val="22"/>
          <w:szCs w:val="22"/>
        </w:rPr>
        <w:t>Podle Č</w:t>
      </w:r>
      <w:r w:rsidR="00713E6C">
        <w:rPr>
          <w:rFonts w:ascii="Arial" w:hAnsi="Arial" w:cs="Arial"/>
          <w:bCs/>
          <w:iCs/>
          <w:sz w:val="22"/>
          <w:szCs w:val="22"/>
        </w:rPr>
        <w:t>ÚS</w:t>
      </w:r>
      <w:r w:rsidRPr="00ED5C98">
        <w:rPr>
          <w:rFonts w:ascii="Arial" w:hAnsi="Arial" w:cs="Arial"/>
          <w:bCs/>
          <w:iCs/>
          <w:sz w:val="22"/>
          <w:szCs w:val="22"/>
        </w:rPr>
        <w:t xml:space="preserve"> č.</w:t>
      </w:r>
      <w:r w:rsidR="00E725E7">
        <w:rPr>
          <w:rFonts w:ascii="Arial" w:hAnsi="Arial" w:cs="Arial"/>
          <w:bCs/>
          <w:iCs/>
          <w:sz w:val="22"/>
          <w:szCs w:val="22"/>
        </w:rPr>
        <w:t> </w:t>
      </w:r>
      <w:r w:rsidRPr="00ED5C98">
        <w:rPr>
          <w:rFonts w:ascii="Arial" w:hAnsi="Arial" w:cs="Arial"/>
          <w:bCs/>
          <w:iCs/>
          <w:sz w:val="22"/>
          <w:szCs w:val="22"/>
        </w:rPr>
        <w:t xml:space="preserve">703 – </w:t>
      </w:r>
      <w:r w:rsidRPr="00373B37">
        <w:rPr>
          <w:rFonts w:ascii="Arial" w:hAnsi="Arial" w:cs="Arial"/>
          <w:bCs/>
          <w:i/>
          <w:iCs/>
          <w:sz w:val="22"/>
          <w:szCs w:val="22"/>
        </w:rPr>
        <w:t>Transfery</w:t>
      </w:r>
      <w:r w:rsidRPr="00ED5C98">
        <w:rPr>
          <w:rFonts w:ascii="Arial" w:hAnsi="Arial" w:cs="Arial"/>
          <w:bCs/>
          <w:iCs/>
          <w:sz w:val="22"/>
          <w:szCs w:val="22"/>
        </w:rPr>
        <w:t xml:space="preserve"> měl</w:t>
      </w:r>
      <w:r>
        <w:rPr>
          <w:rFonts w:ascii="Arial" w:hAnsi="Arial" w:cs="Arial"/>
          <w:bCs/>
          <w:iCs/>
          <w:sz w:val="22"/>
          <w:szCs w:val="22"/>
        </w:rPr>
        <w:t>o MPO</w:t>
      </w:r>
      <w:r w:rsidRPr="00ED5C98">
        <w:rPr>
          <w:rFonts w:ascii="Arial" w:hAnsi="Arial" w:cs="Arial"/>
          <w:bCs/>
          <w:iCs/>
          <w:sz w:val="22"/>
          <w:szCs w:val="22"/>
        </w:rPr>
        <w:t xml:space="preserve"> použit účet </w:t>
      </w:r>
      <w:r w:rsidRPr="00DA7D84">
        <w:rPr>
          <w:rFonts w:ascii="Arial" w:hAnsi="Arial" w:cs="Arial"/>
          <w:bCs/>
          <w:iCs/>
          <w:sz w:val="22"/>
          <w:szCs w:val="22"/>
        </w:rPr>
        <w:t>471 –</w:t>
      </w:r>
      <w:r w:rsidRPr="00ED5C98">
        <w:rPr>
          <w:rFonts w:ascii="Arial" w:hAnsi="Arial" w:cs="Arial"/>
          <w:bCs/>
          <w:i/>
          <w:iCs/>
          <w:sz w:val="22"/>
          <w:szCs w:val="22"/>
        </w:rPr>
        <w:t xml:space="preserve"> Dlouhodobé poskytnuté zálohy na transfery</w:t>
      </w:r>
      <w:r w:rsidRPr="00ED5C98">
        <w:rPr>
          <w:rFonts w:ascii="Arial" w:hAnsi="Arial" w:cs="Arial"/>
          <w:bCs/>
          <w:iCs/>
          <w:sz w:val="22"/>
          <w:szCs w:val="22"/>
        </w:rPr>
        <w:t>.</w:t>
      </w:r>
    </w:p>
    <w:p w14:paraId="00D917E2" w14:textId="77777777" w:rsidR="00E00DF2" w:rsidRPr="00ED5C98" w:rsidRDefault="00E00DF2" w:rsidP="00E00DF2">
      <w:pPr>
        <w:jc w:val="both"/>
        <w:rPr>
          <w:rFonts w:ascii="Arial" w:hAnsi="Arial" w:cs="Arial"/>
          <w:bCs/>
          <w:iCs/>
          <w:sz w:val="22"/>
          <w:szCs w:val="22"/>
        </w:rPr>
      </w:pPr>
    </w:p>
    <w:p w14:paraId="00D917E3" w14:textId="77777777" w:rsidR="00E00DF2" w:rsidRPr="00ED5C98" w:rsidRDefault="00E00DF2" w:rsidP="00E00DF2">
      <w:pPr>
        <w:jc w:val="both"/>
        <w:rPr>
          <w:rFonts w:ascii="Arial" w:hAnsi="Arial" w:cs="Arial"/>
          <w:bCs/>
          <w:iCs/>
          <w:sz w:val="22"/>
          <w:szCs w:val="22"/>
        </w:rPr>
      </w:pPr>
      <w:r w:rsidRPr="00ED5C98">
        <w:rPr>
          <w:rFonts w:ascii="Arial" w:hAnsi="Arial" w:cs="Arial"/>
          <w:bCs/>
          <w:iCs/>
          <w:sz w:val="22"/>
          <w:szCs w:val="22"/>
        </w:rPr>
        <w:t xml:space="preserve">Nesprávně zachycené údaje </w:t>
      </w:r>
      <w:r>
        <w:rPr>
          <w:rFonts w:ascii="Arial" w:hAnsi="Arial" w:cs="Arial"/>
          <w:bCs/>
          <w:iCs/>
          <w:sz w:val="22"/>
          <w:szCs w:val="22"/>
        </w:rPr>
        <w:t>následně</w:t>
      </w:r>
      <w:r w:rsidRPr="00ED5C98">
        <w:rPr>
          <w:rFonts w:ascii="Arial" w:hAnsi="Arial" w:cs="Arial"/>
          <w:bCs/>
          <w:iCs/>
          <w:sz w:val="22"/>
          <w:szCs w:val="22"/>
        </w:rPr>
        <w:t xml:space="preserve"> </w:t>
      </w:r>
      <w:r w:rsidR="00E725E7" w:rsidRPr="00ED5C98">
        <w:rPr>
          <w:rFonts w:ascii="Arial" w:hAnsi="Arial" w:cs="Arial"/>
          <w:bCs/>
          <w:iCs/>
          <w:sz w:val="22"/>
          <w:szCs w:val="22"/>
        </w:rPr>
        <w:t>MPO</w:t>
      </w:r>
      <w:r w:rsidR="00E725E7">
        <w:rPr>
          <w:rFonts w:ascii="Arial" w:hAnsi="Arial" w:cs="Arial"/>
          <w:bCs/>
          <w:iCs/>
          <w:sz w:val="22"/>
          <w:szCs w:val="22"/>
        </w:rPr>
        <w:t xml:space="preserve"> </w:t>
      </w:r>
      <w:r w:rsidRPr="00ED5C98">
        <w:rPr>
          <w:rFonts w:ascii="Arial" w:hAnsi="Arial" w:cs="Arial"/>
          <w:bCs/>
          <w:iCs/>
          <w:sz w:val="22"/>
          <w:szCs w:val="22"/>
        </w:rPr>
        <w:t xml:space="preserve">přeneslo do PAP </w:t>
      </w:r>
      <w:r w:rsidR="009F047D">
        <w:rPr>
          <w:rFonts w:ascii="Arial" w:hAnsi="Arial" w:cs="Arial"/>
          <w:bCs/>
          <w:iCs/>
          <w:sz w:val="22"/>
          <w:szCs w:val="22"/>
        </w:rPr>
        <w:t>k </w:t>
      </w:r>
      <w:r w:rsidRPr="00ED5C98">
        <w:rPr>
          <w:rFonts w:ascii="Arial" w:hAnsi="Arial" w:cs="Arial"/>
          <w:bCs/>
          <w:iCs/>
          <w:sz w:val="22"/>
          <w:szCs w:val="22"/>
        </w:rPr>
        <w:t>31.</w:t>
      </w:r>
      <w:r>
        <w:rPr>
          <w:rFonts w:ascii="Arial" w:hAnsi="Arial" w:cs="Arial"/>
          <w:bCs/>
          <w:iCs/>
          <w:sz w:val="22"/>
          <w:szCs w:val="22"/>
        </w:rPr>
        <w:t xml:space="preserve"> prosinci</w:t>
      </w:r>
      <w:r w:rsidRPr="00ED5C98">
        <w:rPr>
          <w:rFonts w:ascii="Arial" w:hAnsi="Arial" w:cs="Arial"/>
          <w:bCs/>
          <w:iCs/>
          <w:sz w:val="22"/>
          <w:szCs w:val="22"/>
        </w:rPr>
        <w:t xml:space="preserve"> 2012. Částka takto </w:t>
      </w:r>
      <w:r>
        <w:rPr>
          <w:rFonts w:ascii="Arial" w:hAnsi="Arial" w:cs="Arial"/>
          <w:bCs/>
          <w:iCs/>
          <w:sz w:val="22"/>
          <w:szCs w:val="22"/>
        </w:rPr>
        <w:t>nesprávně zaúčtovaných</w:t>
      </w:r>
      <w:r w:rsidRPr="00ED5C98">
        <w:rPr>
          <w:rFonts w:ascii="Arial" w:hAnsi="Arial" w:cs="Arial"/>
          <w:bCs/>
          <w:iCs/>
          <w:sz w:val="22"/>
          <w:szCs w:val="22"/>
        </w:rPr>
        <w:t xml:space="preserve"> záloh činila 4 641 958 Kč a v PAP MPO se promítla v důsledku řetězení do částí I, VI</w:t>
      </w:r>
      <w:r>
        <w:rPr>
          <w:rFonts w:ascii="Arial" w:hAnsi="Arial" w:cs="Arial"/>
          <w:bCs/>
          <w:iCs/>
          <w:sz w:val="22"/>
          <w:szCs w:val="22"/>
        </w:rPr>
        <w:t xml:space="preserve"> a</w:t>
      </w:r>
      <w:r w:rsidRPr="00ED5C98">
        <w:rPr>
          <w:rFonts w:ascii="Arial" w:hAnsi="Arial" w:cs="Arial"/>
          <w:bCs/>
          <w:iCs/>
          <w:sz w:val="22"/>
          <w:szCs w:val="22"/>
        </w:rPr>
        <w:t xml:space="preserve"> X v celkové výši 23 209 790 Kč</w:t>
      </w:r>
      <w:r>
        <w:rPr>
          <w:rFonts w:ascii="Arial" w:hAnsi="Arial" w:cs="Arial"/>
          <w:bCs/>
          <w:iCs/>
          <w:sz w:val="22"/>
          <w:szCs w:val="22"/>
        </w:rPr>
        <w:t xml:space="preserve"> (viz tabulka č. 7). C</w:t>
      </w:r>
      <w:r w:rsidRPr="00ED5C98">
        <w:rPr>
          <w:rFonts w:ascii="Arial" w:hAnsi="Arial" w:cs="Arial"/>
          <w:bCs/>
          <w:iCs/>
          <w:sz w:val="22"/>
          <w:szCs w:val="22"/>
        </w:rPr>
        <w:t>elá částka je tvořena obratem strany MD</w:t>
      </w:r>
      <w:r>
        <w:rPr>
          <w:rFonts w:ascii="Arial" w:hAnsi="Arial" w:cs="Arial"/>
          <w:bCs/>
          <w:iCs/>
          <w:sz w:val="22"/>
          <w:szCs w:val="22"/>
        </w:rPr>
        <w:t xml:space="preserve"> účtu 465</w:t>
      </w:r>
      <w:r w:rsidR="00614305">
        <w:rPr>
          <w:rFonts w:ascii="Arial" w:hAnsi="Arial" w:cs="Arial"/>
          <w:bCs/>
          <w:iCs/>
          <w:sz w:val="22"/>
          <w:szCs w:val="22"/>
        </w:rPr>
        <w:t xml:space="preserve"> </w:t>
      </w:r>
      <w:r w:rsidR="00B22B4F">
        <w:rPr>
          <w:rFonts w:ascii="Arial" w:hAnsi="Arial" w:cs="Arial"/>
          <w:bCs/>
          <w:iCs/>
          <w:sz w:val="22"/>
          <w:szCs w:val="22"/>
        </w:rPr>
        <w:t>–</w:t>
      </w:r>
      <w:r w:rsidR="00614305">
        <w:rPr>
          <w:rFonts w:ascii="Arial" w:hAnsi="Arial" w:cs="Arial"/>
          <w:bCs/>
          <w:iCs/>
          <w:sz w:val="22"/>
          <w:szCs w:val="22"/>
        </w:rPr>
        <w:t xml:space="preserve"> </w:t>
      </w:r>
      <w:r w:rsidR="00614305" w:rsidRPr="00ED5C98">
        <w:rPr>
          <w:rFonts w:ascii="Arial" w:hAnsi="Arial" w:cs="Arial"/>
          <w:bCs/>
          <w:i/>
          <w:iCs/>
          <w:sz w:val="22"/>
          <w:szCs w:val="22"/>
        </w:rPr>
        <w:t>Dlouhodobé poskytnuté zálohy</w:t>
      </w:r>
      <w:r w:rsidRPr="00ED5C98">
        <w:rPr>
          <w:rFonts w:ascii="Arial" w:hAnsi="Arial" w:cs="Arial"/>
          <w:bCs/>
          <w:iCs/>
          <w:sz w:val="22"/>
          <w:szCs w:val="22"/>
        </w:rPr>
        <w:t>.</w:t>
      </w:r>
    </w:p>
    <w:p w14:paraId="00D917E4" w14:textId="77777777" w:rsidR="00E00DF2" w:rsidRDefault="00E00DF2" w:rsidP="00E00DF2">
      <w:pPr>
        <w:jc w:val="both"/>
        <w:rPr>
          <w:rFonts w:ascii="Arial" w:hAnsi="Arial" w:cs="Arial"/>
          <w:sz w:val="22"/>
          <w:szCs w:val="22"/>
          <w:highlight w:val="yellow"/>
        </w:rPr>
      </w:pPr>
    </w:p>
    <w:p w14:paraId="00D917E5" w14:textId="77777777" w:rsidR="00E00DF2" w:rsidRPr="00ED5C98" w:rsidRDefault="00E00DF2" w:rsidP="00260B0C">
      <w:pPr>
        <w:tabs>
          <w:tab w:val="right" w:pos="9072"/>
        </w:tabs>
        <w:spacing w:after="40" w:line="276" w:lineRule="auto"/>
        <w:ind w:left="1503" w:hanging="1503"/>
        <w:rPr>
          <w:rFonts w:ascii="Arial" w:hAnsi="Arial" w:cs="Arial"/>
          <w:bCs/>
          <w:iCs/>
          <w:sz w:val="22"/>
          <w:szCs w:val="22"/>
        </w:rPr>
      </w:pPr>
      <w:r w:rsidRPr="00B73BBD">
        <w:rPr>
          <w:rFonts w:ascii="Arial" w:hAnsi="Arial" w:cs="Arial"/>
          <w:b/>
          <w:sz w:val="22"/>
          <w:szCs w:val="22"/>
        </w:rPr>
        <w:t>Tabulka č. 7 –</w:t>
      </w:r>
      <w:r w:rsidR="00E725E7">
        <w:rPr>
          <w:rFonts w:ascii="Arial" w:hAnsi="Arial" w:cs="Arial"/>
          <w:b/>
          <w:sz w:val="22"/>
          <w:szCs w:val="22"/>
        </w:rPr>
        <w:t xml:space="preserve"> </w:t>
      </w:r>
      <w:r>
        <w:rPr>
          <w:rFonts w:ascii="Arial" w:hAnsi="Arial" w:cs="Arial"/>
          <w:b/>
          <w:sz w:val="22"/>
          <w:szCs w:val="22"/>
        </w:rPr>
        <w:t xml:space="preserve">Nesprávnosti přenesené z účetnictví do </w:t>
      </w:r>
      <w:r w:rsidRPr="002A7A11">
        <w:rPr>
          <w:rFonts w:ascii="Arial" w:hAnsi="Arial" w:cs="Arial"/>
          <w:b/>
          <w:sz w:val="22"/>
          <w:szCs w:val="22"/>
        </w:rPr>
        <w:t xml:space="preserve">PAP MPO k 31. </w:t>
      </w:r>
      <w:r>
        <w:rPr>
          <w:rFonts w:ascii="Arial" w:hAnsi="Arial" w:cs="Arial"/>
          <w:b/>
          <w:sz w:val="22"/>
          <w:szCs w:val="22"/>
        </w:rPr>
        <w:t>prosinci</w:t>
      </w:r>
      <w:r w:rsidRPr="002A7A11">
        <w:rPr>
          <w:rFonts w:ascii="Arial" w:hAnsi="Arial" w:cs="Arial"/>
          <w:b/>
          <w:sz w:val="22"/>
          <w:szCs w:val="22"/>
        </w:rPr>
        <w:t xml:space="preserve"> 2012</w:t>
      </w:r>
      <w:r w:rsidR="009F77EC">
        <w:rPr>
          <w:rFonts w:ascii="Arial" w:hAnsi="Arial" w:cs="Arial"/>
          <w:b/>
          <w:sz w:val="22"/>
          <w:szCs w:val="22"/>
        </w:rPr>
        <w:t xml:space="preserve"> </w:t>
      </w:r>
      <w:r w:rsidR="00B22B4F">
        <w:rPr>
          <w:rFonts w:ascii="Arial" w:hAnsi="Arial" w:cs="Arial"/>
          <w:b/>
          <w:sz w:val="22"/>
          <w:szCs w:val="22"/>
        </w:rPr>
        <w:t>v </w:t>
      </w:r>
      <w:r>
        <w:rPr>
          <w:rFonts w:ascii="Arial" w:hAnsi="Arial" w:cs="Arial"/>
          <w:b/>
          <w:sz w:val="22"/>
          <w:szCs w:val="22"/>
        </w:rPr>
        <w:t>důsledku používání nesprávn</w:t>
      </w:r>
      <w:r w:rsidR="00B22B4F">
        <w:rPr>
          <w:rFonts w:ascii="Arial" w:hAnsi="Arial" w:cs="Arial"/>
          <w:b/>
          <w:sz w:val="22"/>
          <w:szCs w:val="22"/>
        </w:rPr>
        <w:t xml:space="preserve">ého účtu pro </w:t>
      </w:r>
      <w:r w:rsidR="00E725E7">
        <w:rPr>
          <w:rFonts w:ascii="Arial" w:hAnsi="Arial" w:cs="Arial"/>
          <w:b/>
          <w:sz w:val="22"/>
          <w:szCs w:val="22"/>
        </w:rPr>
        <w:t xml:space="preserve">účtování </w:t>
      </w:r>
      <w:r w:rsidR="00B22B4F">
        <w:rPr>
          <w:rFonts w:ascii="Arial" w:hAnsi="Arial" w:cs="Arial"/>
          <w:b/>
          <w:sz w:val="22"/>
          <w:szCs w:val="22"/>
        </w:rPr>
        <w:t>dlouhodob</w:t>
      </w:r>
      <w:r w:rsidR="00E725E7">
        <w:rPr>
          <w:rFonts w:ascii="Arial" w:hAnsi="Arial" w:cs="Arial"/>
          <w:b/>
          <w:sz w:val="22"/>
          <w:szCs w:val="22"/>
        </w:rPr>
        <w:t>ých</w:t>
      </w:r>
      <w:r w:rsidR="00B22B4F">
        <w:rPr>
          <w:rFonts w:ascii="Arial" w:hAnsi="Arial" w:cs="Arial"/>
          <w:b/>
          <w:sz w:val="22"/>
          <w:szCs w:val="22"/>
        </w:rPr>
        <w:t xml:space="preserve"> závazk</w:t>
      </w:r>
      <w:r w:rsidR="00E725E7">
        <w:rPr>
          <w:rFonts w:ascii="Arial" w:hAnsi="Arial" w:cs="Arial"/>
          <w:b/>
          <w:sz w:val="22"/>
          <w:szCs w:val="22"/>
        </w:rPr>
        <w:t xml:space="preserve">ů </w:t>
      </w:r>
      <w:r>
        <w:rPr>
          <w:rFonts w:ascii="Arial" w:hAnsi="Arial" w:cs="Arial"/>
          <w:b/>
          <w:sz w:val="22"/>
          <w:szCs w:val="22"/>
        </w:rPr>
        <w:t>z poskytnutých dlouhodobých záloh na transfery</w:t>
      </w:r>
      <w:r w:rsidRPr="002A7A11">
        <w:rPr>
          <w:rFonts w:ascii="Arial" w:hAnsi="Arial" w:cs="Arial"/>
          <w:b/>
          <w:sz w:val="22"/>
          <w:szCs w:val="22"/>
        </w:rPr>
        <w:t xml:space="preserve"> </w:t>
      </w:r>
      <w:r w:rsidR="00A30487">
        <w:rPr>
          <w:rFonts w:ascii="Arial" w:hAnsi="Arial" w:cs="Arial"/>
          <w:b/>
          <w:sz w:val="22"/>
          <w:szCs w:val="22"/>
        </w:rPr>
        <w:tab/>
      </w:r>
      <w:r>
        <w:rPr>
          <w:rFonts w:ascii="Arial" w:hAnsi="Arial" w:cs="Arial"/>
          <w:b/>
          <w:sz w:val="22"/>
          <w:szCs w:val="22"/>
        </w:rPr>
        <w:t>(v Kč)</w:t>
      </w:r>
    </w:p>
    <w:tbl>
      <w:tblPr>
        <w:tblW w:w="0" w:type="auto"/>
        <w:tblInd w:w="40" w:type="dxa"/>
        <w:tblLayout w:type="fixed"/>
        <w:tblCellMar>
          <w:left w:w="70" w:type="dxa"/>
          <w:right w:w="70" w:type="dxa"/>
        </w:tblCellMar>
        <w:tblLook w:val="0000" w:firstRow="0" w:lastRow="0" w:firstColumn="0" w:lastColumn="0" w:noHBand="0" w:noVBand="0"/>
      </w:tblPr>
      <w:tblGrid>
        <w:gridCol w:w="1483"/>
        <w:gridCol w:w="1524"/>
        <w:gridCol w:w="1418"/>
        <w:gridCol w:w="1559"/>
        <w:gridCol w:w="1418"/>
        <w:gridCol w:w="1644"/>
      </w:tblGrid>
      <w:tr w:rsidR="00E00DF2" w:rsidRPr="00ED5C98" w14:paraId="00D917EA" w14:textId="77777777" w:rsidTr="00260B0C">
        <w:trPr>
          <w:trHeight w:val="305"/>
        </w:trPr>
        <w:tc>
          <w:tcPr>
            <w:tcW w:w="3007" w:type="dxa"/>
            <w:gridSpan w:val="2"/>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E6"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I</w:t>
            </w:r>
          </w:p>
        </w:tc>
        <w:tc>
          <w:tcPr>
            <w:tcW w:w="2977" w:type="dxa"/>
            <w:gridSpan w:val="2"/>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E7"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VI</w:t>
            </w:r>
          </w:p>
        </w:tc>
        <w:tc>
          <w:tcPr>
            <w:tcW w:w="1418"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7E8"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X</w:t>
            </w:r>
          </w:p>
        </w:tc>
        <w:tc>
          <w:tcPr>
            <w:tcW w:w="1644" w:type="dxa"/>
            <w:vMerge w:val="restart"/>
            <w:tcBorders>
              <w:top w:val="single" w:sz="12" w:space="0" w:color="auto"/>
              <w:left w:val="nil"/>
              <w:right w:val="single" w:sz="12" w:space="0" w:color="auto"/>
            </w:tcBorders>
            <w:shd w:val="clear" w:color="auto" w:fill="C6D9F1" w:themeFill="text2" w:themeFillTint="33"/>
            <w:vAlign w:val="center"/>
          </w:tcPr>
          <w:p w14:paraId="00D917E9"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Celkový součet</w:t>
            </w:r>
          </w:p>
        </w:tc>
      </w:tr>
      <w:tr w:rsidR="00E00DF2" w:rsidRPr="00ED5C98" w14:paraId="00D917F1" w14:textId="77777777" w:rsidTr="00260B0C">
        <w:trPr>
          <w:trHeight w:val="305"/>
        </w:trPr>
        <w:tc>
          <w:tcPr>
            <w:tcW w:w="1483" w:type="dxa"/>
            <w:tcBorders>
              <w:top w:val="single" w:sz="6" w:space="0" w:color="auto"/>
              <w:left w:val="single" w:sz="12" w:space="0" w:color="auto"/>
              <w:bottom w:val="single" w:sz="12" w:space="0" w:color="auto"/>
              <w:right w:val="single" w:sz="6" w:space="0" w:color="auto"/>
            </w:tcBorders>
            <w:shd w:val="clear" w:color="auto" w:fill="C6D9F1" w:themeFill="text2" w:themeFillTint="33"/>
            <w:vAlign w:val="center"/>
          </w:tcPr>
          <w:p w14:paraId="00D917EB" w14:textId="77777777" w:rsidR="00E00DF2" w:rsidRPr="00ED5C98" w:rsidRDefault="00E725E7"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ED5C98">
              <w:rPr>
                <w:rFonts w:ascii="Arial" w:eastAsiaTheme="minorHAnsi" w:hAnsi="Arial" w:cs="Arial"/>
                <w:b/>
                <w:bCs/>
                <w:color w:val="000000"/>
                <w:sz w:val="18"/>
                <w:szCs w:val="18"/>
              </w:rPr>
              <w:t xml:space="preserve"> 465</w:t>
            </w:r>
          </w:p>
        </w:tc>
        <w:tc>
          <w:tcPr>
            <w:tcW w:w="1524" w:type="dxa"/>
            <w:tcBorders>
              <w:top w:val="single" w:sz="6" w:space="0" w:color="auto"/>
              <w:left w:val="single" w:sz="6" w:space="0" w:color="auto"/>
              <w:bottom w:val="single" w:sz="12" w:space="0" w:color="auto"/>
              <w:right w:val="single" w:sz="12" w:space="0" w:color="auto"/>
            </w:tcBorders>
            <w:shd w:val="clear" w:color="auto" w:fill="C6D9F1" w:themeFill="text2" w:themeFillTint="33"/>
            <w:vAlign w:val="center"/>
          </w:tcPr>
          <w:p w14:paraId="00D917EC" w14:textId="77777777" w:rsidR="00E00DF2" w:rsidRPr="00ED5C98" w:rsidRDefault="00E725E7"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P</w:t>
            </w:r>
            <w:r w:rsidR="00E00DF2">
              <w:rPr>
                <w:rFonts w:ascii="Arial" w:eastAsiaTheme="minorHAnsi" w:hAnsi="Arial" w:cs="Arial"/>
                <w:b/>
                <w:bCs/>
                <w:color w:val="000000"/>
                <w:sz w:val="18"/>
                <w:szCs w:val="18"/>
              </w:rPr>
              <w:t xml:space="preserve">odhodnocení </w:t>
            </w:r>
            <w:r w:rsidR="00E00DF2" w:rsidRPr="00ED5C98">
              <w:rPr>
                <w:rFonts w:ascii="Arial" w:eastAsiaTheme="minorHAnsi" w:hAnsi="Arial" w:cs="Arial"/>
                <w:b/>
                <w:bCs/>
                <w:color w:val="000000"/>
                <w:sz w:val="18"/>
                <w:szCs w:val="18"/>
              </w:rPr>
              <w:t xml:space="preserve">AČ </w:t>
            </w:r>
            <w:r w:rsidR="00E00DF2">
              <w:rPr>
                <w:rFonts w:ascii="Arial" w:eastAsiaTheme="minorHAnsi" w:hAnsi="Arial" w:cs="Arial"/>
                <w:b/>
                <w:bCs/>
                <w:color w:val="000000"/>
                <w:sz w:val="18"/>
                <w:szCs w:val="18"/>
              </w:rPr>
              <w:t xml:space="preserve">k účtu </w:t>
            </w:r>
            <w:r w:rsidR="00E00DF2" w:rsidRPr="00ED5C98">
              <w:rPr>
                <w:rFonts w:ascii="Arial" w:eastAsiaTheme="minorHAnsi" w:hAnsi="Arial" w:cs="Arial"/>
                <w:b/>
                <w:bCs/>
                <w:color w:val="000000"/>
                <w:sz w:val="18"/>
                <w:szCs w:val="18"/>
              </w:rPr>
              <w:t>471</w:t>
            </w:r>
          </w:p>
        </w:tc>
        <w:tc>
          <w:tcPr>
            <w:tcW w:w="1418" w:type="dxa"/>
            <w:tcBorders>
              <w:top w:val="single" w:sz="6" w:space="0" w:color="auto"/>
              <w:left w:val="single" w:sz="12" w:space="0" w:color="auto"/>
              <w:bottom w:val="single" w:sz="12" w:space="0" w:color="auto"/>
              <w:right w:val="single" w:sz="6" w:space="0" w:color="auto"/>
            </w:tcBorders>
            <w:shd w:val="clear" w:color="auto" w:fill="C6D9F1" w:themeFill="text2" w:themeFillTint="33"/>
            <w:vAlign w:val="center"/>
          </w:tcPr>
          <w:p w14:paraId="00D917ED" w14:textId="77777777" w:rsidR="00E00DF2" w:rsidRPr="00ED5C98" w:rsidRDefault="00E725E7"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ED5C98">
              <w:rPr>
                <w:rFonts w:ascii="Arial" w:eastAsiaTheme="minorHAnsi" w:hAnsi="Arial" w:cs="Arial"/>
                <w:b/>
                <w:bCs/>
                <w:color w:val="000000"/>
                <w:sz w:val="18"/>
                <w:szCs w:val="18"/>
              </w:rPr>
              <w:t xml:space="preserve"> 465</w:t>
            </w:r>
          </w:p>
        </w:tc>
        <w:tc>
          <w:tcPr>
            <w:tcW w:w="1559" w:type="dxa"/>
            <w:tcBorders>
              <w:top w:val="single" w:sz="6" w:space="0" w:color="auto"/>
              <w:left w:val="single" w:sz="6" w:space="0" w:color="auto"/>
              <w:bottom w:val="single" w:sz="12" w:space="0" w:color="auto"/>
              <w:right w:val="single" w:sz="12" w:space="0" w:color="auto"/>
            </w:tcBorders>
            <w:shd w:val="clear" w:color="auto" w:fill="C6D9F1" w:themeFill="text2" w:themeFillTint="33"/>
            <w:vAlign w:val="center"/>
          </w:tcPr>
          <w:p w14:paraId="00D917EE" w14:textId="77777777" w:rsidR="00E00DF2" w:rsidRPr="00ED5C98" w:rsidRDefault="00E725E7"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P</w:t>
            </w:r>
            <w:r w:rsidR="00E00DF2">
              <w:rPr>
                <w:rFonts w:ascii="Arial" w:eastAsiaTheme="minorHAnsi" w:hAnsi="Arial" w:cs="Arial"/>
                <w:b/>
                <w:bCs/>
                <w:color w:val="000000"/>
                <w:sz w:val="18"/>
                <w:szCs w:val="18"/>
              </w:rPr>
              <w:t xml:space="preserve">odhodnocení </w:t>
            </w:r>
            <w:r w:rsidR="00E00DF2" w:rsidRPr="00ED5C98">
              <w:rPr>
                <w:rFonts w:ascii="Arial" w:eastAsiaTheme="minorHAnsi" w:hAnsi="Arial" w:cs="Arial"/>
                <w:b/>
                <w:bCs/>
                <w:color w:val="000000"/>
                <w:sz w:val="18"/>
                <w:szCs w:val="18"/>
              </w:rPr>
              <w:t xml:space="preserve">AČ </w:t>
            </w:r>
            <w:r w:rsidR="00E00DF2">
              <w:rPr>
                <w:rFonts w:ascii="Arial" w:eastAsiaTheme="minorHAnsi" w:hAnsi="Arial" w:cs="Arial"/>
                <w:b/>
                <w:bCs/>
                <w:color w:val="000000"/>
                <w:sz w:val="18"/>
                <w:szCs w:val="18"/>
              </w:rPr>
              <w:t xml:space="preserve">k účtu </w:t>
            </w:r>
            <w:r w:rsidR="00E00DF2" w:rsidRPr="00ED5C98">
              <w:rPr>
                <w:rFonts w:ascii="Arial" w:eastAsiaTheme="minorHAnsi" w:hAnsi="Arial" w:cs="Arial"/>
                <w:b/>
                <w:bCs/>
                <w:color w:val="000000"/>
                <w:sz w:val="18"/>
                <w:szCs w:val="18"/>
              </w:rPr>
              <w:t>471</w:t>
            </w:r>
          </w:p>
        </w:tc>
        <w:tc>
          <w:tcPr>
            <w:tcW w:w="1418"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7EF" w14:textId="77777777" w:rsidR="00E00DF2" w:rsidRPr="00ED5C98" w:rsidRDefault="00E725E7" w:rsidP="00260B0C">
            <w:pPr>
              <w:autoSpaceDE w:val="0"/>
              <w:autoSpaceDN w:val="0"/>
              <w:adjustRightInd w:val="0"/>
              <w:spacing w:before="4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ED5C98">
              <w:rPr>
                <w:rFonts w:ascii="Arial" w:eastAsiaTheme="minorHAnsi" w:hAnsi="Arial" w:cs="Arial"/>
                <w:b/>
                <w:bCs/>
                <w:color w:val="000000"/>
                <w:sz w:val="18"/>
                <w:szCs w:val="18"/>
              </w:rPr>
              <w:t xml:space="preserve"> 465</w:t>
            </w:r>
          </w:p>
        </w:tc>
        <w:tc>
          <w:tcPr>
            <w:tcW w:w="1644" w:type="dxa"/>
            <w:vMerge/>
            <w:tcBorders>
              <w:left w:val="nil"/>
              <w:bottom w:val="single" w:sz="12" w:space="0" w:color="auto"/>
              <w:right w:val="single" w:sz="12" w:space="0" w:color="auto"/>
            </w:tcBorders>
            <w:shd w:val="clear" w:color="auto" w:fill="D9D9D9" w:themeFill="background1" w:themeFillShade="D9"/>
          </w:tcPr>
          <w:p w14:paraId="00D917F0" w14:textId="77777777" w:rsidR="00E00DF2" w:rsidRPr="00ED5C98" w:rsidRDefault="00E00DF2" w:rsidP="007C7817">
            <w:pPr>
              <w:autoSpaceDE w:val="0"/>
              <w:autoSpaceDN w:val="0"/>
              <w:adjustRightInd w:val="0"/>
              <w:jc w:val="right"/>
              <w:rPr>
                <w:rFonts w:ascii="Arial" w:eastAsiaTheme="minorHAnsi" w:hAnsi="Arial" w:cs="Arial"/>
                <w:b/>
                <w:bCs/>
                <w:color w:val="000000"/>
                <w:sz w:val="18"/>
                <w:szCs w:val="18"/>
              </w:rPr>
            </w:pPr>
          </w:p>
        </w:tc>
      </w:tr>
      <w:tr w:rsidR="00E00DF2" w:rsidRPr="00ED5C98" w14:paraId="00D917F8" w14:textId="77777777" w:rsidTr="00260B0C">
        <w:trPr>
          <w:trHeight w:val="305"/>
        </w:trPr>
        <w:tc>
          <w:tcPr>
            <w:tcW w:w="1483" w:type="dxa"/>
            <w:tcBorders>
              <w:top w:val="nil"/>
              <w:left w:val="single" w:sz="12" w:space="0" w:color="auto"/>
              <w:bottom w:val="single" w:sz="12" w:space="0" w:color="auto"/>
              <w:right w:val="single" w:sz="6" w:space="0" w:color="auto"/>
            </w:tcBorders>
            <w:vAlign w:val="center"/>
          </w:tcPr>
          <w:p w14:paraId="00D917F2"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4 641 958,00</w:t>
            </w:r>
          </w:p>
        </w:tc>
        <w:tc>
          <w:tcPr>
            <w:tcW w:w="1524" w:type="dxa"/>
            <w:tcBorders>
              <w:top w:val="nil"/>
              <w:left w:val="single" w:sz="6" w:space="0" w:color="auto"/>
              <w:bottom w:val="single" w:sz="12" w:space="0" w:color="auto"/>
              <w:right w:val="single" w:sz="12" w:space="0" w:color="auto"/>
            </w:tcBorders>
            <w:vAlign w:val="center"/>
          </w:tcPr>
          <w:p w14:paraId="00D917F3"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4 641 958,00</w:t>
            </w:r>
          </w:p>
        </w:tc>
        <w:tc>
          <w:tcPr>
            <w:tcW w:w="1418" w:type="dxa"/>
            <w:tcBorders>
              <w:top w:val="nil"/>
              <w:left w:val="single" w:sz="12" w:space="0" w:color="auto"/>
              <w:bottom w:val="single" w:sz="12" w:space="0" w:color="auto"/>
              <w:right w:val="single" w:sz="6" w:space="0" w:color="auto"/>
            </w:tcBorders>
            <w:vAlign w:val="center"/>
          </w:tcPr>
          <w:p w14:paraId="00D917F4"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4 641 958,00</w:t>
            </w:r>
          </w:p>
        </w:tc>
        <w:tc>
          <w:tcPr>
            <w:tcW w:w="1559" w:type="dxa"/>
            <w:tcBorders>
              <w:top w:val="nil"/>
              <w:left w:val="single" w:sz="6" w:space="0" w:color="auto"/>
              <w:bottom w:val="single" w:sz="12" w:space="0" w:color="auto"/>
              <w:right w:val="single" w:sz="12" w:space="0" w:color="auto"/>
            </w:tcBorders>
            <w:vAlign w:val="center"/>
          </w:tcPr>
          <w:p w14:paraId="00D917F5"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4 641 958,00</w:t>
            </w:r>
          </w:p>
        </w:tc>
        <w:tc>
          <w:tcPr>
            <w:tcW w:w="1418" w:type="dxa"/>
            <w:tcBorders>
              <w:top w:val="nil"/>
              <w:left w:val="single" w:sz="12" w:space="0" w:color="auto"/>
              <w:bottom w:val="single" w:sz="12" w:space="0" w:color="auto"/>
              <w:right w:val="single" w:sz="12" w:space="0" w:color="auto"/>
            </w:tcBorders>
            <w:vAlign w:val="center"/>
          </w:tcPr>
          <w:p w14:paraId="00D917F6"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4 641 958,00</w:t>
            </w:r>
          </w:p>
        </w:tc>
        <w:tc>
          <w:tcPr>
            <w:tcW w:w="1644" w:type="dxa"/>
            <w:tcBorders>
              <w:top w:val="nil"/>
              <w:left w:val="nil"/>
              <w:bottom w:val="single" w:sz="12" w:space="0" w:color="auto"/>
              <w:right w:val="single" w:sz="12" w:space="0" w:color="auto"/>
            </w:tcBorders>
            <w:vAlign w:val="center"/>
          </w:tcPr>
          <w:p w14:paraId="00D917F7" w14:textId="77777777" w:rsidR="00E00DF2" w:rsidRPr="00ED5C98" w:rsidRDefault="00E00DF2" w:rsidP="007C7817">
            <w:pPr>
              <w:autoSpaceDE w:val="0"/>
              <w:autoSpaceDN w:val="0"/>
              <w:adjustRightInd w:val="0"/>
              <w:jc w:val="right"/>
              <w:rPr>
                <w:rFonts w:ascii="Arial" w:eastAsiaTheme="minorHAnsi" w:hAnsi="Arial" w:cs="Arial"/>
                <w:b/>
                <w:color w:val="000000"/>
                <w:sz w:val="18"/>
                <w:szCs w:val="18"/>
              </w:rPr>
            </w:pPr>
            <w:r w:rsidRPr="00ED5C98">
              <w:rPr>
                <w:rFonts w:ascii="Arial" w:eastAsiaTheme="minorHAnsi" w:hAnsi="Arial" w:cs="Arial"/>
                <w:b/>
                <w:color w:val="000000"/>
                <w:sz w:val="18"/>
                <w:szCs w:val="18"/>
              </w:rPr>
              <w:t>23 209 790,00</w:t>
            </w:r>
          </w:p>
        </w:tc>
      </w:tr>
    </w:tbl>
    <w:p w14:paraId="00D917F9" w14:textId="77777777" w:rsidR="00E00DF2" w:rsidRPr="00ED5C98" w:rsidRDefault="00E00DF2" w:rsidP="00E00DF2">
      <w:pPr>
        <w:jc w:val="both"/>
        <w:rPr>
          <w:rFonts w:ascii="Arial" w:hAnsi="Arial" w:cs="Arial"/>
          <w:bCs/>
          <w:iCs/>
          <w:sz w:val="22"/>
          <w:szCs w:val="22"/>
        </w:rPr>
      </w:pPr>
    </w:p>
    <w:p w14:paraId="00D917FA" w14:textId="77777777" w:rsidR="00E00DF2" w:rsidRPr="00ED5C98" w:rsidRDefault="00E00DF2" w:rsidP="00E00DF2">
      <w:pPr>
        <w:jc w:val="both"/>
        <w:rPr>
          <w:rFonts w:ascii="Arial" w:hAnsi="Arial" w:cs="Arial"/>
          <w:bCs/>
          <w:iCs/>
          <w:sz w:val="22"/>
          <w:szCs w:val="22"/>
        </w:rPr>
      </w:pPr>
      <w:r>
        <w:rPr>
          <w:rFonts w:ascii="Arial" w:hAnsi="Arial" w:cs="Arial"/>
          <w:bCs/>
          <w:iCs/>
          <w:sz w:val="22"/>
          <w:szCs w:val="22"/>
        </w:rPr>
        <w:t>Účet 465</w:t>
      </w:r>
      <w:r w:rsidR="00713E6C">
        <w:rPr>
          <w:rFonts w:ascii="Arial" w:hAnsi="Arial" w:cs="Arial"/>
          <w:bCs/>
          <w:iCs/>
          <w:sz w:val="22"/>
          <w:szCs w:val="22"/>
        </w:rPr>
        <w:t xml:space="preserve"> </w:t>
      </w:r>
      <w:r w:rsidR="00842C56">
        <w:rPr>
          <w:rFonts w:ascii="Arial" w:hAnsi="Arial" w:cs="Arial"/>
          <w:bCs/>
          <w:iCs/>
          <w:sz w:val="22"/>
          <w:szCs w:val="22"/>
        </w:rPr>
        <w:t>–</w:t>
      </w:r>
      <w:r w:rsidR="00713E6C" w:rsidRPr="00713E6C">
        <w:rPr>
          <w:rFonts w:ascii="Arial" w:hAnsi="Arial" w:cs="Arial"/>
          <w:bCs/>
          <w:i/>
          <w:iCs/>
          <w:sz w:val="22"/>
          <w:szCs w:val="22"/>
        </w:rPr>
        <w:t xml:space="preserve"> </w:t>
      </w:r>
      <w:r w:rsidR="00713E6C" w:rsidRPr="00ED5C98">
        <w:rPr>
          <w:rFonts w:ascii="Arial" w:hAnsi="Arial" w:cs="Arial"/>
          <w:bCs/>
          <w:i/>
          <w:iCs/>
          <w:sz w:val="22"/>
          <w:szCs w:val="22"/>
        </w:rPr>
        <w:t>Dlouhodobé poskytnuté zálohy</w:t>
      </w:r>
      <w:r>
        <w:rPr>
          <w:rFonts w:ascii="Arial" w:hAnsi="Arial" w:cs="Arial"/>
          <w:bCs/>
          <w:iCs/>
          <w:sz w:val="22"/>
          <w:szCs w:val="22"/>
        </w:rPr>
        <w:t xml:space="preserve"> se v PAP na rozdíl od účtu 471</w:t>
      </w:r>
      <w:r w:rsidR="00842C56">
        <w:rPr>
          <w:rFonts w:ascii="Arial" w:hAnsi="Arial" w:cs="Arial"/>
          <w:bCs/>
          <w:iCs/>
          <w:sz w:val="22"/>
          <w:szCs w:val="22"/>
        </w:rPr>
        <w:t xml:space="preserve"> –</w:t>
      </w:r>
      <w:r w:rsidR="00713E6C" w:rsidRPr="00713E6C">
        <w:rPr>
          <w:rFonts w:ascii="Arial" w:hAnsi="Arial" w:cs="Arial"/>
          <w:bCs/>
          <w:i/>
          <w:iCs/>
          <w:sz w:val="22"/>
          <w:szCs w:val="22"/>
        </w:rPr>
        <w:t xml:space="preserve"> </w:t>
      </w:r>
      <w:r w:rsidR="00713E6C" w:rsidRPr="00ED5C98">
        <w:rPr>
          <w:rFonts w:ascii="Arial" w:hAnsi="Arial" w:cs="Arial"/>
          <w:bCs/>
          <w:i/>
          <w:iCs/>
          <w:sz w:val="22"/>
          <w:szCs w:val="22"/>
        </w:rPr>
        <w:t>Dlouhodobé poskytnuté zálohy na transfery</w:t>
      </w:r>
      <w:r w:rsidR="00713E6C">
        <w:rPr>
          <w:rFonts w:ascii="Arial" w:hAnsi="Arial" w:cs="Arial"/>
          <w:bCs/>
          <w:iCs/>
          <w:sz w:val="22"/>
          <w:szCs w:val="22"/>
        </w:rPr>
        <w:t xml:space="preserve"> </w:t>
      </w:r>
      <w:r>
        <w:rPr>
          <w:rFonts w:ascii="Arial" w:hAnsi="Arial" w:cs="Arial"/>
          <w:bCs/>
          <w:iCs/>
          <w:sz w:val="22"/>
          <w:szCs w:val="22"/>
        </w:rPr>
        <w:t xml:space="preserve">analyticky nečlení. Volba nesprávného účtu v účetnictví </w:t>
      </w:r>
      <w:r w:rsidR="00EB2C59">
        <w:rPr>
          <w:rFonts w:ascii="Arial" w:hAnsi="Arial" w:cs="Arial"/>
          <w:bCs/>
          <w:iCs/>
          <w:sz w:val="22"/>
          <w:szCs w:val="22"/>
        </w:rPr>
        <w:t>tak</w:t>
      </w:r>
      <w:r>
        <w:rPr>
          <w:rFonts w:ascii="Arial" w:hAnsi="Arial" w:cs="Arial"/>
          <w:bCs/>
          <w:iCs/>
          <w:sz w:val="22"/>
          <w:szCs w:val="22"/>
        </w:rPr>
        <w:t xml:space="preserve"> vede následně </w:t>
      </w:r>
      <w:r w:rsidR="009F047D">
        <w:rPr>
          <w:rFonts w:ascii="Arial" w:hAnsi="Arial" w:cs="Arial"/>
          <w:bCs/>
          <w:iCs/>
          <w:sz w:val="22"/>
          <w:szCs w:val="22"/>
        </w:rPr>
        <w:t>v </w:t>
      </w:r>
      <w:r>
        <w:rPr>
          <w:rFonts w:ascii="Arial" w:hAnsi="Arial" w:cs="Arial"/>
          <w:bCs/>
          <w:iCs/>
          <w:sz w:val="22"/>
          <w:szCs w:val="22"/>
        </w:rPr>
        <w:t>PAP k </w:t>
      </w:r>
      <w:r w:rsidR="00E725E7">
        <w:rPr>
          <w:rFonts w:ascii="Arial" w:hAnsi="Arial" w:cs="Arial"/>
          <w:bCs/>
          <w:iCs/>
          <w:sz w:val="22"/>
          <w:szCs w:val="22"/>
        </w:rPr>
        <w:t>odlišnému</w:t>
      </w:r>
      <w:r>
        <w:rPr>
          <w:rFonts w:ascii="Arial" w:hAnsi="Arial" w:cs="Arial"/>
          <w:bCs/>
          <w:iCs/>
          <w:sz w:val="22"/>
          <w:szCs w:val="22"/>
        </w:rPr>
        <w:t xml:space="preserve"> rozsahu řetězení dalších nesprávností. </w:t>
      </w:r>
    </w:p>
    <w:p w14:paraId="00D917FB" w14:textId="77777777" w:rsidR="00E00DF2" w:rsidRPr="00ED5C98" w:rsidRDefault="00E00DF2" w:rsidP="00E00DF2">
      <w:pPr>
        <w:jc w:val="both"/>
        <w:rPr>
          <w:rFonts w:ascii="Arial" w:hAnsi="Arial" w:cs="Arial"/>
          <w:bCs/>
          <w:iCs/>
          <w:sz w:val="22"/>
          <w:szCs w:val="22"/>
        </w:rPr>
      </w:pPr>
    </w:p>
    <w:p w14:paraId="00D917FC" w14:textId="77777777" w:rsidR="00E00DF2" w:rsidRPr="00260B0C" w:rsidRDefault="00304590" w:rsidP="00E00DF2">
      <w:pPr>
        <w:jc w:val="both"/>
        <w:rPr>
          <w:rFonts w:ascii="Arial" w:hAnsi="Arial" w:cs="Arial"/>
          <w:b/>
          <w:bCs/>
          <w:iCs/>
          <w:sz w:val="22"/>
          <w:szCs w:val="22"/>
        </w:rPr>
      </w:pPr>
      <w:r w:rsidRPr="00304590">
        <w:rPr>
          <w:rFonts w:ascii="Arial" w:hAnsi="Arial" w:cs="Arial"/>
          <w:b/>
          <w:bCs/>
          <w:iCs/>
          <w:sz w:val="22"/>
          <w:szCs w:val="22"/>
        </w:rPr>
        <w:t xml:space="preserve">4.3 </w:t>
      </w:r>
      <w:r w:rsidR="00E00DF2" w:rsidRPr="00260B0C">
        <w:rPr>
          <w:rFonts w:ascii="Arial" w:hAnsi="Arial" w:cs="Arial"/>
          <w:b/>
          <w:bCs/>
          <w:iCs/>
          <w:sz w:val="22"/>
          <w:szCs w:val="22"/>
        </w:rPr>
        <w:t>Krátkodobé závazky z poskytnutých transferů</w:t>
      </w:r>
    </w:p>
    <w:p w14:paraId="00D917FD" w14:textId="77777777" w:rsidR="00E00DF2" w:rsidRDefault="00E00DF2" w:rsidP="00E00DF2">
      <w:pPr>
        <w:jc w:val="both"/>
        <w:rPr>
          <w:rFonts w:ascii="Arial" w:hAnsi="Arial" w:cs="Arial"/>
          <w:bCs/>
          <w:iCs/>
          <w:sz w:val="22"/>
          <w:szCs w:val="22"/>
        </w:rPr>
      </w:pPr>
    </w:p>
    <w:p w14:paraId="00D917FE" w14:textId="77777777" w:rsidR="00E00DF2" w:rsidRPr="00ED5C98" w:rsidRDefault="00E00DF2" w:rsidP="00E00DF2">
      <w:pPr>
        <w:jc w:val="both"/>
        <w:rPr>
          <w:rFonts w:ascii="Arial" w:hAnsi="Arial" w:cs="Arial"/>
          <w:bCs/>
          <w:iCs/>
          <w:sz w:val="22"/>
          <w:szCs w:val="22"/>
        </w:rPr>
      </w:pPr>
      <w:r w:rsidRPr="00ED5C98">
        <w:rPr>
          <w:rFonts w:ascii="Arial" w:hAnsi="Arial" w:cs="Arial"/>
          <w:bCs/>
          <w:iCs/>
          <w:sz w:val="22"/>
          <w:szCs w:val="22"/>
        </w:rPr>
        <w:t xml:space="preserve">MPO nepoužívalo pro </w:t>
      </w:r>
      <w:r>
        <w:rPr>
          <w:rFonts w:ascii="Arial" w:hAnsi="Arial" w:cs="Arial"/>
          <w:bCs/>
          <w:iCs/>
          <w:sz w:val="22"/>
          <w:szCs w:val="22"/>
        </w:rPr>
        <w:t>účtování</w:t>
      </w:r>
      <w:r w:rsidRPr="00ED5C98">
        <w:rPr>
          <w:rFonts w:ascii="Arial" w:hAnsi="Arial" w:cs="Arial"/>
          <w:bCs/>
          <w:iCs/>
          <w:sz w:val="22"/>
          <w:szCs w:val="22"/>
        </w:rPr>
        <w:t xml:space="preserve"> závazk</w:t>
      </w:r>
      <w:r w:rsidR="00E725E7">
        <w:rPr>
          <w:rFonts w:ascii="Arial" w:hAnsi="Arial" w:cs="Arial"/>
          <w:bCs/>
          <w:iCs/>
          <w:sz w:val="22"/>
          <w:szCs w:val="22"/>
        </w:rPr>
        <w:t>ů</w:t>
      </w:r>
      <w:r w:rsidRPr="00ED5C98">
        <w:rPr>
          <w:rFonts w:ascii="Arial" w:hAnsi="Arial" w:cs="Arial"/>
          <w:bCs/>
          <w:iCs/>
          <w:sz w:val="22"/>
          <w:szCs w:val="22"/>
        </w:rPr>
        <w:t xml:space="preserve"> </w:t>
      </w:r>
      <w:r w:rsidR="00E725E7">
        <w:rPr>
          <w:rFonts w:ascii="Arial" w:hAnsi="Arial" w:cs="Arial"/>
          <w:bCs/>
          <w:iCs/>
          <w:sz w:val="22"/>
          <w:szCs w:val="22"/>
        </w:rPr>
        <w:t xml:space="preserve">plynoucích </w:t>
      </w:r>
      <w:r w:rsidR="009F047D">
        <w:rPr>
          <w:rFonts w:ascii="Arial" w:hAnsi="Arial" w:cs="Arial"/>
          <w:bCs/>
          <w:iCs/>
          <w:sz w:val="22"/>
          <w:szCs w:val="22"/>
        </w:rPr>
        <w:t>z </w:t>
      </w:r>
      <w:r w:rsidRPr="00ED5C98">
        <w:rPr>
          <w:rFonts w:ascii="Arial" w:hAnsi="Arial" w:cs="Arial"/>
          <w:bCs/>
          <w:iCs/>
          <w:sz w:val="22"/>
          <w:szCs w:val="22"/>
        </w:rPr>
        <w:t>poskyt</w:t>
      </w:r>
      <w:r w:rsidR="00E725E7">
        <w:rPr>
          <w:rFonts w:ascii="Arial" w:hAnsi="Arial" w:cs="Arial"/>
          <w:bCs/>
          <w:iCs/>
          <w:sz w:val="22"/>
          <w:szCs w:val="22"/>
        </w:rPr>
        <w:t>ování</w:t>
      </w:r>
      <w:r w:rsidRPr="00ED5C98">
        <w:rPr>
          <w:rFonts w:ascii="Arial" w:hAnsi="Arial" w:cs="Arial"/>
          <w:bCs/>
          <w:iCs/>
          <w:sz w:val="22"/>
          <w:szCs w:val="22"/>
        </w:rPr>
        <w:t xml:space="preserve"> transfer</w:t>
      </w:r>
      <w:r w:rsidR="00E725E7">
        <w:rPr>
          <w:rFonts w:ascii="Arial" w:hAnsi="Arial" w:cs="Arial"/>
          <w:bCs/>
          <w:iCs/>
          <w:sz w:val="22"/>
          <w:szCs w:val="22"/>
        </w:rPr>
        <w:t>ů</w:t>
      </w:r>
      <w:r w:rsidRPr="00ED5C98">
        <w:rPr>
          <w:rFonts w:ascii="Arial" w:hAnsi="Arial" w:cs="Arial"/>
          <w:bCs/>
          <w:iCs/>
          <w:sz w:val="22"/>
          <w:szCs w:val="22"/>
        </w:rPr>
        <w:t xml:space="preserve"> správný syntetický účet</w:t>
      </w:r>
      <w:r>
        <w:rPr>
          <w:rFonts w:ascii="Arial" w:hAnsi="Arial" w:cs="Arial"/>
          <w:bCs/>
          <w:iCs/>
          <w:sz w:val="22"/>
          <w:szCs w:val="22"/>
        </w:rPr>
        <w:t xml:space="preserve">. </w:t>
      </w:r>
      <w:r w:rsidR="00F77ABD">
        <w:rPr>
          <w:rFonts w:ascii="Arial" w:hAnsi="Arial" w:cs="Arial"/>
          <w:bCs/>
          <w:iCs/>
          <w:sz w:val="22"/>
          <w:szCs w:val="22"/>
        </w:rPr>
        <w:t>Účtovalo na</w:t>
      </w:r>
      <w:r>
        <w:rPr>
          <w:rFonts w:ascii="Arial" w:hAnsi="Arial" w:cs="Arial"/>
          <w:bCs/>
          <w:iCs/>
          <w:sz w:val="22"/>
          <w:szCs w:val="22"/>
        </w:rPr>
        <w:t xml:space="preserve"> účet 345 – </w:t>
      </w:r>
      <w:r w:rsidRPr="00CB02ED">
        <w:rPr>
          <w:rFonts w:ascii="Arial" w:hAnsi="Arial" w:cs="Arial"/>
          <w:bCs/>
          <w:i/>
          <w:iCs/>
          <w:sz w:val="22"/>
          <w:szCs w:val="22"/>
        </w:rPr>
        <w:t>Závazky k osobám mimo vybrané vládní instituce</w:t>
      </w:r>
      <w:r w:rsidR="009B6838" w:rsidRPr="00DA7D84">
        <w:rPr>
          <w:rFonts w:ascii="Arial" w:hAnsi="Arial" w:cs="Arial"/>
          <w:bCs/>
          <w:iCs/>
          <w:sz w:val="22"/>
          <w:szCs w:val="22"/>
        </w:rPr>
        <w:t>,</w:t>
      </w:r>
      <w:r>
        <w:rPr>
          <w:rFonts w:ascii="Arial" w:hAnsi="Arial" w:cs="Arial"/>
          <w:bCs/>
          <w:i/>
          <w:iCs/>
          <w:sz w:val="22"/>
          <w:szCs w:val="22"/>
        </w:rPr>
        <w:t xml:space="preserve"> </w:t>
      </w:r>
      <w:r w:rsidRPr="00980EAB">
        <w:rPr>
          <w:rFonts w:ascii="Arial" w:hAnsi="Arial" w:cs="Arial"/>
          <w:bCs/>
          <w:iCs/>
          <w:sz w:val="22"/>
          <w:szCs w:val="22"/>
        </w:rPr>
        <w:t>a</w:t>
      </w:r>
      <w:r w:rsidR="00E725E7">
        <w:rPr>
          <w:rFonts w:ascii="Arial" w:hAnsi="Arial" w:cs="Arial"/>
          <w:bCs/>
          <w:iCs/>
          <w:sz w:val="22"/>
          <w:szCs w:val="22"/>
        </w:rPr>
        <w:t> </w:t>
      </w:r>
      <w:r w:rsidRPr="00980EAB">
        <w:rPr>
          <w:rFonts w:ascii="Arial" w:hAnsi="Arial" w:cs="Arial"/>
          <w:bCs/>
          <w:iCs/>
          <w:sz w:val="22"/>
          <w:szCs w:val="22"/>
        </w:rPr>
        <w:t>to</w:t>
      </w:r>
      <w:r>
        <w:rPr>
          <w:rFonts w:ascii="Arial" w:hAnsi="Arial" w:cs="Arial"/>
          <w:bCs/>
          <w:iCs/>
          <w:sz w:val="22"/>
          <w:szCs w:val="22"/>
        </w:rPr>
        <w:t xml:space="preserve"> i v případech, kdy se jednalo o závazky za </w:t>
      </w:r>
      <w:r w:rsidRPr="00ED5C98">
        <w:rPr>
          <w:rFonts w:ascii="Arial" w:hAnsi="Arial" w:cs="Arial"/>
          <w:bCs/>
          <w:iCs/>
          <w:sz w:val="22"/>
          <w:szCs w:val="22"/>
        </w:rPr>
        <w:t>vybraným</w:t>
      </w:r>
      <w:r>
        <w:rPr>
          <w:rFonts w:ascii="Arial" w:hAnsi="Arial" w:cs="Arial"/>
          <w:bCs/>
          <w:iCs/>
          <w:sz w:val="22"/>
          <w:szCs w:val="22"/>
        </w:rPr>
        <w:t>i</w:t>
      </w:r>
      <w:r w:rsidRPr="00ED5C98">
        <w:rPr>
          <w:rFonts w:ascii="Arial" w:hAnsi="Arial" w:cs="Arial"/>
          <w:bCs/>
          <w:iCs/>
          <w:sz w:val="22"/>
          <w:szCs w:val="22"/>
        </w:rPr>
        <w:t xml:space="preserve"> účetním</w:t>
      </w:r>
      <w:r>
        <w:rPr>
          <w:rFonts w:ascii="Arial" w:hAnsi="Arial" w:cs="Arial"/>
          <w:bCs/>
          <w:iCs/>
          <w:sz w:val="22"/>
          <w:szCs w:val="22"/>
        </w:rPr>
        <w:t>i</w:t>
      </w:r>
      <w:r w:rsidRPr="00ED5C98">
        <w:rPr>
          <w:rFonts w:ascii="Arial" w:hAnsi="Arial" w:cs="Arial"/>
          <w:bCs/>
          <w:iCs/>
          <w:sz w:val="22"/>
          <w:szCs w:val="22"/>
        </w:rPr>
        <w:t xml:space="preserve"> jednotk</w:t>
      </w:r>
      <w:r>
        <w:rPr>
          <w:rFonts w:ascii="Arial" w:hAnsi="Arial" w:cs="Arial"/>
          <w:bCs/>
          <w:iCs/>
          <w:sz w:val="22"/>
          <w:szCs w:val="22"/>
        </w:rPr>
        <w:t>a</w:t>
      </w:r>
      <w:r w:rsidRPr="00ED5C98">
        <w:rPr>
          <w:rFonts w:ascii="Arial" w:hAnsi="Arial" w:cs="Arial"/>
          <w:bCs/>
          <w:iCs/>
          <w:sz w:val="22"/>
          <w:szCs w:val="22"/>
        </w:rPr>
        <w:t>m</w:t>
      </w:r>
      <w:r>
        <w:rPr>
          <w:rFonts w:ascii="Arial" w:hAnsi="Arial" w:cs="Arial"/>
          <w:bCs/>
          <w:iCs/>
          <w:sz w:val="22"/>
          <w:szCs w:val="22"/>
        </w:rPr>
        <w:t xml:space="preserve">i charakteru ústředních </w:t>
      </w:r>
      <w:r w:rsidR="00E725E7">
        <w:rPr>
          <w:rFonts w:ascii="Arial" w:hAnsi="Arial" w:cs="Arial"/>
          <w:bCs/>
          <w:iCs/>
          <w:sz w:val="22"/>
          <w:szCs w:val="22"/>
        </w:rPr>
        <w:t>č</w:t>
      </w:r>
      <w:r>
        <w:rPr>
          <w:rFonts w:ascii="Arial" w:hAnsi="Arial" w:cs="Arial"/>
          <w:bCs/>
          <w:iCs/>
          <w:sz w:val="22"/>
          <w:szCs w:val="22"/>
        </w:rPr>
        <w:t>i místních vládních</w:t>
      </w:r>
      <w:r w:rsidRPr="00ED5C98">
        <w:rPr>
          <w:rFonts w:ascii="Arial" w:hAnsi="Arial" w:cs="Arial"/>
          <w:bCs/>
          <w:iCs/>
          <w:sz w:val="22"/>
          <w:szCs w:val="22"/>
        </w:rPr>
        <w:t xml:space="preserve"> institucí, </w:t>
      </w:r>
      <w:r>
        <w:rPr>
          <w:rFonts w:ascii="Arial" w:hAnsi="Arial" w:cs="Arial"/>
          <w:bCs/>
          <w:iCs/>
          <w:sz w:val="22"/>
          <w:szCs w:val="22"/>
        </w:rPr>
        <w:t xml:space="preserve">pro které jsou určeny účty 347 – </w:t>
      </w:r>
      <w:r w:rsidRPr="00102452">
        <w:rPr>
          <w:rFonts w:ascii="Arial" w:hAnsi="Arial" w:cs="Arial"/>
          <w:bCs/>
          <w:i/>
          <w:iCs/>
          <w:sz w:val="22"/>
          <w:szCs w:val="22"/>
        </w:rPr>
        <w:t>Závazky k vybraným ústředním vládním institucím</w:t>
      </w:r>
      <w:r>
        <w:rPr>
          <w:rFonts w:ascii="Arial" w:hAnsi="Arial" w:cs="Arial"/>
          <w:bCs/>
          <w:iCs/>
          <w:sz w:val="22"/>
          <w:szCs w:val="22"/>
        </w:rPr>
        <w:t xml:space="preserve"> a 349 – </w:t>
      </w:r>
      <w:r w:rsidRPr="00102452">
        <w:rPr>
          <w:rFonts w:ascii="Arial" w:hAnsi="Arial" w:cs="Arial"/>
          <w:bCs/>
          <w:i/>
          <w:iCs/>
          <w:sz w:val="22"/>
          <w:szCs w:val="22"/>
        </w:rPr>
        <w:t>Závazky k vybraným místním vládním institucím</w:t>
      </w:r>
      <w:r>
        <w:rPr>
          <w:rFonts w:ascii="Arial" w:hAnsi="Arial" w:cs="Arial"/>
          <w:bCs/>
          <w:iCs/>
          <w:sz w:val="22"/>
          <w:szCs w:val="22"/>
        </w:rPr>
        <w:t xml:space="preserve">. </w:t>
      </w:r>
    </w:p>
    <w:p w14:paraId="00D917FF" w14:textId="77777777" w:rsidR="00E00DF2" w:rsidRPr="00ED5C98" w:rsidRDefault="00E00DF2" w:rsidP="00E00DF2">
      <w:pPr>
        <w:jc w:val="both"/>
        <w:rPr>
          <w:rFonts w:ascii="Arial" w:hAnsi="Arial" w:cs="Arial"/>
          <w:bCs/>
          <w:iCs/>
          <w:sz w:val="22"/>
          <w:szCs w:val="22"/>
        </w:rPr>
      </w:pPr>
    </w:p>
    <w:p w14:paraId="00D91800" w14:textId="77777777" w:rsidR="00E00DF2" w:rsidRDefault="00E00DF2" w:rsidP="00E00DF2">
      <w:pPr>
        <w:jc w:val="both"/>
        <w:rPr>
          <w:rFonts w:ascii="Arial" w:hAnsi="Arial" w:cs="Arial"/>
          <w:bCs/>
          <w:iCs/>
          <w:sz w:val="22"/>
          <w:szCs w:val="22"/>
        </w:rPr>
      </w:pPr>
      <w:r w:rsidRPr="00ED5C98">
        <w:rPr>
          <w:rFonts w:ascii="Arial" w:hAnsi="Arial" w:cs="Arial"/>
          <w:bCs/>
          <w:iCs/>
          <w:sz w:val="22"/>
          <w:szCs w:val="22"/>
        </w:rPr>
        <w:t xml:space="preserve">Nesprávně zachycené údaje </w:t>
      </w:r>
      <w:r>
        <w:rPr>
          <w:rFonts w:ascii="Arial" w:hAnsi="Arial" w:cs="Arial"/>
          <w:bCs/>
          <w:iCs/>
          <w:sz w:val="22"/>
          <w:szCs w:val="22"/>
        </w:rPr>
        <w:t xml:space="preserve">následně </w:t>
      </w:r>
      <w:r w:rsidR="00E725E7" w:rsidRPr="00ED5C98">
        <w:rPr>
          <w:rFonts w:ascii="Arial" w:hAnsi="Arial" w:cs="Arial"/>
          <w:bCs/>
          <w:iCs/>
          <w:sz w:val="22"/>
          <w:szCs w:val="22"/>
        </w:rPr>
        <w:t xml:space="preserve">MPO </w:t>
      </w:r>
      <w:r w:rsidRPr="00ED5C98">
        <w:rPr>
          <w:rFonts w:ascii="Arial" w:hAnsi="Arial" w:cs="Arial"/>
          <w:bCs/>
          <w:iCs/>
          <w:sz w:val="22"/>
          <w:szCs w:val="22"/>
        </w:rPr>
        <w:t xml:space="preserve">přeneslo do údajů </w:t>
      </w:r>
      <w:r>
        <w:rPr>
          <w:rFonts w:ascii="Arial" w:hAnsi="Arial" w:cs="Arial"/>
          <w:bCs/>
          <w:iCs/>
          <w:sz w:val="22"/>
          <w:szCs w:val="22"/>
        </w:rPr>
        <w:t>uvedených</w:t>
      </w:r>
      <w:r w:rsidR="00C57F4C">
        <w:rPr>
          <w:rFonts w:ascii="Arial" w:hAnsi="Arial" w:cs="Arial"/>
          <w:bCs/>
          <w:iCs/>
          <w:sz w:val="22"/>
          <w:szCs w:val="22"/>
        </w:rPr>
        <w:t xml:space="preserve"> v PAP k 31. </w:t>
      </w:r>
      <w:r>
        <w:rPr>
          <w:rFonts w:ascii="Arial" w:hAnsi="Arial" w:cs="Arial"/>
          <w:bCs/>
          <w:iCs/>
          <w:sz w:val="22"/>
          <w:szCs w:val="22"/>
        </w:rPr>
        <w:t>prosinci</w:t>
      </w:r>
      <w:r w:rsidRPr="00ED5C98">
        <w:rPr>
          <w:rFonts w:ascii="Arial" w:hAnsi="Arial" w:cs="Arial"/>
          <w:bCs/>
          <w:iCs/>
          <w:sz w:val="22"/>
          <w:szCs w:val="22"/>
        </w:rPr>
        <w:t xml:space="preserve"> 2012</w:t>
      </w:r>
      <w:r>
        <w:rPr>
          <w:rFonts w:ascii="Arial" w:hAnsi="Arial" w:cs="Arial"/>
          <w:bCs/>
          <w:iCs/>
          <w:sz w:val="22"/>
          <w:szCs w:val="22"/>
        </w:rPr>
        <w:t xml:space="preserve">, a to </w:t>
      </w:r>
      <w:r w:rsidR="007F6DD5">
        <w:rPr>
          <w:rFonts w:ascii="Arial" w:hAnsi="Arial" w:cs="Arial"/>
          <w:bCs/>
          <w:iCs/>
          <w:sz w:val="22"/>
          <w:szCs w:val="22"/>
        </w:rPr>
        <w:t xml:space="preserve">do </w:t>
      </w:r>
      <w:r>
        <w:rPr>
          <w:rFonts w:ascii="Arial" w:hAnsi="Arial" w:cs="Arial"/>
          <w:bCs/>
          <w:iCs/>
          <w:sz w:val="22"/>
          <w:szCs w:val="22"/>
        </w:rPr>
        <w:t xml:space="preserve">údajů o obratech na straně MD a na straně D účtu </w:t>
      </w:r>
      <w:r w:rsidR="00E725E7">
        <w:rPr>
          <w:rFonts w:ascii="Arial" w:hAnsi="Arial" w:cs="Arial"/>
          <w:bCs/>
          <w:iCs/>
          <w:sz w:val="22"/>
          <w:szCs w:val="22"/>
        </w:rPr>
        <w:br/>
      </w:r>
      <w:r>
        <w:rPr>
          <w:rFonts w:ascii="Arial" w:hAnsi="Arial" w:cs="Arial"/>
          <w:bCs/>
          <w:iCs/>
          <w:sz w:val="22"/>
          <w:szCs w:val="22"/>
        </w:rPr>
        <w:t>345</w:t>
      </w:r>
      <w:r w:rsidR="00F77ABD">
        <w:rPr>
          <w:rFonts w:ascii="Arial" w:hAnsi="Arial" w:cs="Arial"/>
          <w:bCs/>
          <w:iCs/>
          <w:sz w:val="22"/>
          <w:szCs w:val="22"/>
        </w:rPr>
        <w:t xml:space="preserve"> </w:t>
      </w:r>
      <w:r w:rsidR="00C57F4C">
        <w:rPr>
          <w:rFonts w:ascii="Arial" w:hAnsi="Arial" w:cs="Arial"/>
          <w:bCs/>
          <w:iCs/>
          <w:sz w:val="22"/>
          <w:szCs w:val="22"/>
        </w:rPr>
        <w:t>–</w:t>
      </w:r>
      <w:r w:rsidR="00F77ABD">
        <w:rPr>
          <w:rFonts w:ascii="Arial" w:hAnsi="Arial" w:cs="Arial"/>
          <w:bCs/>
          <w:iCs/>
          <w:sz w:val="22"/>
          <w:szCs w:val="22"/>
        </w:rPr>
        <w:t xml:space="preserve"> </w:t>
      </w:r>
      <w:r w:rsidR="00F77ABD" w:rsidRPr="00CB02ED">
        <w:rPr>
          <w:rFonts w:ascii="Arial" w:hAnsi="Arial" w:cs="Arial"/>
          <w:bCs/>
          <w:i/>
          <w:iCs/>
          <w:sz w:val="22"/>
          <w:szCs w:val="22"/>
        </w:rPr>
        <w:t>Závazky k osobám mimo vybrané vládní instituce</w:t>
      </w:r>
      <w:r w:rsidRPr="00ED5C98">
        <w:rPr>
          <w:rFonts w:ascii="Arial" w:hAnsi="Arial" w:cs="Arial"/>
          <w:bCs/>
          <w:iCs/>
          <w:sz w:val="22"/>
          <w:szCs w:val="22"/>
        </w:rPr>
        <w:t xml:space="preserve">. Částka takto </w:t>
      </w:r>
      <w:r>
        <w:rPr>
          <w:rFonts w:ascii="Arial" w:hAnsi="Arial" w:cs="Arial"/>
          <w:bCs/>
          <w:iCs/>
          <w:sz w:val="22"/>
          <w:szCs w:val="22"/>
        </w:rPr>
        <w:t>zachycený</w:t>
      </w:r>
      <w:r w:rsidRPr="00ED5C98">
        <w:rPr>
          <w:rFonts w:ascii="Arial" w:hAnsi="Arial" w:cs="Arial"/>
          <w:bCs/>
          <w:iCs/>
          <w:sz w:val="22"/>
          <w:szCs w:val="22"/>
        </w:rPr>
        <w:t>ch závazků činila 460</w:t>
      </w:r>
      <w:r w:rsidR="00C57F4C">
        <w:rPr>
          <w:rFonts w:ascii="Arial" w:hAnsi="Arial" w:cs="Arial"/>
          <w:bCs/>
          <w:iCs/>
          <w:sz w:val="22"/>
          <w:szCs w:val="22"/>
        </w:rPr>
        <w:t> 305 </w:t>
      </w:r>
      <w:r w:rsidRPr="00ED5C98">
        <w:rPr>
          <w:rFonts w:ascii="Arial" w:hAnsi="Arial" w:cs="Arial"/>
          <w:bCs/>
          <w:iCs/>
          <w:sz w:val="22"/>
          <w:szCs w:val="22"/>
        </w:rPr>
        <w:t>596</w:t>
      </w:r>
      <w:r w:rsidR="00C57F4C">
        <w:rPr>
          <w:rFonts w:ascii="Arial" w:hAnsi="Arial" w:cs="Arial"/>
          <w:bCs/>
          <w:iCs/>
          <w:sz w:val="22"/>
          <w:szCs w:val="22"/>
        </w:rPr>
        <w:t xml:space="preserve">,46 Kč a v PAP MPO se promítla v důsledku řetězení </w:t>
      </w:r>
      <w:r w:rsidRPr="00ED5C98">
        <w:rPr>
          <w:rFonts w:ascii="Arial" w:hAnsi="Arial" w:cs="Arial"/>
          <w:bCs/>
          <w:iCs/>
          <w:sz w:val="22"/>
          <w:szCs w:val="22"/>
        </w:rPr>
        <w:t>do částí I, VII</w:t>
      </w:r>
      <w:r>
        <w:rPr>
          <w:rFonts w:ascii="Arial" w:hAnsi="Arial" w:cs="Arial"/>
          <w:bCs/>
          <w:iCs/>
          <w:sz w:val="22"/>
          <w:szCs w:val="22"/>
        </w:rPr>
        <w:t xml:space="preserve"> a</w:t>
      </w:r>
      <w:r w:rsidRPr="00ED5C98">
        <w:rPr>
          <w:rFonts w:ascii="Arial" w:hAnsi="Arial" w:cs="Arial"/>
          <w:bCs/>
          <w:iCs/>
          <w:sz w:val="22"/>
          <w:szCs w:val="22"/>
        </w:rPr>
        <w:t xml:space="preserve"> X v celkové výši 2 301 527 982,30 Kč</w:t>
      </w:r>
      <w:r>
        <w:rPr>
          <w:rFonts w:ascii="Arial" w:hAnsi="Arial" w:cs="Arial"/>
          <w:bCs/>
          <w:iCs/>
          <w:sz w:val="22"/>
          <w:szCs w:val="22"/>
        </w:rPr>
        <w:t xml:space="preserve"> (viz tabulka č. 8)</w:t>
      </w:r>
      <w:r w:rsidRPr="00ED5C98">
        <w:rPr>
          <w:rFonts w:ascii="Arial" w:hAnsi="Arial" w:cs="Arial"/>
          <w:bCs/>
          <w:iCs/>
          <w:sz w:val="22"/>
          <w:szCs w:val="22"/>
        </w:rPr>
        <w:t>.</w:t>
      </w:r>
    </w:p>
    <w:p w14:paraId="00D91801" w14:textId="77777777" w:rsidR="00E03926" w:rsidRPr="00ED5C98" w:rsidRDefault="00E03926" w:rsidP="00E00DF2">
      <w:pPr>
        <w:jc w:val="both"/>
        <w:rPr>
          <w:rFonts w:ascii="Arial" w:hAnsi="Arial" w:cs="Arial"/>
          <w:bCs/>
          <w:iCs/>
          <w:sz w:val="22"/>
          <w:szCs w:val="22"/>
        </w:rPr>
      </w:pPr>
    </w:p>
    <w:p w14:paraId="00D91802" w14:textId="77777777" w:rsidR="00E00DF2" w:rsidRPr="00ED5C98" w:rsidRDefault="00E00DF2" w:rsidP="00260B0C">
      <w:pPr>
        <w:tabs>
          <w:tab w:val="right" w:pos="9072"/>
        </w:tabs>
        <w:spacing w:after="40"/>
        <w:ind w:left="1503" w:hanging="1503"/>
        <w:rPr>
          <w:rFonts w:ascii="Arial" w:hAnsi="Arial" w:cs="Arial"/>
          <w:bCs/>
          <w:iCs/>
          <w:sz w:val="22"/>
          <w:szCs w:val="22"/>
        </w:rPr>
      </w:pPr>
      <w:r w:rsidRPr="00B73BBD">
        <w:rPr>
          <w:rFonts w:ascii="Arial" w:hAnsi="Arial" w:cs="Arial"/>
          <w:b/>
          <w:sz w:val="22"/>
          <w:szCs w:val="22"/>
        </w:rPr>
        <w:t>Tabulka č. 8</w:t>
      </w:r>
      <w:r w:rsidRPr="002A7A11">
        <w:rPr>
          <w:rFonts w:ascii="Arial" w:hAnsi="Arial" w:cs="Arial"/>
          <w:b/>
          <w:sz w:val="22"/>
          <w:szCs w:val="22"/>
        </w:rPr>
        <w:t xml:space="preserve"> –</w:t>
      </w:r>
      <w:r w:rsidR="00E725E7">
        <w:rPr>
          <w:rFonts w:ascii="Arial" w:hAnsi="Arial" w:cs="Arial"/>
          <w:b/>
          <w:sz w:val="22"/>
          <w:szCs w:val="22"/>
        </w:rPr>
        <w:t xml:space="preserve"> </w:t>
      </w:r>
      <w:r>
        <w:rPr>
          <w:rFonts w:ascii="Arial" w:hAnsi="Arial" w:cs="Arial"/>
          <w:b/>
          <w:sz w:val="22"/>
          <w:szCs w:val="22"/>
        </w:rPr>
        <w:t xml:space="preserve">Nesprávnosti přenesené z účetnictví do </w:t>
      </w:r>
      <w:r w:rsidRPr="002A7A11">
        <w:rPr>
          <w:rFonts w:ascii="Arial" w:hAnsi="Arial" w:cs="Arial"/>
          <w:b/>
          <w:sz w:val="22"/>
          <w:szCs w:val="22"/>
        </w:rPr>
        <w:t>PAP MPO k 31.</w:t>
      </w:r>
      <w:r w:rsidR="00E03926">
        <w:rPr>
          <w:rFonts w:ascii="Arial" w:hAnsi="Arial" w:cs="Arial"/>
          <w:b/>
          <w:sz w:val="22"/>
          <w:szCs w:val="22"/>
        </w:rPr>
        <w:t> </w:t>
      </w:r>
      <w:r>
        <w:rPr>
          <w:rFonts w:ascii="Arial" w:hAnsi="Arial" w:cs="Arial"/>
          <w:b/>
          <w:sz w:val="22"/>
          <w:szCs w:val="22"/>
        </w:rPr>
        <w:t>prosinci</w:t>
      </w:r>
      <w:r w:rsidR="00E03926">
        <w:rPr>
          <w:rFonts w:ascii="Arial" w:hAnsi="Arial" w:cs="Arial"/>
          <w:b/>
          <w:sz w:val="22"/>
          <w:szCs w:val="22"/>
        </w:rPr>
        <w:t> </w:t>
      </w:r>
      <w:r w:rsidRPr="002A7A11">
        <w:rPr>
          <w:rFonts w:ascii="Arial" w:hAnsi="Arial" w:cs="Arial"/>
          <w:b/>
          <w:sz w:val="22"/>
          <w:szCs w:val="22"/>
        </w:rPr>
        <w:t>2012</w:t>
      </w:r>
      <w:r w:rsidR="00C57F4C">
        <w:rPr>
          <w:rFonts w:ascii="Arial" w:hAnsi="Arial" w:cs="Arial"/>
          <w:b/>
          <w:sz w:val="22"/>
          <w:szCs w:val="22"/>
        </w:rPr>
        <w:t xml:space="preserve"> v </w:t>
      </w:r>
      <w:r>
        <w:rPr>
          <w:rFonts w:ascii="Arial" w:hAnsi="Arial" w:cs="Arial"/>
          <w:b/>
          <w:sz w:val="22"/>
          <w:szCs w:val="22"/>
        </w:rPr>
        <w:t xml:space="preserve">důsledku používání nesprávného účtu pro </w:t>
      </w:r>
      <w:r w:rsidR="00E725E7">
        <w:rPr>
          <w:rFonts w:ascii="Arial" w:hAnsi="Arial" w:cs="Arial"/>
          <w:b/>
          <w:sz w:val="22"/>
          <w:szCs w:val="22"/>
        </w:rPr>
        <w:t xml:space="preserve">účtování </w:t>
      </w:r>
      <w:r>
        <w:rPr>
          <w:rFonts w:ascii="Arial" w:hAnsi="Arial" w:cs="Arial"/>
          <w:b/>
          <w:sz w:val="22"/>
          <w:szCs w:val="22"/>
        </w:rPr>
        <w:t>krátkodob</w:t>
      </w:r>
      <w:r w:rsidR="00E725E7">
        <w:rPr>
          <w:rFonts w:ascii="Arial" w:hAnsi="Arial" w:cs="Arial"/>
          <w:b/>
          <w:sz w:val="22"/>
          <w:szCs w:val="22"/>
        </w:rPr>
        <w:t>ých</w:t>
      </w:r>
      <w:r>
        <w:rPr>
          <w:rFonts w:ascii="Arial" w:hAnsi="Arial" w:cs="Arial"/>
          <w:b/>
          <w:sz w:val="22"/>
          <w:szCs w:val="22"/>
        </w:rPr>
        <w:t xml:space="preserve"> závazk</w:t>
      </w:r>
      <w:r w:rsidR="00E725E7">
        <w:rPr>
          <w:rFonts w:ascii="Arial" w:hAnsi="Arial" w:cs="Arial"/>
          <w:b/>
          <w:sz w:val="22"/>
          <w:szCs w:val="22"/>
        </w:rPr>
        <w:t>ů</w:t>
      </w:r>
      <w:r>
        <w:rPr>
          <w:rFonts w:ascii="Arial" w:hAnsi="Arial" w:cs="Arial"/>
          <w:b/>
          <w:sz w:val="22"/>
          <w:szCs w:val="22"/>
        </w:rPr>
        <w:t xml:space="preserve"> z poskytnutých transferů</w:t>
      </w:r>
      <w:r w:rsidRPr="002A7A11">
        <w:rPr>
          <w:rFonts w:ascii="Arial" w:hAnsi="Arial" w:cs="Arial"/>
          <w:b/>
          <w:sz w:val="22"/>
          <w:szCs w:val="22"/>
        </w:rPr>
        <w:t xml:space="preserve"> </w:t>
      </w:r>
      <w:r w:rsidR="00A30487">
        <w:rPr>
          <w:rFonts w:ascii="Arial" w:hAnsi="Arial" w:cs="Arial"/>
          <w:b/>
          <w:sz w:val="22"/>
          <w:szCs w:val="22"/>
        </w:rPr>
        <w:tab/>
      </w:r>
      <w:r>
        <w:rPr>
          <w:rFonts w:ascii="Arial" w:hAnsi="Arial" w:cs="Arial"/>
          <w:b/>
          <w:sz w:val="22"/>
          <w:szCs w:val="22"/>
        </w:rPr>
        <w:t>(v Kč)</w:t>
      </w:r>
    </w:p>
    <w:tbl>
      <w:tblPr>
        <w:tblW w:w="9035" w:type="dxa"/>
        <w:tblInd w:w="70" w:type="dxa"/>
        <w:tblCellMar>
          <w:left w:w="70" w:type="dxa"/>
          <w:right w:w="70" w:type="dxa"/>
        </w:tblCellMar>
        <w:tblLook w:val="0000" w:firstRow="0" w:lastRow="0" w:firstColumn="0" w:lastColumn="0" w:noHBand="0" w:noVBand="0"/>
      </w:tblPr>
      <w:tblGrid>
        <w:gridCol w:w="2381"/>
        <w:gridCol w:w="2381"/>
        <w:gridCol w:w="2118"/>
        <w:gridCol w:w="2155"/>
      </w:tblGrid>
      <w:tr w:rsidR="00E00DF2" w:rsidRPr="00ED5C98" w14:paraId="00D91807" w14:textId="77777777" w:rsidTr="00260B0C">
        <w:trPr>
          <w:trHeight w:val="290"/>
        </w:trPr>
        <w:tc>
          <w:tcPr>
            <w:tcW w:w="2381" w:type="dxa"/>
            <w:tcBorders>
              <w:top w:val="single" w:sz="12" w:space="0" w:color="auto"/>
              <w:left w:val="single" w:sz="12" w:space="0" w:color="auto"/>
              <w:bottom w:val="single" w:sz="6" w:space="0" w:color="auto"/>
              <w:right w:val="nil"/>
            </w:tcBorders>
            <w:shd w:val="clear" w:color="auto" w:fill="C6D9F1" w:themeFill="text2" w:themeFillTint="33"/>
            <w:vAlign w:val="center"/>
          </w:tcPr>
          <w:p w14:paraId="00D91803"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I</w:t>
            </w:r>
          </w:p>
        </w:tc>
        <w:tc>
          <w:tcPr>
            <w:tcW w:w="2381" w:type="dxa"/>
            <w:tcBorders>
              <w:top w:val="single" w:sz="12" w:space="0" w:color="auto"/>
              <w:left w:val="single" w:sz="12" w:space="0" w:color="auto"/>
              <w:bottom w:val="single" w:sz="6" w:space="0" w:color="auto"/>
              <w:right w:val="nil"/>
            </w:tcBorders>
            <w:shd w:val="clear" w:color="auto" w:fill="C6D9F1" w:themeFill="text2" w:themeFillTint="33"/>
            <w:vAlign w:val="center"/>
          </w:tcPr>
          <w:p w14:paraId="00D91804"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VII</w:t>
            </w:r>
          </w:p>
        </w:tc>
        <w:tc>
          <w:tcPr>
            <w:tcW w:w="2118"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05"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X</w:t>
            </w:r>
          </w:p>
        </w:tc>
        <w:tc>
          <w:tcPr>
            <w:tcW w:w="2155" w:type="dxa"/>
            <w:vMerge w:val="restart"/>
            <w:tcBorders>
              <w:top w:val="single" w:sz="12" w:space="0" w:color="auto"/>
              <w:left w:val="nil"/>
              <w:right w:val="single" w:sz="12" w:space="0" w:color="auto"/>
            </w:tcBorders>
            <w:shd w:val="clear" w:color="auto" w:fill="C6D9F1" w:themeFill="text2" w:themeFillTint="33"/>
            <w:vAlign w:val="center"/>
          </w:tcPr>
          <w:p w14:paraId="00D91806"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Celkový součet</w:t>
            </w:r>
          </w:p>
        </w:tc>
      </w:tr>
      <w:tr w:rsidR="00E00DF2" w:rsidRPr="00ED5C98" w14:paraId="00D9180C" w14:textId="77777777" w:rsidTr="00260B0C">
        <w:trPr>
          <w:trHeight w:val="305"/>
        </w:trPr>
        <w:tc>
          <w:tcPr>
            <w:tcW w:w="2381"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08" w14:textId="77777777" w:rsidR="00E00DF2" w:rsidRPr="00ED5C98" w:rsidRDefault="00E725E7" w:rsidP="00260B0C">
            <w:pPr>
              <w:autoSpaceDE w:val="0"/>
              <w:autoSpaceDN w:val="0"/>
              <w:adjustRightInd w:val="0"/>
              <w:spacing w:before="40"/>
              <w:ind w:left="-40" w:right="-93"/>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 xml:space="preserve">čet 345 + </w:t>
            </w:r>
            <w:r w:rsidR="00E00DF2" w:rsidRPr="00ED5C98">
              <w:rPr>
                <w:rFonts w:ascii="Arial" w:eastAsiaTheme="minorHAnsi" w:hAnsi="Arial" w:cs="Arial"/>
                <w:b/>
                <w:bCs/>
                <w:color w:val="000000"/>
                <w:sz w:val="18"/>
                <w:szCs w:val="18"/>
              </w:rPr>
              <w:t xml:space="preserve">AČ </w:t>
            </w:r>
            <w:r w:rsidR="00E00DF2">
              <w:rPr>
                <w:rFonts w:ascii="Arial" w:eastAsiaTheme="minorHAnsi" w:hAnsi="Arial" w:cs="Arial"/>
                <w:b/>
                <w:bCs/>
                <w:color w:val="000000"/>
                <w:sz w:val="18"/>
                <w:szCs w:val="18"/>
              </w:rPr>
              <w:t xml:space="preserve">k účtu </w:t>
            </w:r>
            <w:r w:rsidR="00E00DF2" w:rsidRPr="00ED5C98">
              <w:rPr>
                <w:rFonts w:ascii="Arial" w:eastAsiaTheme="minorHAnsi" w:hAnsi="Arial" w:cs="Arial"/>
                <w:b/>
                <w:bCs/>
                <w:color w:val="000000"/>
                <w:sz w:val="18"/>
                <w:szCs w:val="18"/>
              </w:rPr>
              <w:t>345</w:t>
            </w:r>
          </w:p>
        </w:tc>
        <w:tc>
          <w:tcPr>
            <w:tcW w:w="2381" w:type="dxa"/>
            <w:tcBorders>
              <w:top w:val="single" w:sz="6" w:space="0" w:color="auto"/>
              <w:left w:val="single" w:sz="6" w:space="0" w:color="auto"/>
              <w:bottom w:val="single" w:sz="12" w:space="0" w:color="auto"/>
              <w:right w:val="single" w:sz="12" w:space="0" w:color="auto"/>
            </w:tcBorders>
            <w:shd w:val="clear" w:color="auto" w:fill="C6D9F1" w:themeFill="text2" w:themeFillTint="33"/>
            <w:vAlign w:val="center"/>
          </w:tcPr>
          <w:p w14:paraId="00D91809" w14:textId="77777777" w:rsidR="00E00DF2" w:rsidRPr="00ED5C98" w:rsidRDefault="00E725E7" w:rsidP="00260B0C">
            <w:pPr>
              <w:autoSpaceDE w:val="0"/>
              <w:autoSpaceDN w:val="0"/>
              <w:adjustRightInd w:val="0"/>
              <w:spacing w:before="40"/>
              <w:ind w:left="-47" w:right="-85"/>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 xml:space="preserve">čet 345 + </w:t>
            </w:r>
            <w:r w:rsidR="00E00DF2" w:rsidRPr="00ED5C98">
              <w:rPr>
                <w:rFonts w:ascii="Arial" w:eastAsiaTheme="minorHAnsi" w:hAnsi="Arial" w:cs="Arial"/>
                <w:b/>
                <w:bCs/>
                <w:color w:val="000000"/>
                <w:sz w:val="18"/>
                <w:szCs w:val="18"/>
              </w:rPr>
              <w:t xml:space="preserve">AČ </w:t>
            </w:r>
            <w:r w:rsidR="00E00DF2">
              <w:rPr>
                <w:rFonts w:ascii="Arial" w:eastAsiaTheme="minorHAnsi" w:hAnsi="Arial" w:cs="Arial"/>
                <w:b/>
                <w:bCs/>
                <w:color w:val="000000"/>
                <w:sz w:val="18"/>
                <w:szCs w:val="18"/>
              </w:rPr>
              <w:t xml:space="preserve">k účtu </w:t>
            </w:r>
            <w:r w:rsidR="00E00DF2" w:rsidRPr="00ED5C98">
              <w:rPr>
                <w:rFonts w:ascii="Arial" w:eastAsiaTheme="minorHAnsi" w:hAnsi="Arial" w:cs="Arial"/>
                <w:b/>
                <w:bCs/>
                <w:color w:val="000000"/>
                <w:sz w:val="18"/>
                <w:szCs w:val="18"/>
              </w:rPr>
              <w:t>345</w:t>
            </w:r>
          </w:p>
        </w:tc>
        <w:tc>
          <w:tcPr>
            <w:tcW w:w="2118"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0A"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 xml:space="preserve">AČ </w:t>
            </w:r>
            <w:r>
              <w:rPr>
                <w:rFonts w:ascii="Arial" w:eastAsiaTheme="minorHAnsi" w:hAnsi="Arial" w:cs="Arial"/>
                <w:b/>
                <w:bCs/>
                <w:color w:val="000000"/>
                <w:sz w:val="18"/>
                <w:szCs w:val="18"/>
              </w:rPr>
              <w:t xml:space="preserve">k účtu </w:t>
            </w:r>
            <w:r w:rsidRPr="00ED5C98">
              <w:rPr>
                <w:rFonts w:ascii="Arial" w:eastAsiaTheme="minorHAnsi" w:hAnsi="Arial" w:cs="Arial"/>
                <w:b/>
                <w:bCs/>
                <w:color w:val="000000"/>
                <w:sz w:val="18"/>
                <w:szCs w:val="18"/>
              </w:rPr>
              <w:t>345</w:t>
            </w:r>
          </w:p>
        </w:tc>
        <w:tc>
          <w:tcPr>
            <w:tcW w:w="2155" w:type="dxa"/>
            <w:vMerge/>
            <w:tcBorders>
              <w:left w:val="nil"/>
              <w:bottom w:val="single" w:sz="12" w:space="0" w:color="auto"/>
              <w:right w:val="single" w:sz="12" w:space="0" w:color="auto"/>
            </w:tcBorders>
            <w:shd w:val="clear" w:color="auto" w:fill="D9D9D9" w:themeFill="background1" w:themeFillShade="D9"/>
          </w:tcPr>
          <w:p w14:paraId="00D9180B"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p>
        </w:tc>
      </w:tr>
      <w:tr w:rsidR="00E00DF2" w:rsidRPr="00ED5C98" w14:paraId="00D91811" w14:textId="77777777" w:rsidTr="00260B0C">
        <w:trPr>
          <w:trHeight w:val="305"/>
        </w:trPr>
        <w:tc>
          <w:tcPr>
            <w:tcW w:w="2381" w:type="dxa"/>
            <w:tcBorders>
              <w:top w:val="nil"/>
              <w:left w:val="single" w:sz="12" w:space="0" w:color="auto"/>
              <w:bottom w:val="single" w:sz="12" w:space="0" w:color="auto"/>
              <w:right w:val="single" w:sz="6" w:space="0" w:color="auto"/>
            </w:tcBorders>
            <w:vAlign w:val="center"/>
          </w:tcPr>
          <w:p w14:paraId="00D9180D"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920 611 192,92</w:t>
            </w:r>
          </w:p>
        </w:tc>
        <w:tc>
          <w:tcPr>
            <w:tcW w:w="2381" w:type="dxa"/>
            <w:tcBorders>
              <w:top w:val="nil"/>
              <w:left w:val="single" w:sz="12" w:space="0" w:color="auto"/>
              <w:bottom w:val="single" w:sz="12" w:space="0" w:color="auto"/>
              <w:right w:val="single" w:sz="6" w:space="0" w:color="auto"/>
            </w:tcBorders>
            <w:vAlign w:val="center"/>
          </w:tcPr>
          <w:p w14:paraId="00D9180E"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920 611 192,92</w:t>
            </w:r>
          </w:p>
        </w:tc>
        <w:tc>
          <w:tcPr>
            <w:tcW w:w="2118" w:type="dxa"/>
            <w:tcBorders>
              <w:top w:val="nil"/>
              <w:left w:val="single" w:sz="12" w:space="0" w:color="auto"/>
              <w:bottom w:val="single" w:sz="12" w:space="0" w:color="auto"/>
              <w:right w:val="single" w:sz="12" w:space="0" w:color="auto"/>
            </w:tcBorders>
            <w:vAlign w:val="center"/>
          </w:tcPr>
          <w:p w14:paraId="00D9180F"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460 305 596,46</w:t>
            </w:r>
          </w:p>
        </w:tc>
        <w:tc>
          <w:tcPr>
            <w:tcW w:w="2155" w:type="dxa"/>
            <w:tcBorders>
              <w:top w:val="nil"/>
              <w:left w:val="nil"/>
              <w:bottom w:val="single" w:sz="12" w:space="0" w:color="auto"/>
              <w:right w:val="single" w:sz="12" w:space="0" w:color="auto"/>
            </w:tcBorders>
            <w:vAlign w:val="center"/>
          </w:tcPr>
          <w:p w14:paraId="00D91810" w14:textId="77777777" w:rsidR="00E00DF2" w:rsidRPr="00ED5C98" w:rsidRDefault="00E00DF2" w:rsidP="007C7817">
            <w:pPr>
              <w:autoSpaceDE w:val="0"/>
              <w:autoSpaceDN w:val="0"/>
              <w:adjustRightInd w:val="0"/>
              <w:jc w:val="right"/>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2 301 527 982,30</w:t>
            </w:r>
          </w:p>
        </w:tc>
      </w:tr>
    </w:tbl>
    <w:p w14:paraId="00D91812" w14:textId="77777777" w:rsidR="00E00DF2" w:rsidRDefault="00E00DF2" w:rsidP="00E00DF2">
      <w:pPr>
        <w:jc w:val="both"/>
        <w:rPr>
          <w:rFonts w:ascii="Arial" w:hAnsi="Arial" w:cs="Arial"/>
          <w:bCs/>
          <w:iCs/>
          <w:sz w:val="22"/>
          <w:szCs w:val="22"/>
        </w:rPr>
      </w:pPr>
    </w:p>
    <w:p w14:paraId="00D91813" w14:textId="77777777" w:rsidR="00E00DF2" w:rsidRDefault="00E00DF2" w:rsidP="00E00DF2">
      <w:pPr>
        <w:jc w:val="both"/>
        <w:rPr>
          <w:rFonts w:ascii="Arial" w:hAnsi="Arial" w:cs="Arial"/>
          <w:bCs/>
          <w:iCs/>
          <w:sz w:val="22"/>
          <w:szCs w:val="22"/>
        </w:rPr>
      </w:pPr>
      <w:r>
        <w:rPr>
          <w:rFonts w:ascii="Arial" w:hAnsi="Arial" w:cs="Arial"/>
          <w:bCs/>
          <w:iCs/>
          <w:sz w:val="22"/>
          <w:szCs w:val="22"/>
        </w:rPr>
        <w:t>Kontrolou takto identifikované závazky zaúčtované v průběhu roku 2012 byly ve stejném roce splněny a zúčtovány</w:t>
      </w:r>
      <w:r w:rsidR="00F32FD6">
        <w:rPr>
          <w:rFonts w:ascii="Arial" w:hAnsi="Arial" w:cs="Arial"/>
          <w:bCs/>
          <w:iCs/>
          <w:sz w:val="22"/>
          <w:szCs w:val="22"/>
        </w:rPr>
        <w:t>, což znamená</w:t>
      </w:r>
      <w:r w:rsidR="00C74684">
        <w:rPr>
          <w:rFonts w:ascii="Arial" w:hAnsi="Arial" w:cs="Arial"/>
          <w:bCs/>
          <w:iCs/>
          <w:sz w:val="22"/>
          <w:szCs w:val="22"/>
        </w:rPr>
        <w:t>,</w:t>
      </w:r>
      <w:r w:rsidR="00713E6C">
        <w:rPr>
          <w:rFonts w:ascii="Arial" w:hAnsi="Arial" w:cs="Arial"/>
          <w:bCs/>
          <w:iCs/>
          <w:sz w:val="22"/>
          <w:szCs w:val="22"/>
        </w:rPr>
        <w:t xml:space="preserve"> </w:t>
      </w:r>
      <w:r>
        <w:rPr>
          <w:rFonts w:ascii="Arial" w:hAnsi="Arial" w:cs="Arial"/>
          <w:bCs/>
          <w:iCs/>
          <w:sz w:val="22"/>
          <w:szCs w:val="22"/>
        </w:rPr>
        <w:t>že nesprávně zvolený účet neměl žádný vliv na správnost údajů o konečném stavu těchto závazků k 31. prosinci 2012</w:t>
      </w:r>
      <w:r w:rsidR="00F32FD6">
        <w:rPr>
          <w:rFonts w:ascii="Arial" w:hAnsi="Arial" w:cs="Arial"/>
          <w:bCs/>
          <w:iCs/>
          <w:sz w:val="22"/>
          <w:szCs w:val="22"/>
        </w:rPr>
        <w:t>,</w:t>
      </w:r>
      <w:r>
        <w:rPr>
          <w:rFonts w:ascii="Arial" w:hAnsi="Arial" w:cs="Arial"/>
          <w:bCs/>
          <w:iCs/>
          <w:sz w:val="22"/>
          <w:szCs w:val="22"/>
        </w:rPr>
        <w:t xml:space="preserve"> a t</w:t>
      </w:r>
      <w:r w:rsidR="00F32FD6">
        <w:rPr>
          <w:rFonts w:ascii="Arial" w:hAnsi="Arial" w:cs="Arial"/>
          <w:bCs/>
          <w:iCs/>
          <w:sz w:val="22"/>
          <w:szCs w:val="22"/>
        </w:rPr>
        <w:t>edy</w:t>
      </w:r>
      <w:r>
        <w:rPr>
          <w:rFonts w:ascii="Arial" w:hAnsi="Arial" w:cs="Arial"/>
          <w:bCs/>
          <w:iCs/>
          <w:sz w:val="22"/>
          <w:szCs w:val="22"/>
        </w:rPr>
        <w:t xml:space="preserve"> ani na údaje v účetní závěrce. V PAP se však na rozdíl od účetní závěrky uvádějí i údaje o obratech na stranách MD a D jednotlivých vybraných účtů, </w:t>
      </w:r>
      <w:r w:rsidR="00F32FD6">
        <w:rPr>
          <w:rFonts w:ascii="Arial" w:hAnsi="Arial" w:cs="Arial"/>
          <w:bCs/>
          <w:iCs/>
          <w:sz w:val="22"/>
          <w:szCs w:val="22"/>
        </w:rPr>
        <w:t>v důsledku čehož jsou</w:t>
      </w:r>
      <w:r>
        <w:rPr>
          <w:rFonts w:ascii="Arial" w:hAnsi="Arial" w:cs="Arial"/>
          <w:bCs/>
          <w:iCs/>
          <w:sz w:val="22"/>
          <w:szCs w:val="22"/>
        </w:rPr>
        <w:t xml:space="preserve"> údaj</w:t>
      </w:r>
      <w:r w:rsidR="00F32FD6">
        <w:rPr>
          <w:rFonts w:ascii="Arial" w:hAnsi="Arial" w:cs="Arial"/>
          <w:bCs/>
          <w:iCs/>
          <w:sz w:val="22"/>
          <w:szCs w:val="22"/>
        </w:rPr>
        <w:t>e</w:t>
      </w:r>
      <w:r>
        <w:rPr>
          <w:rFonts w:ascii="Arial" w:hAnsi="Arial" w:cs="Arial"/>
          <w:bCs/>
          <w:iCs/>
          <w:sz w:val="22"/>
          <w:szCs w:val="22"/>
        </w:rPr>
        <w:t xml:space="preserve"> PAP </w:t>
      </w:r>
      <w:r w:rsidR="00F32FD6">
        <w:rPr>
          <w:rFonts w:ascii="Arial" w:hAnsi="Arial" w:cs="Arial"/>
          <w:bCs/>
          <w:iCs/>
          <w:sz w:val="22"/>
          <w:szCs w:val="22"/>
        </w:rPr>
        <w:t xml:space="preserve">velmi citlivé </w:t>
      </w:r>
      <w:r>
        <w:rPr>
          <w:rFonts w:ascii="Arial" w:hAnsi="Arial" w:cs="Arial"/>
          <w:bCs/>
          <w:iCs/>
          <w:sz w:val="22"/>
          <w:szCs w:val="22"/>
        </w:rPr>
        <w:t xml:space="preserve">na správnost vedení účetnictví v průběhu roku </w:t>
      </w:r>
      <w:r w:rsidR="00F32FD6">
        <w:rPr>
          <w:rFonts w:ascii="Arial" w:hAnsi="Arial" w:cs="Arial"/>
          <w:bCs/>
          <w:iCs/>
          <w:sz w:val="22"/>
          <w:szCs w:val="22"/>
        </w:rPr>
        <w:t xml:space="preserve">a tato citlivost </w:t>
      </w:r>
      <w:r>
        <w:rPr>
          <w:rFonts w:ascii="Arial" w:hAnsi="Arial" w:cs="Arial"/>
          <w:bCs/>
          <w:iCs/>
          <w:sz w:val="22"/>
          <w:szCs w:val="22"/>
        </w:rPr>
        <w:t>je mnohem vyšší než u účetní závěrky.</w:t>
      </w:r>
    </w:p>
    <w:p w14:paraId="00D91814" w14:textId="77777777" w:rsidR="00A30487" w:rsidRDefault="00A30487" w:rsidP="00E00DF2">
      <w:pPr>
        <w:jc w:val="both"/>
        <w:rPr>
          <w:rFonts w:ascii="Arial" w:hAnsi="Arial" w:cs="Arial"/>
          <w:bCs/>
          <w:iCs/>
          <w:sz w:val="22"/>
          <w:szCs w:val="22"/>
        </w:rPr>
      </w:pPr>
    </w:p>
    <w:p w14:paraId="00D91815" w14:textId="77777777" w:rsidR="00E00DF2" w:rsidRPr="00260B0C" w:rsidRDefault="00525767" w:rsidP="00260B0C">
      <w:pPr>
        <w:ind w:left="397" w:hanging="397"/>
        <w:rPr>
          <w:rFonts w:ascii="Arial" w:hAnsi="Arial" w:cs="Arial"/>
          <w:b/>
          <w:bCs/>
          <w:iCs/>
          <w:sz w:val="22"/>
          <w:szCs w:val="22"/>
        </w:rPr>
      </w:pPr>
      <w:r w:rsidRPr="00260B0C">
        <w:rPr>
          <w:rFonts w:ascii="Arial" w:hAnsi="Arial" w:cs="Arial"/>
          <w:b/>
          <w:bCs/>
          <w:iCs/>
          <w:sz w:val="22"/>
          <w:szCs w:val="22"/>
        </w:rPr>
        <w:t xml:space="preserve">4.4 </w:t>
      </w:r>
      <w:r w:rsidR="00E00DF2" w:rsidRPr="00260B0C">
        <w:rPr>
          <w:rFonts w:ascii="Arial" w:hAnsi="Arial" w:cs="Arial"/>
          <w:b/>
          <w:bCs/>
          <w:iCs/>
          <w:sz w:val="22"/>
          <w:szCs w:val="22"/>
        </w:rPr>
        <w:t>Transfery spolufinancované Evropskou unií – refundace předfinancovaných transferů od Národního fondu</w:t>
      </w:r>
    </w:p>
    <w:p w14:paraId="00D91816" w14:textId="77777777" w:rsidR="00E00DF2" w:rsidRDefault="00E00DF2" w:rsidP="00E00DF2">
      <w:pPr>
        <w:jc w:val="both"/>
        <w:rPr>
          <w:rFonts w:ascii="Arial" w:hAnsi="Arial" w:cs="Arial"/>
          <w:sz w:val="22"/>
          <w:szCs w:val="22"/>
        </w:rPr>
      </w:pPr>
    </w:p>
    <w:p w14:paraId="00D91817" w14:textId="77777777" w:rsidR="00E00DF2" w:rsidRPr="00ED5C98" w:rsidRDefault="00E00DF2" w:rsidP="00E00DF2">
      <w:pPr>
        <w:jc w:val="both"/>
        <w:rPr>
          <w:rFonts w:ascii="Arial" w:hAnsi="Arial" w:cs="Arial"/>
          <w:sz w:val="22"/>
          <w:szCs w:val="22"/>
        </w:rPr>
      </w:pPr>
      <w:r w:rsidRPr="00ED5C98">
        <w:rPr>
          <w:rFonts w:ascii="Arial" w:hAnsi="Arial" w:cs="Arial"/>
          <w:sz w:val="22"/>
          <w:szCs w:val="22"/>
        </w:rPr>
        <w:t xml:space="preserve">MPO nesprávně účtovalo o </w:t>
      </w:r>
      <w:r>
        <w:rPr>
          <w:rFonts w:ascii="Arial" w:hAnsi="Arial" w:cs="Arial"/>
          <w:sz w:val="22"/>
          <w:szCs w:val="22"/>
        </w:rPr>
        <w:t xml:space="preserve">nároku </w:t>
      </w:r>
      <w:r w:rsidR="00F77ABD">
        <w:rPr>
          <w:rFonts w:ascii="Arial" w:hAnsi="Arial" w:cs="Arial"/>
          <w:sz w:val="22"/>
          <w:szCs w:val="22"/>
        </w:rPr>
        <w:t xml:space="preserve">na </w:t>
      </w:r>
      <w:r>
        <w:rPr>
          <w:rFonts w:ascii="Arial" w:hAnsi="Arial" w:cs="Arial"/>
          <w:sz w:val="22"/>
          <w:szCs w:val="22"/>
        </w:rPr>
        <w:t xml:space="preserve">refundaci předfinancovaných prostředků </w:t>
      </w:r>
      <w:r w:rsidR="00F32FD6">
        <w:rPr>
          <w:rFonts w:ascii="Arial" w:hAnsi="Arial" w:cs="Arial"/>
          <w:sz w:val="22"/>
          <w:szCs w:val="22"/>
        </w:rPr>
        <w:t>o</w:t>
      </w:r>
      <w:r w:rsidR="00F77ABD">
        <w:rPr>
          <w:rFonts w:ascii="Arial" w:hAnsi="Arial" w:cs="Arial"/>
          <w:sz w:val="22"/>
          <w:szCs w:val="22"/>
        </w:rPr>
        <w:t xml:space="preserve">peračního programu </w:t>
      </w:r>
      <w:r w:rsidR="00F77ABD" w:rsidRPr="00260B0C">
        <w:rPr>
          <w:rFonts w:ascii="Arial" w:hAnsi="Arial" w:cs="Arial"/>
          <w:i/>
          <w:sz w:val="22"/>
          <w:szCs w:val="22"/>
        </w:rPr>
        <w:t>Podnikání a inovace</w:t>
      </w:r>
      <w:r>
        <w:rPr>
          <w:rFonts w:ascii="Arial" w:hAnsi="Arial" w:cs="Arial"/>
          <w:sz w:val="22"/>
          <w:szCs w:val="22"/>
        </w:rPr>
        <w:t xml:space="preserve">. O </w:t>
      </w:r>
      <w:r w:rsidR="00290C84">
        <w:rPr>
          <w:rFonts w:ascii="Arial" w:hAnsi="Arial" w:cs="Arial"/>
          <w:sz w:val="22"/>
          <w:szCs w:val="22"/>
        </w:rPr>
        <w:t>tomto nároku na základě podaných</w:t>
      </w:r>
      <w:r>
        <w:rPr>
          <w:rFonts w:ascii="Arial" w:hAnsi="Arial" w:cs="Arial"/>
          <w:sz w:val="22"/>
          <w:szCs w:val="22"/>
        </w:rPr>
        <w:t xml:space="preserve"> souhrnných žádostí </w:t>
      </w:r>
      <w:r w:rsidR="007F6DD5">
        <w:rPr>
          <w:rFonts w:ascii="Arial" w:hAnsi="Arial" w:cs="Arial"/>
          <w:sz w:val="22"/>
          <w:szCs w:val="22"/>
        </w:rPr>
        <w:t>o</w:t>
      </w:r>
      <w:r w:rsidR="00724F3E">
        <w:rPr>
          <w:rFonts w:ascii="Arial" w:hAnsi="Arial" w:cs="Arial"/>
          <w:sz w:val="22"/>
          <w:szCs w:val="22"/>
        </w:rPr>
        <w:t> </w:t>
      </w:r>
      <w:r>
        <w:rPr>
          <w:rFonts w:ascii="Arial" w:hAnsi="Arial" w:cs="Arial"/>
          <w:sz w:val="22"/>
          <w:szCs w:val="22"/>
        </w:rPr>
        <w:t>refundaci Národnímu fondu Ministerstva financ</w:t>
      </w:r>
      <w:r w:rsidR="007F6DD5">
        <w:rPr>
          <w:rFonts w:ascii="Arial" w:hAnsi="Arial" w:cs="Arial"/>
          <w:sz w:val="22"/>
          <w:szCs w:val="22"/>
        </w:rPr>
        <w:t>í</w:t>
      </w:r>
      <w:r w:rsidRPr="00ED5C98">
        <w:rPr>
          <w:rFonts w:ascii="Arial" w:hAnsi="Arial" w:cs="Arial"/>
          <w:color w:val="000000"/>
          <w:sz w:val="22"/>
          <w:szCs w:val="22"/>
        </w:rPr>
        <w:t xml:space="preserve"> účtovalo</w:t>
      </w:r>
      <w:r w:rsidR="00F77ABD">
        <w:rPr>
          <w:rFonts w:ascii="Arial" w:hAnsi="Arial" w:cs="Arial"/>
          <w:color w:val="000000"/>
          <w:sz w:val="22"/>
          <w:szCs w:val="22"/>
        </w:rPr>
        <w:t xml:space="preserve"> MPO</w:t>
      </w:r>
      <w:r w:rsidRPr="00ED5C98">
        <w:rPr>
          <w:rFonts w:ascii="Arial" w:hAnsi="Arial" w:cs="Arial"/>
          <w:color w:val="000000"/>
          <w:sz w:val="22"/>
          <w:szCs w:val="22"/>
        </w:rPr>
        <w:t xml:space="preserve"> jako o pohledávce ze soukromoprávních vztahů na syntetickém účtu </w:t>
      </w:r>
      <w:r w:rsidRPr="00290C84">
        <w:rPr>
          <w:rFonts w:ascii="Arial" w:hAnsi="Arial" w:cs="Arial"/>
          <w:color w:val="000000"/>
          <w:sz w:val="22"/>
          <w:szCs w:val="22"/>
        </w:rPr>
        <w:t>311</w:t>
      </w:r>
      <w:r w:rsidRPr="00ED5C98">
        <w:rPr>
          <w:rFonts w:ascii="Arial" w:hAnsi="Arial" w:cs="Arial"/>
          <w:i/>
          <w:color w:val="000000"/>
          <w:sz w:val="22"/>
          <w:szCs w:val="22"/>
        </w:rPr>
        <w:t xml:space="preserve"> – Odběratelé</w:t>
      </w:r>
      <w:r w:rsidR="00F77ABD">
        <w:rPr>
          <w:rFonts w:ascii="Arial" w:hAnsi="Arial" w:cs="Arial"/>
          <w:color w:val="000000"/>
          <w:sz w:val="22"/>
          <w:szCs w:val="22"/>
        </w:rPr>
        <w:t xml:space="preserve">. </w:t>
      </w:r>
      <w:r w:rsidR="00290C84">
        <w:rPr>
          <w:rFonts w:ascii="Arial" w:hAnsi="Arial" w:cs="Arial"/>
          <w:color w:val="000000"/>
          <w:sz w:val="22"/>
          <w:szCs w:val="22"/>
        </w:rPr>
        <w:t>Tato p</w:t>
      </w:r>
      <w:r w:rsidRPr="00ED5C98">
        <w:rPr>
          <w:rFonts w:ascii="Arial" w:hAnsi="Arial" w:cs="Arial"/>
          <w:color w:val="000000"/>
          <w:sz w:val="22"/>
          <w:szCs w:val="22"/>
        </w:rPr>
        <w:t>ohledávka</w:t>
      </w:r>
      <w:r w:rsidR="00F77ABD">
        <w:rPr>
          <w:rFonts w:ascii="Arial" w:hAnsi="Arial" w:cs="Arial"/>
          <w:color w:val="000000"/>
          <w:sz w:val="22"/>
          <w:szCs w:val="22"/>
        </w:rPr>
        <w:t xml:space="preserve"> </w:t>
      </w:r>
      <w:r>
        <w:rPr>
          <w:rFonts w:ascii="Arial" w:hAnsi="Arial" w:cs="Arial"/>
          <w:color w:val="000000"/>
          <w:sz w:val="22"/>
          <w:szCs w:val="22"/>
        </w:rPr>
        <w:t xml:space="preserve">však </w:t>
      </w:r>
      <w:r w:rsidRPr="00ED5C98">
        <w:rPr>
          <w:rFonts w:ascii="Arial" w:hAnsi="Arial" w:cs="Arial"/>
          <w:color w:val="000000"/>
          <w:sz w:val="22"/>
          <w:szCs w:val="22"/>
        </w:rPr>
        <w:t>nemá povahu pohledávk</w:t>
      </w:r>
      <w:r>
        <w:rPr>
          <w:rFonts w:ascii="Arial" w:hAnsi="Arial" w:cs="Arial"/>
          <w:color w:val="000000"/>
          <w:sz w:val="22"/>
          <w:szCs w:val="22"/>
        </w:rPr>
        <w:t>y</w:t>
      </w:r>
      <w:r w:rsidRPr="00ED5C98">
        <w:rPr>
          <w:rFonts w:ascii="Arial" w:hAnsi="Arial" w:cs="Arial"/>
          <w:color w:val="000000"/>
          <w:sz w:val="22"/>
          <w:szCs w:val="22"/>
        </w:rPr>
        <w:t xml:space="preserve"> za odběrateli</w:t>
      </w:r>
      <w:r w:rsidR="00F32FD6">
        <w:rPr>
          <w:rFonts w:ascii="Arial" w:hAnsi="Arial" w:cs="Arial"/>
          <w:color w:val="000000"/>
          <w:sz w:val="22"/>
          <w:szCs w:val="22"/>
        </w:rPr>
        <w:t>,</w:t>
      </w:r>
      <w:r w:rsidRPr="00ED5C98">
        <w:rPr>
          <w:rFonts w:ascii="Arial" w:hAnsi="Arial" w:cs="Arial"/>
          <w:color w:val="000000"/>
          <w:sz w:val="22"/>
          <w:szCs w:val="22"/>
        </w:rPr>
        <w:t xml:space="preserve"> a </w:t>
      </w:r>
      <w:r>
        <w:rPr>
          <w:rFonts w:ascii="Arial" w:hAnsi="Arial" w:cs="Arial"/>
          <w:color w:val="000000"/>
          <w:sz w:val="22"/>
          <w:szCs w:val="22"/>
        </w:rPr>
        <w:t>účet 311</w:t>
      </w:r>
      <w:r w:rsidR="00290C84">
        <w:rPr>
          <w:rFonts w:ascii="Arial" w:hAnsi="Arial" w:cs="Arial"/>
          <w:color w:val="000000"/>
          <w:sz w:val="22"/>
          <w:szCs w:val="22"/>
        </w:rPr>
        <w:t xml:space="preserve"> </w:t>
      </w:r>
      <w:r w:rsidR="00355694">
        <w:rPr>
          <w:rFonts w:ascii="Arial" w:hAnsi="Arial" w:cs="Arial"/>
          <w:color w:val="000000"/>
          <w:sz w:val="22"/>
          <w:szCs w:val="22"/>
        </w:rPr>
        <w:t>–</w:t>
      </w:r>
      <w:r w:rsidR="00290C84">
        <w:rPr>
          <w:rFonts w:ascii="Arial" w:hAnsi="Arial" w:cs="Arial"/>
          <w:color w:val="000000"/>
          <w:sz w:val="22"/>
          <w:szCs w:val="22"/>
        </w:rPr>
        <w:t xml:space="preserve"> </w:t>
      </w:r>
      <w:r w:rsidR="00290C84" w:rsidRPr="00ED5C98">
        <w:rPr>
          <w:rFonts w:ascii="Arial" w:hAnsi="Arial" w:cs="Arial"/>
          <w:i/>
          <w:color w:val="000000"/>
          <w:sz w:val="22"/>
          <w:szCs w:val="22"/>
        </w:rPr>
        <w:t>Odběratelé</w:t>
      </w:r>
      <w:r w:rsidR="00290C84">
        <w:rPr>
          <w:rFonts w:ascii="Arial" w:hAnsi="Arial" w:cs="Arial"/>
          <w:color w:val="000000"/>
          <w:sz w:val="22"/>
          <w:szCs w:val="22"/>
        </w:rPr>
        <w:t xml:space="preserve"> </w:t>
      </w:r>
      <w:r>
        <w:rPr>
          <w:rFonts w:ascii="Arial" w:hAnsi="Arial" w:cs="Arial"/>
          <w:color w:val="000000"/>
          <w:sz w:val="22"/>
          <w:szCs w:val="22"/>
        </w:rPr>
        <w:t>proto nemělo MPO</w:t>
      </w:r>
      <w:r w:rsidRPr="00ED5C98">
        <w:rPr>
          <w:rFonts w:ascii="Arial" w:hAnsi="Arial" w:cs="Arial"/>
          <w:color w:val="000000"/>
          <w:sz w:val="22"/>
          <w:szCs w:val="22"/>
        </w:rPr>
        <w:t xml:space="preserve"> </w:t>
      </w:r>
      <w:r>
        <w:rPr>
          <w:rFonts w:ascii="Arial" w:hAnsi="Arial" w:cs="Arial"/>
          <w:color w:val="000000"/>
          <w:sz w:val="22"/>
          <w:szCs w:val="22"/>
        </w:rPr>
        <w:t>použít. Prokázan</w:t>
      </w:r>
      <w:r w:rsidR="00F32FD6">
        <w:rPr>
          <w:rFonts w:ascii="Arial" w:hAnsi="Arial" w:cs="Arial"/>
          <w:color w:val="000000"/>
          <w:sz w:val="22"/>
          <w:szCs w:val="22"/>
        </w:rPr>
        <w:t>ý</w:t>
      </w:r>
      <w:r>
        <w:rPr>
          <w:rFonts w:ascii="Arial" w:hAnsi="Arial" w:cs="Arial"/>
          <w:color w:val="000000"/>
          <w:sz w:val="22"/>
          <w:szCs w:val="22"/>
        </w:rPr>
        <w:t xml:space="preserve"> </w:t>
      </w:r>
      <w:r w:rsidR="00F32FD6">
        <w:rPr>
          <w:rFonts w:ascii="Arial" w:hAnsi="Arial" w:cs="Arial"/>
          <w:color w:val="000000"/>
          <w:sz w:val="22"/>
          <w:szCs w:val="22"/>
        </w:rPr>
        <w:t>objem</w:t>
      </w:r>
      <w:r>
        <w:rPr>
          <w:rFonts w:ascii="Arial" w:hAnsi="Arial" w:cs="Arial"/>
          <w:color w:val="000000"/>
          <w:sz w:val="22"/>
          <w:szCs w:val="22"/>
        </w:rPr>
        <w:t xml:space="preserve"> nesprávně zaúčtovaných pohledávek činil </w:t>
      </w:r>
      <w:r w:rsidRPr="00013EAF">
        <w:rPr>
          <w:rFonts w:ascii="Arial" w:hAnsi="Arial" w:cs="Arial"/>
          <w:color w:val="000000"/>
          <w:sz w:val="22"/>
          <w:szCs w:val="22"/>
        </w:rPr>
        <w:t>9 877 868 427 Kč</w:t>
      </w:r>
      <w:r>
        <w:rPr>
          <w:rFonts w:ascii="Arial" w:hAnsi="Arial" w:cs="Arial"/>
          <w:color w:val="000000"/>
          <w:sz w:val="22"/>
          <w:szCs w:val="22"/>
        </w:rPr>
        <w:t xml:space="preserve"> a</w:t>
      </w:r>
      <w:r w:rsidR="00F32FD6">
        <w:rPr>
          <w:rFonts w:ascii="Arial" w:hAnsi="Arial" w:cs="Arial"/>
          <w:color w:val="000000"/>
          <w:sz w:val="22"/>
          <w:szCs w:val="22"/>
        </w:rPr>
        <w:t> </w:t>
      </w:r>
      <w:r>
        <w:rPr>
          <w:rFonts w:ascii="Arial" w:hAnsi="Arial" w:cs="Arial"/>
          <w:color w:val="000000"/>
          <w:sz w:val="22"/>
          <w:szCs w:val="22"/>
        </w:rPr>
        <w:t>v této výši byl zaúčtován v účetních knihách na straně MD i na straně D účtu 311</w:t>
      </w:r>
      <w:r w:rsidR="00F77ABD">
        <w:rPr>
          <w:rFonts w:ascii="Arial" w:hAnsi="Arial" w:cs="Arial"/>
          <w:color w:val="000000"/>
          <w:sz w:val="22"/>
          <w:szCs w:val="22"/>
        </w:rPr>
        <w:t xml:space="preserve"> </w:t>
      </w:r>
      <w:r w:rsidR="00355694">
        <w:rPr>
          <w:rFonts w:ascii="Arial" w:hAnsi="Arial" w:cs="Arial"/>
          <w:color w:val="000000"/>
          <w:sz w:val="22"/>
          <w:szCs w:val="22"/>
        </w:rPr>
        <w:t>–</w:t>
      </w:r>
      <w:r w:rsidR="00F77ABD">
        <w:rPr>
          <w:rFonts w:ascii="Arial" w:hAnsi="Arial" w:cs="Arial"/>
          <w:color w:val="000000"/>
          <w:sz w:val="22"/>
          <w:szCs w:val="22"/>
        </w:rPr>
        <w:t xml:space="preserve"> </w:t>
      </w:r>
      <w:r w:rsidR="00F77ABD" w:rsidRPr="00ED5C98">
        <w:rPr>
          <w:rFonts w:ascii="Arial" w:hAnsi="Arial" w:cs="Arial"/>
          <w:i/>
          <w:color w:val="000000"/>
          <w:sz w:val="22"/>
          <w:szCs w:val="22"/>
        </w:rPr>
        <w:t>Odběratelé</w:t>
      </w:r>
      <w:r>
        <w:rPr>
          <w:rFonts w:ascii="Arial" w:hAnsi="Arial" w:cs="Arial"/>
          <w:color w:val="000000"/>
          <w:sz w:val="22"/>
          <w:szCs w:val="22"/>
        </w:rPr>
        <w:t xml:space="preserve">. </w:t>
      </w:r>
    </w:p>
    <w:p w14:paraId="00D91818" w14:textId="77777777" w:rsidR="00E00DF2" w:rsidRPr="00ED5C98" w:rsidRDefault="00E00DF2" w:rsidP="00E00DF2">
      <w:pPr>
        <w:jc w:val="both"/>
        <w:rPr>
          <w:rFonts w:ascii="Arial" w:hAnsi="Arial" w:cs="Arial"/>
          <w:bCs/>
          <w:iCs/>
          <w:sz w:val="22"/>
          <w:szCs w:val="22"/>
        </w:rPr>
      </w:pPr>
    </w:p>
    <w:p w14:paraId="00D91819" w14:textId="77777777" w:rsidR="00E00DF2" w:rsidRDefault="00E00DF2" w:rsidP="00E00DF2">
      <w:pPr>
        <w:jc w:val="both"/>
        <w:rPr>
          <w:rFonts w:ascii="Arial" w:hAnsi="Arial" w:cs="Arial"/>
          <w:color w:val="000000"/>
          <w:sz w:val="22"/>
          <w:szCs w:val="22"/>
        </w:rPr>
      </w:pPr>
      <w:r>
        <w:rPr>
          <w:rFonts w:ascii="Arial" w:hAnsi="Arial" w:cs="Arial"/>
          <w:bCs/>
          <w:sz w:val="22"/>
          <w:szCs w:val="22"/>
        </w:rPr>
        <w:t>Souvztažně se zaúčtováním nároku za Národním fondem účtovalo MPO i o výnosu</w:t>
      </w:r>
      <w:r>
        <w:rPr>
          <w:rStyle w:val="Znakapoznpodarou"/>
          <w:rFonts w:ascii="Arial" w:hAnsi="Arial" w:cs="Arial"/>
          <w:bCs/>
          <w:sz w:val="22"/>
          <w:szCs w:val="22"/>
        </w:rPr>
        <w:footnoteReference w:id="13"/>
      </w:r>
      <w:r>
        <w:rPr>
          <w:rFonts w:ascii="Arial" w:hAnsi="Arial" w:cs="Arial"/>
          <w:bCs/>
          <w:sz w:val="22"/>
          <w:szCs w:val="22"/>
        </w:rPr>
        <w:t xml:space="preserve">, a to jako příjemce transferu na účtu </w:t>
      </w:r>
      <w:r w:rsidR="00355694">
        <w:rPr>
          <w:rFonts w:ascii="Arial" w:hAnsi="Arial" w:cs="Arial"/>
          <w:color w:val="000000"/>
          <w:sz w:val="22"/>
          <w:szCs w:val="22"/>
        </w:rPr>
        <w:t>671 –</w:t>
      </w:r>
      <w:r w:rsidR="00355694">
        <w:rPr>
          <w:rFonts w:ascii="Arial" w:hAnsi="Arial" w:cs="Arial"/>
          <w:i/>
          <w:color w:val="000000"/>
          <w:sz w:val="22"/>
          <w:szCs w:val="22"/>
        </w:rPr>
        <w:t> </w:t>
      </w:r>
      <w:r w:rsidRPr="00F0700B">
        <w:rPr>
          <w:rFonts w:ascii="Arial" w:hAnsi="Arial" w:cs="Arial"/>
          <w:i/>
          <w:color w:val="000000"/>
          <w:sz w:val="22"/>
          <w:szCs w:val="22"/>
        </w:rPr>
        <w:t>Výnosy vybraných ústředních vládních institucí z</w:t>
      </w:r>
      <w:r>
        <w:rPr>
          <w:rFonts w:ascii="Arial" w:hAnsi="Arial" w:cs="Arial"/>
          <w:i/>
          <w:color w:val="000000"/>
          <w:sz w:val="22"/>
          <w:szCs w:val="22"/>
        </w:rPr>
        <w:t> </w:t>
      </w:r>
      <w:r w:rsidRPr="00F0700B">
        <w:rPr>
          <w:rFonts w:ascii="Arial" w:hAnsi="Arial" w:cs="Arial"/>
          <w:i/>
          <w:color w:val="000000"/>
          <w:sz w:val="22"/>
          <w:szCs w:val="22"/>
        </w:rPr>
        <w:t>transferů</w:t>
      </w:r>
      <w:r w:rsidRPr="00F0700B">
        <w:rPr>
          <w:rFonts w:ascii="Arial" w:hAnsi="Arial" w:cs="Arial"/>
          <w:color w:val="000000"/>
          <w:sz w:val="22"/>
          <w:szCs w:val="22"/>
        </w:rPr>
        <w:t>.</w:t>
      </w:r>
      <w:r w:rsidRPr="00F0700B">
        <w:rPr>
          <w:rFonts w:ascii="Arial" w:hAnsi="Arial" w:cs="Arial"/>
          <w:bCs/>
          <w:sz w:val="22"/>
          <w:szCs w:val="22"/>
        </w:rPr>
        <w:t xml:space="preserve"> </w:t>
      </w:r>
      <w:r>
        <w:rPr>
          <w:rFonts w:ascii="Arial" w:hAnsi="Arial" w:cs="Arial"/>
          <w:bCs/>
          <w:sz w:val="22"/>
          <w:szCs w:val="22"/>
        </w:rPr>
        <w:t xml:space="preserve">Část z tohoto výnosu MPO pro potřeby PAP analyticky začlenilo </w:t>
      </w:r>
      <w:r w:rsidRPr="00ED5C98">
        <w:rPr>
          <w:rFonts w:ascii="Arial" w:hAnsi="Arial" w:cs="Arial"/>
          <w:bCs/>
          <w:sz w:val="22"/>
          <w:szCs w:val="22"/>
        </w:rPr>
        <w:t xml:space="preserve">na položku PAP </w:t>
      </w:r>
      <w:r w:rsidRPr="00260B0C">
        <w:rPr>
          <w:rFonts w:ascii="Arial" w:hAnsi="Arial" w:cs="Arial"/>
          <w:bCs/>
          <w:sz w:val="22"/>
          <w:szCs w:val="22"/>
        </w:rPr>
        <w:t>67101</w:t>
      </w:r>
      <w:r w:rsidRPr="00ED5C98">
        <w:rPr>
          <w:rFonts w:ascii="Arial" w:hAnsi="Arial" w:cs="Arial"/>
          <w:bCs/>
          <w:i/>
          <w:sz w:val="22"/>
          <w:szCs w:val="22"/>
        </w:rPr>
        <w:t xml:space="preserve"> – Výnosy vybraných ústředních vládních institucí z transferů – investiční dotace, příspěvky, granty a NeFV</w:t>
      </w:r>
      <w:r>
        <w:rPr>
          <w:rFonts w:ascii="Arial" w:hAnsi="Arial" w:cs="Arial"/>
          <w:bCs/>
          <w:sz w:val="22"/>
          <w:szCs w:val="22"/>
        </w:rPr>
        <w:t>, tj. jako výnos investiční</w:t>
      </w:r>
      <w:r w:rsidRPr="00ED5C98">
        <w:rPr>
          <w:rFonts w:ascii="Arial" w:hAnsi="Arial" w:cs="Arial"/>
          <w:bCs/>
          <w:sz w:val="22"/>
          <w:szCs w:val="22"/>
        </w:rPr>
        <w:t xml:space="preserve">. </w:t>
      </w:r>
      <w:r>
        <w:rPr>
          <w:rFonts w:ascii="Arial" w:hAnsi="Arial" w:cs="Arial"/>
          <w:bCs/>
          <w:sz w:val="22"/>
          <w:szCs w:val="22"/>
        </w:rPr>
        <w:t>Z</w:t>
      </w:r>
      <w:r w:rsidR="009F047D">
        <w:rPr>
          <w:rFonts w:ascii="Arial" w:hAnsi="Arial" w:cs="Arial"/>
          <w:bCs/>
          <w:sz w:val="22"/>
          <w:szCs w:val="22"/>
        </w:rPr>
        <w:t> </w:t>
      </w:r>
      <w:r>
        <w:rPr>
          <w:rFonts w:ascii="Arial" w:hAnsi="Arial" w:cs="Arial"/>
          <w:bCs/>
          <w:sz w:val="22"/>
          <w:szCs w:val="22"/>
        </w:rPr>
        <w:t>přílohy č. 2a vyhlášky č. 383/2009 Sb. je však zřejmé, že toto analytické členění se netýká OSS</w:t>
      </w:r>
      <w:r>
        <w:rPr>
          <w:rFonts w:ascii="Arial" w:hAnsi="Arial" w:cs="Arial"/>
          <w:color w:val="000000"/>
          <w:sz w:val="22"/>
          <w:szCs w:val="22"/>
        </w:rPr>
        <w:t>.</w:t>
      </w:r>
      <w:r>
        <w:rPr>
          <w:rFonts w:cs="Arial"/>
        </w:rPr>
        <w:t xml:space="preserve"> </w:t>
      </w:r>
      <w:r w:rsidRPr="0016249F">
        <w:rPr>
          <w:rFonts w:ascii="Arial" w:hAnsi="Arial" w:cs="Arial"/>
          <w:sz w:val="22"/>
          <w:szCs w:val="22"/>
        </w:rPr>
        <w:t>Prokázaná výše nesprávného analytického členění</w:t>
      </w:r>
      <w:r w:rsidR="00637E39">
        <w:rPr>
          <w:rFonts w:ascii="Arial" w:hAnsi="Arial" w:cs="Arial"/>
          <w:sz w:val="22"/>
          <w:szCs w:val="22"/>
        </w:rPr>
        <w:t xml:space="preserve"> </w:t>
      </w:r>
      <w:r w:rsidRPr="0016249F">
        <w:rPr>
          <w:rFonts w:ascii="Arial" w:hAnsi="Arial" w:cs="Arial"/>
          <w:sz w:val="22"/>
          <w:szCs w:val="22"/>
        </w:rPr>
        <w:t>výnosů činí 9 084 213 237 Kč.</w:t>
      </w:r>
      <w:r w:rsidR="004A7201">
        <w:rPr>
          <w:rStyle w:val="Znakapoznpodarou"/>
          <w:rFonts w:ascii="Arial" w:hAnsi="Arial" w:cs="Arial"/>
          <w:sz w:val="22"/>
          <w:szCs w:val="22"/>
        </w:rPr>
        <w:footnoteReference w:id="14"/>
      </w:r>
      <w:r w:rsidR="004A7201" w:rsidRPr="0016249F">
        <w:rPr>
          <w:rFonts w:ascii="Arial" w:hAnsi="Arial" w:cs="Arial"/>
          <w:sz w:val="22"/>
          <w:szCs w:val="22"/>
        </w:rPr>
        <w:t xml:space="preserve"> </w:t>
      </w:r>
    </w:p>
    <w:p w14:paraId="00D9181A" w14:textId="77777777" w:rsidR="00E00DF2" w:rsidRPr="0016249F" w:rsidRDefault="00E00DF2" w:rsidP="00E00DF2">
      <w:pPr>
        <w:jc w:val="both"/>
        <w:rPr>
          <w:rFonts w:ascii="Arial" w:hAnsi="Arial" w:cs="Arial"/>
          <w:color w:val="000000"/>
          <w:sz w:val="22"/>
          <w:szCs w:val="22"/>
        </w:rPr>
      </w:pPr>
    </w:p>
    <w:p w14:paraId="00D9181B" w14:textId="77777777" w:rsidR="00E00DF2" w:rsidRPr="006F726C" w:rsidRDefault="00E00DF2" w:rsidP="00E00DF2">
      <w:pPr>
        <w:jc w:val="both"/>
        <w:rPr>
          <w:rFonts w:ascii="Arial" w:hAnsi="Arial" w:cs="Arial"/>
          <w:color w:val="000000"/>
          <w:sz w:val="22"/>
          <w:szCs w:val="22"/>
        </w:rPr>
      </w:pPr>
      <w:r w:rsidRPr="00980EAB">
        <w:rPr>
          <w:rFonts w:ascii="Arial" w:hAnsi="Arial" w:cs="Arial"/>
          <w:color w:val="000000"/>
          <w:sz w:val="22"/>
          <w:szCs w:val="22"/>
        </w:rPr>
        <w:t>V této souvislosti je nutné upozornit</w:t>
      </w:r>
      <w:r w:rsidR="00290C84">
        <w:rPr>
          <w:rFonts w:ascii="Arial" w:hAnsi="Arial" w:cs="Arial"/>
          <w:color w:val="000000"/>
          <w:sz w:val="22"/>
          <w:szCs w:val="22"/>
        </w:rPr>
        <w:t xml:space="preserve"> i</w:t>
      </w:r>
      <w:r w:rsidRPr="00980EAB">
        <w:rPr>
          <w:rFonts w:ascii="Arial" w:hAnsi="Arial" w:cs="Arial"/>
          <w:color w:val="000000"/>
          <w:sz w:val="22"/>
          <w:szCs w:val="22"/>
        </w:rPr>
        <w:t xml:space="preserve"> na skutečnost, že dle vyhlášky č. 323/200</w:t>
      </w:r>
      <w:r w:rsidR="00373B37">
        <w:rPr>
          <w:rFonts w:ascii="Arial" w:hAnsi="Arial" w:cs="Arial"/>
          <w:color w:val="000000"/>
          <w:sz w:val="22"/>
          <w:szCs w:val="22"/>
        </w:rPr>
        <w:t>2</w:t>
      </w:r>
      <w:r w:rsidRPr="00980EAB">
        <w:rPr>
          <w:rFonts w:ascii="Arial" w:hAnsi="Arial" w:cs="Arial"/>
          <w:color w:val="000000"/>
          <w:sz w:val="22"/>
          <w:szCs w:val="22"/>
        </w:rPr>
        <w:t xml:space="preserve"> Sb.,</w:t>
      </w:r>
      <w:r w:rsidR="00355694">
        <w:rPr>
          <w:rFonts w:ascii="Arial" w:hAnsi="Arial" w:cs="Arial"/>
          <w:color w:val="000000"/>
          <w:sz w:val="22"/>
          <w:szCs w:val="22"/>
        </w:rPr>
        <w:t xml:space="preserve"> o </w:t>
      </w:r>
      <w:r w:rsidR="00373B37">
        <w:rPr>
          <w:rFonts w:ascii="Arial" w:hAnsi="Arial" w:cs="Arial"/>
          <w:color w:val="000000"/>
          <w:sz w:val="22"/>
          <w:szCs w:val="22"/>
        </w:rPr>
        <w:t>rozpočtové skladbě</w:t>
      </w:r>
      <w:r w:rsidR="004A7201">
        <w:rPr>
          <w:rFonts w:ascii="Arial" w:hAnsi="Arial" w:cs="Arial"/>
          <w:color w:val="000000"/>
          <w:sz w:val="22"/>
          <w:szCs w:val="22"/>
        </w:rPr>
        <w:t>,</w:t>
      </w:r>
      <w:r w:rsidRPr="00980EAB">
        <w:rPr>
          <w:rFonts w:ascii="Arial" w:hAnsi="Arial" w:cs="Arial"/>
          <w:color w:val="000000"/>
          <w:sz w:val="22"/>
          <w:szCs w:val="22"/>
        </w:rPr>
        <w:t xml:space="preserve"> se tyto příjmy zařazují</w:t>
      </w:r>
      <w:r w:rsidRPr="006F726C">
        <w:rPr>
          <w:rFonts w:ascii="Arial" w:hAnsi="Arial" w:cs="Arial"/>
          <w:color w:val="000000"/>
          <w:sz w:val="22"/>
          <w:szCs w:val="22"/>
        </w:rPr>
        <w:t xml:space="preserve"> </w:t>
      </w:r>
      <w:r w:rsidRPr="00980EAB">
        <w:rPr>
          <w:rFonts w:ascii="Arial" w:hAnsi="Arial" w:cs="Arial"/>
          <w:color w:val="000000"/>
          <w:sz w:val="22"/>
          <w:szCs w:val="22"/>
        </w:rPr>
        <w:t>na položku</w:t>
      </w:r>
      <w:r>
        <w:rPr>
          <w:rFonts w:ascii="Arial" w:hAnsi="Arial" w:cs="Arial"/>
          <w:color w:val="000000"/>
          <w:sz w:val="22"/>
          <w:szCs w:val="22"/>
        </w:rPr>
        <w:t xml:space="preserve"> </w:t>
      </w:r>
      <w:r w:rsidRPr="00260B0C">
        <w:rPr>
          <w:rFonts w:ascii="Arial" w:hAnsi="Arial" w:cs="Arial"/>
          <w:i/>
          <w:color w:val="000000"/>
          <w:sz w:val="22"/>
          <w:szCs w:val="22"/>
        </w:rPr>
        <w:t>Investiční převody z Národního fondu</w:t>
      </w:r>
      <w:r w:rsidRPr="0074475C">
        <w:rPr>
          <w:rFonts w:ascii="Arial" w:hAnsi="Arial" w:cs="Arial"/>
          <w:color w:val="000000"/>
          <w:sz w:val="22"/>
          <w:szCs w:val="22"/>
        </w:rPr>
        <w:t xml:space="preserve">. </w:t>
      </w:r>
      <w:r w:rsidR="00EB2C59">
        <w:rPr>
          <w:rFonts w:ascii="Arial" w:hAnsi="Arial" w:cs="Arial"/>
          <w:color w:val="000000"/>
          <w:sz w:val="22"/>
          <w:szCs w:val="22"/>
        </w:rPr>
        <w:t>Uvedené případy</w:t>
      </w:r>
      <w:r w:rsidR="003B69E9">
        <w:rPr>
          <w:rFonts w:ascii="Arial" w:hAnsi="Arial" w:cs="Arial"/>
          <w:color w:val="000000"/>
          <w:sz w:val="22"/>
          <w:szCs w:val="22"/>
        </w:rPr>
        <w:t xml:space="preserve"> se tak</w:t>
      </w:r>
      <w:r>
        <w:rPr>
          <w:rFonts w:ascii="Arial" w:hAnsi="Arial" w:cs="Arial"/>
          <w:color w:val="000000"/>
          <w:sz w:val="22"/>
          <w:szCs w:val="22"/>
        </w:rPr>
        <w:t xml:space="preserve"> </w:t>
      </w:r>
      <w:r w:rsidR="003B69E9">
        <w:rPr>
          <w:rFonts w:ascii="Arial" w:hAnsi="Arial" w:cs="Arial"/>
          <w:color w:val="000000"/>
          <w:sz w:val="22"/>
          <w:szCs w:val="22"/>
        </w:rPr>
        <w:t>n</w:t>
      </w:r>
      <w:r>
        <w:rPr>
          <w:rFonts w:ascii="Arial" w:hAnsi="Arial" w:cs="Arial"/>
          <w:color w:val="000000"/>
          <w:sz w:val="22"/>
          <w:szCs w:val="22"/>
        </w:rPr>
        <w:t>eshoduj</w:t>
      </w:r>
      <w:r w:rsidR="00EB2C59">
        <w:rPr>
          <w:rFonts w:ascii="Arial" w:hAnsi="Arial" w:cs="Arial"/>
          <w:color w:val="000000"/>
          <w:sz w:val="22"/>
          <w:szCs w:val="22"/>
        </w:rPr>
        <w:t xml:space="preserve">í z hlediska svého druhu </w:t>
      </w:r>
      <w:r w:rsidRPr="00980EAB">
        <w:rPr>
          <w:rFonts w:ascii="Arial" w:hAnsi="Arial" w:cs="Arial"/>
          <w:color w:val="000000"/>
          <w:sz w:val="22"/>
          <w:szCs w:val="22"/>
        </w:rPr>
        <w:t>v</w:t>
      </w:r>
      <w:r w:rsidR="003B69E9">
        <w:rPr>
          <w:rFonts w:ascii="Arial" w:hAnsi="Arial" w:cs="Arial"/>
          <w:color w:val="000000"/>
          <w:sz w:val="22"/>
          <w:szCs w:val="22"/>
        </w:rPr>
        <w:t xml:space="preserve"> údajích </w:t>
      </w:r>
      <w:r w:rsidRPr="00980EAB">
        <w:rPr>
          <w:rFonts w:ascii="Arial" w:hAnsi="Arial" w:cs="Arial"/>
          <w:color w:val="000000"/>
          <w:sz w:val="22"/>
          <w:szCs w:val="22"/>
        </w:rPr>
        <w:t xml:space="preserve">PAP </w:t>
      </w:r>
      <w:r w:rsidR="00EB2C59">
        <w:rPr>
          <w:rFonts w:ascii="Arial" w:hAnsi="Arial" w:cs="Arial"/>
          <w:color w:val="000000"/>
          <w:sz w:val="22"/>
          <w:szCs w:val="22"/>
        </w:rPr>
        <w:t xml:space="preserve">oproti </w:t>
      </w:r>
      <w:r w:rsidR="003B69E9">
        <w:rPr>
          <w:rFonts w:ascii="Arial" w:hAnsi="Arial" w:cs="Arial"/>
          <w:color w:val="000000"/>
          <w:sz w:val="22"/>
          <w:szCs w:val="22"/>
        </w:rPr>
        <w:t xml:space="preserve">údajům ve finančním výkazu, </w:t>
      </w:r>
      <w:r w:rsidR="009B6838">
        <w:rPr>
          <w:rFonts w:ascii="Arial" w:hAnsi="Arial" w:cs="Arial"/>
          <w:color w:val="000000"/>
          <w:sz w:val="22"/>
          <w:szCs w:val="22"/>
        </w:rPr>
        <w:t xml:space="preserve">ve kterém se používá </w:t>
      </w:r>
      <w:r w:rsidR="003B69E9">
        <w:rPr>
          <w:rFonts w:ascii="Arial" w:hAnsi="Arial" w:cs="Arial"/>
          <w:color w:val="000000"/>
          <w:sz w:val="22"/>
          <w:szCs w:val="22"/>
        </w:rPr>
        <w:t xml:space="preserve">třídění dle </w:t>
      </w:r>
      <w:r w:rsidRPr="00980EAB">
        <w:rPr>
          <w:rFonts w:ascii="Arial" w:hAnsi="Arial" w:cs="Arial"/>
          <w:color w:val="000000"/>
          <w:sz w:val="22"/>
          <w:szCs w:val="22"/>
        </w:rPr>
        <w:t>rozpočtové skladb</w:t>
      </w:r>
      <w:r w:rsidR="003B69E9">
        <w:rPr>
          <w:rFonts w:ascii="Arial" w:hAnsi="Arial" w:cs="Arial"/>
          <w:color w:val="000000"/>
          <w:sz w:val="22"/>
          <w:szCs w:val="22"/>
        </w:rPr>
        <w:t>y</w:t>
      </w:r>
      <w:r w:rsidRPr="00980EAB">
        <w:rPr>
          <w:rFonts w:ascii="Arial" w:hAnsi="Arial" w:cs="Arial"/>
          <w:color w:val="000000"/>
          <w:sz w:val="22"/>
          <w:szCs w:val="22"/>
        </w:rPr>
        <w:t xml:space="preserve">. </w:t>
      </w:r>
    </w:p>
    <w:p w14:paraId="00D9181C" w14:textId="77777777" w:rsidR="00E00DF2" w:rsidRPr="00FF164B" w:rsidRDefault="00E00DF2" w:rsidP="00E00DF2">
      <w:pPr>
        <w:jc w:val="both"/>
        <w:rPr>
          <w:rFonts w:cs="Arial"/>
          <w:color w:val="000000"/>
        </w:rPr>
      </w:pPr>
    </w:p>
    <w:p w14:paraId="00D9181D" w14:textId="77777777" w:rsidR="00E00DF2" w:rsidRDefault="00E00DF2" w:rsidP="00E00DF2">
      <w:pPr>
        <w:jc w:val="both"/>
        <w:rPr>
          <w:rFonts w:ascii="Arial" w:hAnsi="Arial" w:cs="Arial"/>
          <w:bCs/>
          <w:iCs/>
          <w:sz w:val="22"/>
          <w:szCs w:val="22"/>
        </w:rPr>
      </w:pPr>
      <w:r>
        <w:rPr>
          <w:rFonts w:ascii="Arial" w:hAnsi="Arial" w:cs="Arial"/>
          <w:bCs/>
          <w:iCs/>
          <w:sz w:val="22"/>
          <w:szCs w:val="22"/>
        </w:rPr>
        <w:t>Údaje n</w:t>
      </w:r>
      <w:r w:rsidRPr="006F726C">
        <w:rPr>
          <w:rFonts w:ascii="Arial" w:hAnsi="Arial" w:cs="Arial"/>
          <w:bCs/>
          <w:iCs/>
          <w:sz w:val="22"/>
          <w:szCs w:val="22"/>
        </w:rPr>
        <w:t>esprávně zachycené</w:t>
      </w:r>
      <w:r>
        <w:rPr>
          <w:rFonts w:ascii="Arial" w:hAnsi="Arial" w:cs="Arial"/>
          <w:bCs/>
          <w:iCs/>
          <w:sz w:val="22"/>
          <w:szCs w:val="22"/>
        </w:rPr>
        <w:t xml:space="preserve"> </w:t>
      </w:r>
      <w:r w:rsidR="009F047D">
        <w:rPr>
          <w:rFonts w:ascii="Arial" w:hAnsi="Arial" w:cs="Arial"/>
          <w:bCs/>
          <w:iCs/>
          <w:sz w:val="22"/>
          <w:szCs w:val="22"/>
        </w:rPr>
        <w:t>v </w:t>
      </w:r>
      <w:r w:rsidR="00373B37">
        <w:rPr>
          <w:rFonts w:ascii="Arial" w:hAnsi="Arial" w:cs="Arial"/>
          <w:bCs/>
          <w:iCs/>
          <w:sz w:val="22"/>
          <w:szCs w:val="22"/>
        </w:rPr>
        <w:t>účetnictví</w:t>
      </w:r>
      <w:r>
        <w:rPr>
          <w:rFonts w:ascii="Arial" w:hAnsi="Arial" w:cs="Arial"/>
          <w:bCs/>
          <w:iCs/>
          <w:sz w:val="22"/>
          <w:szCs w:val="22"/>
        </w:rPr>
        <w:t xml:space="preserve"> následně </w:t>
      </w:r>
      <w:r w:rsidR="004A7201">
        <w:rPr>
          <w:rFonts w:ascii="Arial" w:hAnsi="Arial" w:cs="Arial"/>
          <w:bCs/>
          <w:iCs/>
          <w:sz w:val="22"/>
          <w:szCs w:val="22"/>
        </w:rPr>
        <w:t xml:space="preserve">MPO </w:t>
      </w:r>
      <w:r>
        <w:rPr>
          <w:rFonts w:ascii="Arial" w:hAnsi="Arial" w:cs="Arial"/>
          <w:bCs/>
          <w:iCs/>
          <w:sz w:val="22"/>
          <w:szCs w:val="22"/>
        </w:rPr>
        <w:t xml:space="preserve">přeneslo </w:t>
      </w:r>
      <w:r w:rsidRPr="006F726C">
        <w:rPr>
          <w:rFonts w:ascii="Arial" w:hAnsi="Arial" w:cs="Arial"/>
          <w:bCs/>
          <w:iCs/>
          <w:sz w:val="22"/>
          <w:szCs w:val="22"/>
        </w:rPr>
        <w:t xml:space="preserve">do údajů </w:t>
      </w:r>
      <w:r>
        <w:rPr>
          <w:rFonts w:ascii="Arial" w:hAnsi="Arial" w:cs="Arial"/>
          <w:bCs/>
          <w:iCs/>
          <w:sz w:val="22"/>
          <w:szCs w:val="22"/>
        </w:rPr>
        <w:t>uvedených</w:t>
      </w:r>
      <w:r w:rsidRPr="00ED5C98">
        <w:rPr>
          <w:rFonts w:ascii="Arial" w:hAnsi="Arial" w:cs="Arial"/>
          <w:bCs/>
          <w:iCs/>
          <w:sz w:val="22"/>
          <w:szCs w:val="22"/>
        </w:rPr>
        <w:t xml:space="preserve"> v PAP </w:t>
      </w:r>
      <w:r w:rsidR="009F047D">
        <w:rPr>
          <w:rFonts w:ascii="Arial" w:hAnsi="Arial" w:cs="Arial"/>
          <w:bCs/>
          <w:iCs/>
          <w:sz w:val="22"/>
          <w:szCs w:val="22"/>
        </w:rPr>
        <w:t>k </w:t>
      </w:r>
      <w:r w:rsidRPr="00ED5C98">
        <w:rPr>
          <w:rFonts w:ascii="Arial" w:hAnsi="Arial" w:cs="Arial"/>
          <w:bCs/>
          <w:iCs/>
          <w:sz w:val="22"/>
          <w:szCs w:val="22"/>
        </w:rPr>
        <w:t>31.</w:t>
      </w:r>
      <w:r w:rsidR="004A7201">
        <w:rPr>
          <w:rFonts w:ascii="Arial" w:hAnsi="Arial" w:cs="Arial"/>
          <w:bCs/>
          <w:iCs/>
          <w:sz w:val="22"/>
          <w:szCs w:val="22"/>
        </w:rPr>
        <w:t> </w:t>
      </w:r>
      <w:r>
        <w:rPr>
          <w:rFonts w:ascii="Arial" w:hAnsi="Arial" w:cs="Arial"/>
          <w:bCs/>
          <w:iCs/>
          <w:sz w:val="22"/>
          <w:szCs w:val="22"/>
        </w:rPr>
        <w:t>prosinci</w:t>
      </w:r>
      <w:r w:rsidRPr="00ED5C98">
        <w:rPr>
          <w:rFonts w:ascii="Arial" w:hAnsi="Arial" w:cs="Arial"/>
          <w:bCs/>
          <w:iCs/>
          <w:sz w:val="22"/>
          <w:szCs w:val="22"/>
        </w:rPr>
        <w:t xml:space="preserve"> 2012. Částka takto </w:t>
      </w:r>
      <w:r w:rsidR="00245C09">
        <w:rPr>
          <w:rFonts w:ascii="Arial" w:hAnsi="Arial" w:cs="Arial"/>
          <w:bCs/>
          <w:iCs/>
          <w:sz w:val="22"/>
          <w:szCs w:val="22"/>
        </w:rPr>
        <w:t xml:space="preserve">nesprávně </w:t>
      </w:r>
      <w:r>
        <w:rPr>
          <w:rFonts w:ascii="Arial" w:hAnsi="Arial" w:cs="Arial"/>
          <w:bCs/>
          <w:iCs/>
          <w:sz w:val="22"/>
          <w:szCs w:val="22"/>
        </w:rPr>
        <w:t>zachycených</w:t>
      </w:r>
      <w:r w:rsidRPr="00ED5C98">
        <w:rPr>
          <w:rFonts w:ascii="Arial" w:hAnsi="Arial" w:cs="Arial"/>
          <w:bCs/>
          <w:iCs/>
          <w:sz w:val="22"/>
          <w:szCs w:val="22"/>
        </w:rPr>
        <w:t xml:space="preserve"> pohledávek a výnosů činila 28</w:t>
      </w:r>
      <w:r w:rsidR="00724F3E">
        <w:rPr>
          <w:rFonts w:ascii="Arial" w:hAnsi="Arial" w:cs="Arial"/>
          <w:bCs/>
          <w:iCs/>
          <w:sz w:val="22"/>
          <w:szCs w:val="22"/>
        </w:rPr>
        <w:t> </w:t>
      </w:r>
      <w:r w:rsidRPr="00ED5C98">
        <w:rPr>
          <w:rFonts w:ascii="Arial" w:hAnsi="Arial" w:cs="Arial"/>
          <w:bCs/>
          <w:iCs/>
          <w:sz w:val="22"/>
          <w:szCs w:val="22"/>
        </w:rPr>
        <w:t>839</w:t>
      </w:r>
      <w:r w:rsidR="00724F3E">
        <w:rPr>
          <w:rFonts w:ascii="Arial" w:hAnsi="Arial" w:cs="Arial"/>
          <w:bCs/>
          <w:iCs/>
          <w:sz w:val="22"/>
          <w:szCs w:val="22"/>
        </w:rPr>
        <w:t> </w:t>
      </w:r>
      <w:r w:rsidRPr="00ED5C98">
        <w:rPr>
          <w:rFonts w:ascii="Arial" w:hAnsi="Arial" w:cs="Arial"/>
          <w:bCs/>
          <w:iCs/>
          <w:sz w:val="22"/>
          <w:szCs w:val="22"/>
        </w:rPr>
        <w:t>950 091 Kč a v PAP MPO se promítla</w:t>
      </w:r>
      <w:r>
        <w:rPr>
          <w:rFonts w:ascii="Arial" w:hAnsi="Arial" w:cs="Arial"/>
          <w:bCs/>
          <w:iCs/>
          <w:sz w:val="22"/>
          <w:szCs w:val="22"/>
        </w:rPr>
        <w:t xml:space="preserve"> </w:t>
      </w:r>
      <w:r w:rsidRPr="00ED5C98">
        <w:rPr>
          <w:rFonts w:ascii="Arial" w:hAnsi="Arial" w:cs="Arial"/>
          <w:bCs/>
          <w:iCs/>
          <w:sz w:val="22"/>
          <w:szCs w:val="22"/>
        </w:rPr>
        <w:t>v důsledku řetězení</w:t>
      </w:r>
      <w:r>
        <w:rPr>
          <w:rFonts w:ascii="Arial" w:hAnsi="Arial" w:cs="Arial"/>
          <w:bCs/>
          <w:iCs/>
          <w:sz w:val="22"/>
          <w:szCs w:val="22"/>
        </w:rPr>
        <w:t xml:space="preserve"> </w:t>
      </w:r>
      <w:r w:rsidRPr="00ED5C98">
        <w:rPr>
          <w:rFonts w:ascii="Arial" w:hAnsi="Arial" w:cs="Arial"/>
          <w:bCs/>
          <w:iCs/>
          <w:sz w:val="22"/>
          <w:szCs w:val="22"/>
        </w:rPr>
        <w:t>do částí I, V</w:t>
      </w:r>
      <w:r>
        <w:rPr>
          <w:rFonts w:ascii="Arial" w:hAnsi="Arial" w:cs="Arial"/>
          <w:bCs/>
          <w:iCs/>
          <w:sz w:val="22"/>
          <w:szCs w:val="22"/>
        </w:rPr>
        <w:t>II, X v celkové výši 57 679 900 </w:t>
      </w:r>
      <w:r w:rsidRPr="00ED5C98">
        <w:rPr>
          <w:rFonts w:ascii="Arial" w:hAnsi="Arial" w:cs="Arial"/>
          <w:bCs/>
          <w:iCs/>
          <w:sz w:val="22"/>
          <w:szCs w:val="22"/>
        </w:rPr>
        <w:t>182 Kč</w:t>
      </w:r>
      <w:r>
        <w:rPr>
          <w:rFonts w:ascii="Arial" w:hAnsi="Arial" w:cs="Arial"/>
          <w:bCs/>
          <w:iCs/>
          <w:sz w:val="22"/>
          <w:szCs w:val="22"/>
        </w:rPr>
        <w:t xml:space="preserve"> (viz tabulka č. 9).</w:t>
      </w:r>
    </w:p>
    <w:p w14:paraId="00D9181E" w14:textId="77777777" w:rsidR="00E00DF2" w:rsidRDefault="00E00DF2" w:rsidP="00E00DF2">
      <w:pPr>
        <w:jc w:val="both"/>
        <w:rPr>
          <w:rFonts w:ascii="Arial" w:hAnsi="Arial" w:cs="Arial"/>
          <w:bCs/>
          <w:iCs/>
          <w:sz w:val="22"/>
          <w:szCs w:val="22"/>
        </w:rPr>
      </w:pPr>
    </w:p>
    <w:p w14:paraId="00D9181F" w14:textId="77777777" w:rsidR="004A7201" w:rsidRDefault="00E00DF2" w:rsidP="00260B0C">
      <w:pPr>
        <w:tabs>
          <w:tab w:val="right" w:pos="9072"/>
        </w:tabs>
        <w:spacing w:after="40"/>
        <w:ind w:left="1560" w:hanging="1560"/>
        <w:rPr>
          <w:rFonts w:ascii="Arial" w:hAnsi="Arial" w:cs="Arial"/>
          <w:b/>
          <w:sz w:val="22"/>
          <w:szCs w:val="22"/>
        </w:rPr>
      </w:pPr>
      <w:r w:rsidRPr="00B73BBD">
        <w:rPr>
          <w:rFonts w:ascii="Arial" w:hAnsi="Arial" w:cs="Arial"/>
          <w:b/>
          <w:sz w:val="22"/>
          <w:szCs w:val="22"/>
        </w:rPr>
        <w:t>Tabulka č. 9</w:t>
      </w:r>
      <w:r w:rsidRPr="002A7A11">
        <w:rPr>
          <w:rFonts w:ascii="Arial" w:hAnsi="Arial" w:cs="Arial"/>
          <w:b/>
          <w:sz w:val="22"/>
          <w:szCs w:val="22"/>
        </w:rPr>
        <w:t xml:space="preserve"> –</w:t>
      </w:r>
      <w:r w:rsidR="004A7201">
        <w:rPr>
          <w:rFonts w:ascii="Arial" w:hAnsi="Arial" w:cs="Arial"/>
          <w:b/>
          <w:sz w:val="22"/>
          <w:szCs w:val="22"/>
        </w:rPr>
        <w:t xml:space="preserve"> </w:t>
      </w:r>
      <w:r>
        <w:rPr>
          <w:rFonts w:ascii="Arial" w:hAnsi="Arial" w:cs="Arial"/>
          <w:b/>
          <w:sz w:val="22"/>
          <w:szCs w:val="22"/>
        </w:rPr>
        <w:t>Nesprávnosti přenesené z účetnictví d</w:t>
      </w:r>
      <w:r w:rsidR="00355694">
        <w:rPr>
          <w:rFonts w:ascii="Arial" w:hAnsi="Arial" w:cs="Arial"/>
          <w:b/>
          <w:sz w:val="22"/>
          <w:szCs w:val="22"/>
        </w:rPr>
        <w:t xml:space="preserve">o PAP MPO k 31. prosinci 2012 </w:t>
      </w:r>
    </w:p>
    <w:p w14:paraId="00D91820" w14:textId="77777777" w:rsidR="00E00DF2" w:rsidRDefault="00355694" w:rsidP="00260B0C">
      <w:pPr>
        <w:tabs>
          <w:tab w:val="right" w:pos="9072"/>
        </w:tabs>
        <w:spacing w:after="40"/>
        <w:ind w:left="1503"/>
        <w:rPr>
          <w:rFonts w:ascii="Arial" w:hAnsi="Arial" w:cs="Arial"/>
          <w:b/>
          <w:sz w:val="22"/>
          <w:szCs w:val="22"/>
        </w:rPr>
      </w:pPr>
      <w:r>
        <w:rPr>
          <w:rFonts w:ascii="Arial" w:hAnsi="Arial" w:cs="Arial"/>
          <w:b/>
          <w:sz w:val="22"/>
          <w:szCs w:val="22"/>
        </w:rPr>
        <w:t>v </w:t>
      </w:r>
      <w:r w:rsidR="00E00DF2">
        <w:rPr>
          <w:rFonts w:ascii="Arial" w:hAnsi="Arial" w:cs="Arial"/>
          <w:b/>
          <w:sz w:val="22"/>
          <w:szCs w:val="22"/>
        </w:rPr>
        <w:t xml:space="preserve">důsledku používání nesprávného účtu pro </w:t>
      </w:r>
      <w:r w:rsidR="004A7201">
        <w:rPr>
          <w:rFonts w:ascii="Arial" w:hAnsi="Arial" w:cs="Arial"/>
          <w:b/>
          <w:sz w:val="22"/>
          <w:szCs w:val="22"/>
        </w:rPr>
        <w:t xml:space="preserve">účtování </w:t>
      </w:r>
      <w:r w:rsidR="00E00DF2">
        <w:rPr>
          <w:rFonts w:ascii="Arial" w:hAnsi="Arial" w:cs="Arial"/>
          <w:b/>
          <w:sz w:val="22"/>
          <w:szCs w:val="22"/>
        </w:rPr>
        <w:t>p</w:t>
      </w:r>
      <w:r>
        <w:rPr>
          <w:rFonts w:ascii="Arial" w:hAnsi="Arial" w:cs="Arial"/>
          <w:b/>
          <w:sz w:val="22"/>
          <w:szCs w:val="22"/>
        </w:rPr>
        <w:t>ohledáv</w:t>
      </w:r>
      <w:r w:rsidR="004A7201">
        <w:rPr>
          <w:rFonts w:ascii="Arial" w:hAnsi="Arial" w:cs="Arial"/>
          <w:b/>
          <w:sz w:val="22"/>
          <w:szCs w:val="22"/>
        </w:rPr>
        <w:t>e</w:t>
      </w:r>
      <w:r>
        <w:rPr>
          <w:rFonts w:ascii="Arial" w:hAnsi="Arial" w:cs="Arial"/>
          <w:b/>
          <w:sz w:val="22"/>
          <w:szCs w:val="22"/>
        </w:rPr>
        <w:t xml:space="preserve">k za Národním fondem a </w:t>
      </w:r>
      <w:r w:rsidR="004A7201">
        <w:rPr>
          <w:rFonts w:ascii="Arial" w:hAnsi="Arial" w:cs="Arial"/>
          <w:b/>
          <w:sz w:val="22"/>
          <w:szCs w:val="22"/>
        </w:rPr>
        <w:t xml:space="preserve">v důsledku </w:t>
      </w:r>
      <w:r w:rsidR="00E00DF2">
        <w:rPr>
          <w:rFonts w:ascii="Arial" w:hAnsi="Arial" w:cs="Arial"/>
          <w:b/>
          <w:sz w:val="22"/>
          <w:szCs w:val="22"/>
        </w:rPr>
        <w:t xml:space="preserve">nesprávného analytického členění výnosů v PAP </w:t>
      </w:r>
      <w:r w:rsidR="004A7201">
        <w:rPr>
          <w:rFonts w:ascii="Arial" w:hAnsi="Arial" w:cs="Arial"/>
          <w:b/>
          <w:sz w:val="22"/>
          <w:szCs w:val="22"/>
        </w:rPr>
        <w:tab/>
      </w:r>
      <w:r w:rsidR="00E00DF2">
        <w:rPr>
          <w:rFonts w:ascii="Arial" w:hAnsi="Arial" w:cs="Arial"/>
          <w:b/>
          <w:sz w:val="22"/>
          <w:szCs w:val="22"/>
        </w:rPr>
        <w:t>(v Kč)</w:t>
      </w:r>
    </w:p>
    <w:tbl>
      <w:tblPr>
        <w:tblW w:w="0" w:type="auto"/>
        <w:tblInd w:w="40" w:type="dxa"/>
        <w:tblCellMar>
          <w:left w:w="70" w:type="dxa"/>
          <w:right w:w="70" w:type="dxa"/>
        </w:tblCellMar>
        <w:tblLook w:val="0000" w:firstRow="0" w:lastRow="0" w:firstColumn="0" w:lastColumn="0" w:noHBand="0" w:noVBand="0"/>
      </w:tblPr>
      <w:tblGrid>
        <w:gridCol w:w="1820"/>
        <w:gridCol w:w="1820"/>
        <w:gridCol w:w="1821"/>
        <w:gridCol w:w="1820"/>
        <w:gridCol w:w="1821"/>
      </w:tblGrid>
      <w:tr w:rsidR="00E00DF2" w:rsidRPr="00ED5C98" w14:paraId="00D91826" w14:textId="77777777" w:rsidTr="00260B0C">
        <w:trPr>
          <w:trHeight w:val="290"/>
        </w:trPr>
        <w:tc>
          <w:tcPr>
            <w:tcW w:w="1820"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21" w14:textId="77777777" w:rsidR="00E00DF2" w:rsidRPr="00ED5C98" w:rsidRDefault="00E00DF2" w:rsidP="00260B0C">
            <w:pPr>
              <w:autoSpaceDE w:val="0"/>
              <w:autoSpaceDN w:val="0"/>
              <w:adjustRightInd w:val="0"/>
              <w:spacing w:before="40"/>
              <w:jc w:val="center"/>
              <w:rPr>
                <w:rFonts w:ascii="Arial" w:eastAsiaTheme="minorHAnsi" w:hAnsi="Arial" w:cs="Arial"/>
                <w:b/>
                <w:color w:val="000000"/>
                <w:sz w:val="18"/>
                <w:szCs w:val="18"/>
              </w:rPr>
            </w:pPr>
            <w:r w:rsidRPr="00ED5C98">
              <w:rPr>
                <w:rFonts w:ascii="Arial" w:eastAsiaTheme="minorHAnsi" w:hAnsi="Arial" w:cs="Arial"/>
                <w:b/>
                <w:color w:val="000000"/>
                <w:sz w:val="18"/>
                <w:szCs w:val="18"/>
              </w:rPr>
              <w:t>Část PAP I</w:t>
            </w:r>
          </w:p>
        </w:tc>
        <w:tc>
          <w:tcPr>
            <w:tcW w:w="1820"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22" w14:textId="77777777" w:rsidR="00E00DF2" w:rsidRPr="00ED5C98" w:rsidRDefault="00E00DF2" w:rsidP="00260B0C">
            <w:pPr>
              <w:autoSpaceDE w:val="0"/>
              <w:autoSpaceDN w:val="0"/>
              <w:adjustRightInd w:val="0"/>
              <w:spacing w:before="40"/>
              <w:jc w:val="center"/>
              <w:rPr>
                <w:rFonts w:ascii="Arial" w:eastAsiaTheme="minorHAnsi" w:hAnsi="Arial" w:cs="Arial"/>
                <w:b/>
                <w:color w:val="000000"/>
                <w:sz w:val="18"/>
                <w:szCs w:val="18"/>
              </w:rPr>
            </w:pPr>
            <w:r w:rsidRPr="00ED5C98">
              <w:rPr>
                <w:rFonts w:ascii="Arial" w:eastAsiaTheme="minorHAnsi" w:hAnsi="Arial" w:cs="Arial"/>
                <w:b/>
                <w:color w:val="000000"/>
                <w:sz w:val="18"/>
                <w:szCs w:val="18"/>
              </w:rPr>
              <w:t>Část PAP III</w:t>
            </w:r>
          </w:p>
        </w:tc>
        <w:tc>
          <w:tcPr>
            <w:tcW w:w="1821"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23" w14:textId="77777777" w:rsidR="00E00DF2" w:rsidRPr="00ED5C98" w:rsidRDefault="00E00DF2" w:rsidP="00260B0C">
            <w:pPr>
              <w:autoSpaceDE w:val="0"/>
              <w:autoSpaceDN w:val="0"/>
              <w:adjustRightInd w:val="0"/>
              <w:spacing w:before="40"/>
              <w:jc w:val="center"/>
              <w:rPr>
                <w:rFonts w:ascii="Arial" w:eastAsiaTheme="minorHAnsi" w:hAnsi="Arial" w:cs="Arial"/>
                <w:b/>
                <w:color w:val="000000"/>
                <w:sz w:val="18"/>
                <w:szCs w:val="18"/>
              </w:rPr>
            </w:pPr>
            <w:r w:rsidRPr="00ED5C98">
              <w:rPr>
                <w:rFonts w:ascii="Arial" w:eastAsiaTheme="minorHAnsi" w:hAnsi="Arial" w:cs="Arial"/>
                <w:b/>
                <w:color w:val="000000"/>
                <w:sz w:val="18"/>
                <w:szCs w:val="18"/>
              </w:rPr>
              <w:t>Část PAP VI</w:t>
            </w:r>
          </w:p>
        </w:tc>
        <w:tc>
          <w:tcPr>
            <w:tcW w:w="1820"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24" w14:textId="77777777" w:rsidR="00E00DF2" w:rsidRPr="00ED5C98" w:rsidRDefault="00E00DF2" w:rsidP="00260B0C">
            <w:pPr>
              <w:autoSpaceDE w:val="0"/>
              <w:autoSpaceDN w:val="0"/>
              <w:adjustRightInd w:val="0"/>
              <w:spacing w:before="40"/>
              <w:jc w:val="center"/>
              <w:rPr>
                <w:rFonts w:ascii="Arial" w:eastAsiaTheme="minorHAnsi" w:hAnsi="Arial" w:cs="Arial"/>
                <w:b/>
                <w:color w:val="000000"/>
                <w:sz w:val="18"/>
                <w:szCs w:val="18"/>
              </w:rPr>
            </w:pPr>
            <w:r w:rsidRPr="00ED5C98">
              <w:rPr>
                <w:rFonts w:ascii="Arial" w:eastAsiaTheme="minorHAnsi" w:hAnsi="Arial" w:cs="Arial"/>
                <w:b/>
                <w:color w:val="000000"/>
                <w:sz w:val="18"/>
                <w:szCs w:val="18"/>
              </w:rPr>
              <w:t>Část PAP XI</w:t>
            </w:r>
          </w:p>
        </w:tc>
        <w:tc>
          <w:tcPr>
            <w:tcW w:w="1821" w:type="dxa"/>
            <w:vMerge w:val="restart"/>
            <w:tcBorders>
              <w:top w:val="single" w:sz="12" w:space="0" w:color="auto"/>
              <w:left w:val="single" w:sz="12" w:space="0" w:color="auto"/>
              <w:right w:val="single" w:sz="12" w:space="0" w:color="auto"/>
            </w:tcBorders>
            <w:shd w:val="clear" w:color="auto" w:fill="C6D9F1" w:themeFill="text2" w:themeFillTint="33"/>
            <w:vAlign w:val="center"/>
          </w:tcPr>
          <w:p w14:paraId="00D91825" w14:textId="77777777" w:rsidR="00E00DF2" w:rsidRPr="00ED5C98" w:rsidRDefault="00E00DF2" w:rsidP="007C7817">
            <w:pPr>
              <w:autoSpaceDE w:val="0"/>
              <w:autoSpaceDN w:val="0"/>
              <w:adjustRightInd w:val="0"/>
              <w:jc w:val="center"/>
              <w:rPr>
                <w:rFonts w:ascii="Arial" w:eastAsiaTheme="minorHAnsi" w:hAnsi="Arial" w:cs="Arial"/>
                <w:b/>
                <w:color w:val="000000"/>
                <w:sz w:val="18"/>
                <w:szCs w:val="18"/>
              </w:rPr>
            </w:pPr>
            <w:r w:rsidRPr="00ED5C98">
              <w:rPr>
                <w:rFonts w:ascii="Arial" w:eastAsiaTheme="minorHAnsi" w:hAnsi="Arial" w:cs="Arial"/>
                <w:b/>
                <w:color w:val="000000"/>
                <w:sz w:val="18"/>
                <w:szCs w:val="18"/>
              </w:rPr>
              <w:t>Celkový součet</w:t>
            </w:r>
          </w:p>
        </w:tc>
      </w:tr>
      <w:tr w:rsidR="00E00DF2" w:rsidRPr="00ED5C98" w14:paraId="00D9182C" w14:textId="77777777" w:rsidTr="00260B0C">
        <w:trPr>
          <w:trHeight w:val="305"/>
        </w:trPr>
        <w:tc>
          <w:tcPr>
            <w:tcW w:w="1820"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27" w14:textId="77777777" w:rsidR="00E00DF2" w:rsidRPr="00ED5C98" w:rsidRDefault="004A7201" w:rsidP="00260B0C">
            <w:pPr>
              <w:autoSpaceDE w:val="0"/>
              <w:autoSpaceDN w:val="0"/>
              <w:adjustRightInd w:val="0"/>
              <w:spacing w:before="40"/>
              <w:jc w:val="center"/>
              <w:rPr>
                <w:rFonts w:ascii="Arial" w:eastAsiaTheme="minorHAnsi" w:hAnsi="Arial" w:cs="Arial"/>
                <w:b/>
                <w:color w:val="000000"/>
                <w:sz w:val="18"/>
                <w:szCs w:val="18"/>
              </w:rPr>
            </w:pPr>
            <w:r>
              <w:rPr>
                <w:rFonts w:ascii="Arial" w:eastAsiaTheme="minorHAnsi" w:hAnsi="Arial" w:cs="Arial"/>
                <w:b/>
                <w:color w:val="000000"/>
                <w:sz w:val="18"/>
                <w:szCs w:val="18"/>
              </w:rPr>
              <w:t>Ú</w:t>
            </w:r>
            <w:r w:rsidR="00E00DF2">
              <w:rPr>
                <w:rFonts w:ascii="Arial" w:eastAsiaTheme="minorHAnsi" w:hAnsi="Arial" w:cs="Arial"/>
                <w:b/>
                <w:color w:val="000000"/>
                <w:sz w:val="18"/>
                <w:szCs w:val="18"/>
              </w:rPr>
              <w:t>čet</w:t>
            </w:r>
            <w:r w:rsidR="00E00DF2" w:rsidRPr="00ED5C98">
              <w:rPr>
                <w:rFonts w:ascii="Arial" w:eastAsiaTheme="minorHAnsi" w:hAnsi="Arial" w:cs="Arial"/>
                <w:b/>
                <w:color w:val="000000"/>
                <w:sz w:val="18"/>
                <w:szCs w:val="18"/>
              </w:rPr>
              <w:t xml:space="preserve"> 311</w:t>
            </w:r>
          </w:p>
        </w:tc>
        <w:tc>
          <w:tcPr>
            <w:tcW w:w="1820"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28" w14:textId="77777777" w:rsidR="00E00DF2" w:rsidRPr="00ED5C98" w:rsidRDefault="00E00DF2" w:rsidP="00260B0C">
            <w:pPr>
              <w:autoSpaceDE w:val="0"/>
              <w:autoSpaceDN w:val="0"/>
              <w:adjustRightInd w:val="0"/>
              <w:spacing w:before="40"/>
              <w:jc w:val="center"/>
              <w:rPr>
                <w:rFonts w:ascii="Arial" w:eastAsiaTheme="minorHAnsi" w:hAnsi="Arial" w:cs="Arial"/>
                <w:b/>
                <w:color w:val="000000"/>
                <w:sz w:val="18"/>
                <w:szCs w:val="18"/>
              </w:rPr>
            </w:pPr>
            <w:r>
              <w:rPr>
                <w:rFonts w:ascii="Arial" w:eastAsiaTheme="minorHAnsi" w:hAnsi="Arial" w:cs="Arial"/>
                <w:b/>
                <w:color w:val="000000"/>
                <w:sz w:val="18"/>
                <w:szCs w:val="18"/>
              </w:rPr>
              <w:t>AČ</w:t>
            </w:r>
            <w:r w:rsidRPr="00ED5C98">
              <w:rPr>
                <w:rFonts w:ascii="Arial" w:eastAsiaTheme="minorHAnsi" w:hAnsi="Arial" w:cs="Arial"/>
                <w:b/>
                <w:color w:val="000000"/>
                <w:sz w:val="18"/>
                <w:szCs w:val="18"/>
              </w:rPr>
              <w:t xml:space="preserve"> 67101</w:t>
            </w:r>
          </w:p>
        </w:tc>
        <w:tc>
          <w:tcPr>
            <w:tcW w:w="1821"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29" w14:textId="77777777" w:rsidR="00E00DF2" w:rsidRPr="00ED5C98" w:rsidRDefault="004A7201" w:rsidP="00260B0C">
            <w:pPr>
              <w:autoSpaceDE w:val="0"/>
              <w:autoSpaceDN w:val="0"/>
              <w:adjustRightInd w:val="0"/>
              <w:spacing w:before="40"/>
              <w:jc w:val="center"/>
              <w:rPr>
                <w:rFonts w:ascii="Arial" w:eastAsiaTheme="minorHAnsi" w:hAnsi="Arial" w:cs="Arial"/>
                <w:b/>
                <w:color w:val="000000"/>
                <w:sz w:val="18"/>
                <w:szCs w:val="18"/>
              </w:rPr>
            </w:pPr>
            <w:r>
              <w:rPr>
                <w:rFonts w:ascii="Arial" w:eastAsiaTheme="minorHAnsi" w:hAnsi="Arial" w:cs="Arial"/>
                <w:b/>
                <w:color w:val="000000"/>
                <w:sz w:val="18"/>
                <w:szCs w:val="18"/>
              </w:rPr>
              <w:t>Ú</w:t>
            </w:r>
            <w:r w:rsidR="00E00DF2">
              <w:rPr>
                <w:rFonts w:ascii="Arial" w:eastAsiaTheme="minorHAnsi" w:hAnsi="Arial" w:cs="Arial"/>
                <w:b/>
                <w:color w:val="000000"/>
                <w:sz w:val="18"/>
                <w:szCs w:val="18"/>
              </w:rPr>
              <w:t>čet</w:t>
            </w:r>
            <w:r w:rsidR="00E00DF2" w:rsidRPr="00ED5C98">
              <w:rPr>
                <w:rFonts w:ascii="Arial" w:eastAsiaTheme="minorHAnsi" w:hAnsi="Arial" w:cs="Arial"/>
                <w:b/>
                <w:color w:val="000000"/>
                <w:sz w:val="18"/>
                <w:szCs w:val="18"/>
              </w:rPr>
              <w:t xml:space="preserve"> 311</w:t>
            </w:r>
          </w:p>
        </w:tc>
        <w:tc>
          <w:tcPr>
            <w:tcW w:w="1820"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2A" w14:textId="77777777" w:rsidR="00E00DF2" w:rsidRPr="00ED5C98" w:rsidRDefault="00E00DF2" w:rsidP="00260B0C">
            <w:pPr>
              <w:autoSpaceDE w:val="0"/>
              <w:autoSpaceDN w:val="0"/>
              <w:adjustRightInd w:val="0"/>
              <w:spacing w:before="40"/>
              <w:jc w:val="center"/>
              <w:rPr>
                <w:rFonts w:ascii="Arial" w:eastAsiaTheme="minorHAnsi" w:hAnsi="Arial" w:cs="Arial"/>
                <w:b/>
                <w:color w:val="000000"/>
                <w:sz w:val="18"/>
                <w:szCs w:val="18"/>
              </w:rPr>
            </w:pPr>
            <w:r>
              <w:rPr>
                <w:rFonts w:ascii="Arial" w:eastAsiaTheme="minorHAnsi" w:hAnsi="Arial" w:cs="Arial"/>
                <w:b/>
                <w:color w:val="000000"/>
                <w:sz w:val="18"/>
                <w:szCs w:val="18"/>
              </w:rPr>
              <w:t>AČ</w:t>
            </w:r>
            <w:r w:rsidRPr="00ED5C98">
              <w:rPr>
                <w:rFonts w:ascii="Arial" w:eastAsiaTheme="minorHAnsi" w:hAnsi="Arial" w:cs="Arial"/>
                <w:b/>
                <w:color w:val="000000"/>
                <w:sz w:val="18"/>
                <w:szCs w:val="18"/>
              </w:rPr>
              <w:t xml:space="preserve"> 67101</w:t>
            </w:r>
          </w:p>
        </w:tc>
        <w:tc>
          <w:tcPr>
            <w:tcW w:w="1821" w:type="dxa"/>
            <w:vMerge/>
            <w:tcBorders>
              <w:left w:val="single" w:sz="12" w:space="0" w:color="auto"/>
              <w:bottom w:val="single" w:sz="12" w:space="0" w:color="auto"/>
              <w:right w:val="single" w:sz="12" w:space="0" w:color="auto"/>
            </w:tcBorders>
            <w:shd w:val="clear" w:color="auto" w:fill="D9D9D9" w:themeFill="background1" w:themeFillShade="D9"/>
          </w:tcPr>
          <w:p w14:paraId="00D9182B" w14:textId="77777777" w:rsidR="00E00DF2" w:rsidRPr="00ED5C98" w:rsidRDefault="00E00DF2" w:rsidP="007C7817">
            <w:pPr>
              <w:autoSpaceDE w:val="0"/>
              <w:autoSpaceDN w:val="0"/>
              <w:adjustRightInd w:val="0"/>
              <w:jc w:val="center"/>
              <w:rPr>
                <w:rFonts w:ascii="Arial" w:eastAsiaTheme="minorHAnsi" w:hAnsi="Arial" w:cs="Arial"/>
                <w:b/>
                <w:color w:val="000000"/>
                <w:sz w:val="18"/>
                <w:szCs w:val="18"/>
              </w:rPr>
            </w:pPr>
          </w:p>
        </w:tc>
      </w:tr>
      <w:tr w:rsidR="00E00DF2" w:rsidRPr="00ED5C98" w14:paraId="00D91832" w14:textId="77777777" w:rsidTr="00724F3E">
        <w:trPr>
          <w:trHeight w:val="305"/>
        </w:trPr>
        <w:tc>
          <w:tcPr>
            <w:tcW w:w="1820" w:type="dxa"/>
            <w:tcBorders>
              <w:top w:val="nil"/>
              <w:left w:val="single" w:sz="12" w:space="0" w:color="auto"/>
              <w:bottom w:val="single" w:sz="12" w:space="0" w:color="auto"/>
              <w:right w:val="single" w:sz="12" w:space="0" w:color="auto"/>
            </w:tcBorders>
            <w:vAlign w:val="center"/>
          </w:tcPr>
          <w:p w14:paraId="00D9182D"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19 755 736 854,00</w:t>
            </w:r>
          </w:p>
        </w:tc>
        <w:tc>
          <w:tcPr>
            <w:tcW w:w="1820" w:type="dxa"/>
            <w:tcBorders>
              <w:top w:val="nil"/>
              <w:left w:val="single" w:sz="12" w:space="0" w:color="auto"/>
              <w:bottom w:val="single" w:sz="12" w:space="0" w:color="auto"/>
              <w:right w:val="single" w:sz="12" w:space="0" w:color="auto"/>
            </w:tcBorders>
            <w:vAlign w:val="center"/>
          </w:tcPr>
          <w:p w14:paraId="00D9182E"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9 084 213 237,00</w:t>
            </w:r>
          </w:p>
        </w:tc>
        <w:tc>
          <w:tcPr>
            <w:tcW w:w="1821" w:type="dxa"/>
            <w:tcBorders>
              <w:top w:val="nil"/>
              <w:left w:val="single" w:sz="12" w:space="0" w:color="auto"/>
              <w:bottom w:val="single" w:sz="12" w:space="0" w:color="auto"/>
              <w:right w:val="single" w:sz="12" w:space="0" w:color="auto"/>
            </w:tcBorders>
            <w:vAlign w:val="center"/>
          </w:tcPr>
          <w:p w14:paraId="00D9182F"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19 755 736 854,00</w:t>
            </w:r>
          </w:p>
        </w:tc>
        <w:tc>
          <w:tcPr>
            <w:tcW w:w="1820" w:type="dxa"/>
            <w:tcBorders>
              <w:top w:val="nil"/>
              <w:left w:val="single" w:sz="12" w:space="0" w:color="auto"/>
              <w:bottom w:val="single" w:sz="12" w:space="0" w:color="auto"/>
              <w:right w:val="single" w:sz="12" w:space="0" w:color="auto"/>
            </w:tcBorders>
            <w:vAlign w:val="center"/>
          </w:tcPr>
          <w:p w14:paraId="00D91830"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9 084 213 237,00</w:t>
            </w:r>
          </w:p>
        </w:tc>
        <w:tc>
          <w:tcPr>
            <w:tcW w:w="1821" w:type="dxa"/>
            <w:tcBorders>
              <w:top w:val="nil"/>
              <w:left w:val="nil"/>
              <w:bottom w:val="single" w:sz="12" w:space="0" w:color="auto"/>
              <w:right w:val="single" w:sz="12" w:space="0" w:color="auto"/>
            </w:tcBorders>
            <w:vAlign w:val="center"/>
          </w:tcPr>
          <w:p w14:paraId="00D91831" w14:textId="77777777" w:rsidR="00E00DF2" w:rsidRPr="00ED5C98" w:rsidRDefault="00E00DF2" w:rsidP="007C7817">
            <w:pPr>
              <w:autoSpaceDE w:val="0"/>
              <w:autoSpaceDN w:val="0"/>
              <w:adjustRightInd w:val="0"/>
              <w:jc w:val="right"/>
              <w:rPr>
                <w:rFonts w:ascii="Arial" w:eastAsiaTheme="minorHAnsi" w:hAnsi="Arial" w:cs="Arial"/>
                <w:b/>
                <w:color w:val="000000"/>
                <w:sz w:val="18"/>
                <w:szCs w:val="18"/>
              </w:rPr>
            </w:pPr>
            <w:r w:rsidRPr="00ED5C98">
              <w:rPr>
                <w:rFonts w:ascii="Arial" w:eastAsiaTheme="minorHAnsi" w:hAnsi="Arial" w:cs="Arial"/>
                <w:b/>
                <w:color w:val="000000"/>
                <w:sz w:val="18"/>
                <w:szCs w:val="18"/>
              </w:rPr>
              <w:t>57 679 900 182,00</w:t>
            </w:r>
          </w:p>
        </w:tc>
      </w:tr>
    </w:tbl>
    <w:p w14:paraId="00D91833" w14:textId="77777777" w:rsidR="00E00DF2" w:rsidRDefault="00E00DF2" w:rsidP="00E00DF2">
      <w:pPr>
        <w:jc w:val="both"/>
        <w:rPr>
          <w:rFonts w:ascii="Arial" w:hAnsi="Arial" w:cs="Arial"/>
          <w:bCs/>
          <w:iCs/>
          <w:sz w:val="22"/>
          <w:szCs w:val="22"/>
        </w:rPr>
      </w:pPr>
    </w:p>
    <w:p w14:paraId="00D91834" w14:textId="77777777" w:rsidR="00E00DF2" w:rsidRPr="00BA7586" w:rsidRDefault="00E00DF2" w:rsidP="00E00DF2">
      <w:pPr>
        <w:tabs>
          <w:tab w:val="left" w:pos="-993"/>
        </w:tabs>
        <w:jc w:val="both"/>
        <w:rPr>
          <w:rFonts w:ascii="Arial" w:hAnsi="Arial" w:cs="Arial"/>
          <w:color w:val="000000"/>
          <w:sz w:val="22"/>
          <w:szCs w:val="22"/>
        </w:rPr>
      </w:pPr>
      <w:r w:rsidRPr="00ED5C98">
        <w:rPr>
          <w:rFonts w:ascii="Arial" w:hAnsi="Arial" w:cs="Arial"/>
          <w:sz w:val="22"/>
          <w:szCs w:val="22"/>
        </w:rPr>
        <w:lastRenderedPageBreak/>
        <w:t xml:space="preserve">Podle </w:t>
      </w:r>
      <w:r w:rsidRPr="00260B0C">
        <w:rPr>
          <w:rFonts w:ascii="Arial" w:hAnsi="Arial" w:cs="Arial"/>
          <w:i/>
          <w:sz w:val="22"/>
          <w:szCs w:val="22"/>
        </w:rPr>
        <w:t>Metodiky tvorby PAP</w:t>
      </w:r>
      <w:r w:rsidRPr="00ED5C98">
        <w:rPr>
          <w:rFonts w:ascii="Arial" w:hAnsi="Arial" w:cs="Arial"/>
          <w:sz w:val="22"/>
          <w:szCs w:val="22"/>
        </w:rPr>
        <w:t xml:space="preserve"> se partnerem transakce rozumí zejména ten</w:t>
      </w:r>
      <w:r w:rsidR="004A7201">
        <w:rPr>
          <w:rFonts w:ascii="Arial" w:hAnsi="Arial" w:cs="Arial"/>
          <w:sz w:val="22"/>
          <w:szCs w:val="22"/>
        </w:rPr>
        <w:t xml:space="preserve"> účastník</w:t>
      </w:r>
      <w:r w:rsidRPr="00ED5C98">
        <w:rPr>
          <w:rFonts w:ascii="Arial" w:hAnsi="Arial" w:cs="Arial"/>
          <w:sz w:val="22"/>
          <w:szCs w:val="22"/>
        </w:rPr>
        <w:t xml:space="preserve">, pro něhož je anebo by </w:t>
      </w:r>
      <w:r w:rsidR="004A7201">
        <w:rPr>
          <w:rFonts w:ascii="Arial" w:hAnsi="Arial" w:cs="Arial"/>
          <w:sz w:val="22"/>
          <w:szCs w:val="22"/>
        </w:rPr>
        <w:t xml:space="preserve">mohl </w:t>
      </w:r>
      <w:r w:rsidRPr="00ED5C98">
        <w:rPr>
          <w:rFonts w:ascii="Arial" w:hAnsi="Arial" w:cs="Arial"/>
          <w:sz w:val="22"/>
          <w:szCs w:val="22"/>
        </w:rPr>
        <w:t>b</w:t>
      </w:r>
      <w:r w:rsidR="004A7201">
        <w:rPr>
          <w:rFonts w:ascii="Arial" w:hAnsi="Arial" w:cs="Arial"/>
          <w:sz w:val="22"/>
          <w:szCs w:val="22"/>
        </w:rPr>
        <w:t>ýt</w:t>
      </w:r>
      <w:r w:rsidRPr="00ED5C98">
        <w:rPr>
          <w:rFonts w:ascii="Arial" w:hAnsi="Arial" w:cs="Arial"/>
          <w:sz w:val="22"/>
          <w:szCs w:val="22"/>
        </w:rPr>
        <w:t xml:space="preserve"> výnos vykazující účetní </w:t>
      </w:r>
      <w:r w:rsidRPr="00081811">
        <w:rPr>
          <w:rFonts w:ascii="Arial" w:hAnsi="Arial" w:cs="Arial"/>
          <w:sz w:val="22"/>
          <w:szCs w:val="22"/>
        </w:rPr>
        <w:t xml:space="preserve">jednotky nákladem anebo přírůstkem aktiv. MPO v případě výnosů z refundací přijatých od Národního fondu použilo </w:t>
      </w:r>
      <w:r w:rsidR="004A7201">
        <w:rPr>
          <w:rFonts w:ascii="Arial" w:hAnsi="Arial" w:cs="Arial"/>
          <w:sz w:val="22"/>
          <w:szCs w:val="22"/>
        </w:rPr>
        <w:t xml:space="preserve">pro </w:t>
      </w:r>
      <w:r w:rsidRPr="00081811">
        <w:rPr>
          <w:rFonts w:ascii="Arial" w:hAnsi="Arial" w:cs="Arial"/>
          <w:sz w:val="22"/>
          <w:szCs w:val="22"/>
        </w:rPr>
        <w:t>dáv</w:t>
      </w:r>
      <w:r w:rsidR="004A7201">
        <w:rPr>
          <w:rFonts w:ascii="Arial" w:hAnsi="Arial" w:cs="Arial"/>
          <w:sz w:val="22"/>
          <w:szCs w:val="22"/>
        </w:rPr>
        <w:t>ku</w:t>
      </w:r>
      <w:r w:rsidRPr="00081811">
        <w:rPr>
          <w:rFonts w:ascii="Arial" w:hAnsi="Arial" w:cs="Arial"/>
          <w:sz w:val="22"/>
          <w:szCs w:val="22"/>
        </w:rPr>
        <w:t xml:space="preserve"> údajů předan</w:t>
      </w:r>
      <w:r w:rsidR="004A7201">
        <w:rPr>
          <w:rFonts w:ascii="Arial" w:hAnsi="Arial" w:cs="Arial"/>
          <w:sz w:val="22"/>
          <w:szCs w:val="22"/>
        </w:rPr>
        <w:t>ou</w:t>
      </w:r>
      <w:r w:rsidRPr="00081811">
        <w:rPr>
          <w:rFonts w:ascii="Arial" w:hAnsi="Arial" w:cs="Arial"/>
          <w:sz w:val="22"/>
          <w:szCs w:val="22"/>
        </w:rPr>
        <w:t xml:space="preserve"> do CSÚIS identifikátor „111“</w:t>
      </w:r>
      <w:r>
        <w:rPr>
          <w:rFonts w:ascii="Arial" w:hAnsi="Arial" w:cs="Arial"/>
          <w:sz w:val="22"/>
          <w:szCs w:val="22"/>
        </w:rPr>
        <w:t>. To ale ne</w:t>
      </w:r>
      <w:r w:rsidR="00A93FCE">
        <w:rPr>
          <w:rFonts w:ascii="Arial" w:hAnsi="Arial" w:cs="Arial"/>
          <w:sz w:val="22"/>
          <w:szCs w:val="22"/>
        </w:rPr>
        <w:t>ní</w:t>
      </w:r>
      <w:r>
        <w:rPr>
          <w:rFonts w:ascii="Arial" w:hAnsi="Arial" w:cs="Arial"/>
          <w:sz w:val="22"/>
          <w:szCs w:val="22"/>
        </w:rPr>
        <w:t xml:space="preserve"> v souladu </w:t>
      </w:r>
      <w:r w:rsidR="009F047D">
        <w:rPr>
          <w:rFonts w:ascii="Arial" w:hAnsi="Arial" w:cs="Arial"/>
          <w:sz w:val="22"/>
          <w:szCs w:val="22"/>
        </w:rPr>
        <w:t>s </w:t>
      </w:r>
      <w:r w:rsidRPr="00260B0C">
        <w:rPr>
          <w:rFonts w:ascii="Arial" w:hAnsi="Arial" w:cs="Arial"/>
          <w:i/>
          <w:sz w:val="22"/>
          <w:szCs w:val="22"/>
        </w:rPr>
        <w:t>Metodikou tvorby PAP</w:t>
      </w:r>
      <w:r>
        <w:rPr>
          <w:rFonts w:ascii="Arial" w:hAnsi="Arial" w:cs="Arial"/>
          <w:sz w:val="22"/>
          <w:szCs w:val="22"/>
        </w:rPr>
        <w:t>, neboť identifikátor „111“ má být</w:t>
      </w:r>
      <w:r w:rsidRPr="00081811">
        <w:rPr>
          <w:rFonts w:ascii="Arial" w:hAnsi="Arial" w:cs="Arial"/>
          <w:sz w:val="22"/>
          <w:szCs w:val="22"/>
        </w:rPr>
        <w:t xml:space="preserve"> použit pro </w:t>
      </w:r>
      <w:r w:rsidRPr="00081811">
        <w:rPr>
          <w:rFonts w:ascii="Arial" w:hAnsi="Arial" w:cs="Arial"/>
          <w:bCs/>
          <w:sz w:val="22"/>
          <w:szCs w:val="22"/>
        </w:rPr>
        <w:t xml:space="preserve">rezidentské jednotky bez </w:t>
      </w:r>
      <w:r w:rsidR="00A93FCE">
        <w:rPr>
          <w:rFonts w:ascii="Arial" w:hAnsi="Arial" w:cs="Arial"/>
          <w:bCs/>
          <w:sz w:val="22"/>
          <w:szCs w:val="22"/>
        </w:rPr>
        <w:t>identifikačního čísla (dále též „</w:t>
      </w:r>
      <w:r w:rsidRPr="00081811">
        <w:rPr>
          <w:rFonts w:ascii="Arial" w:hAnsi="Arial" w:cs="Arial"/>
          <w:bCs/>
          <w:sz w:val="22"/>
          <w:szCs w:val="22"/>
        </w:rPr>
        <w:t>IČ</w:t>
      </w:r>
      <w:r w:rsidR="00A93FCE">
        <w:rPr>
          <w:rFonts w:ascii="Arial" w:hAnsi="Arial" w:cs="Arial"/>
          <w:bCs/>
          <w:sz w:val="22"/>
          <w:szCs w:val="22"/>
        </w:rPr>
        <w:t>“)</w:t>
      </w:r>
      <w:r w:rsidRPr="00081811">
        <w:rPr>
          <w:rFonts w:ascii="Arial" w:hAnsi="Arial" w:cs="Arial"/>
          <w:bCs/>
          <w:sz w:val="22"/>
          <w:szCs w:val="22"/>
        </w:rPr>
        <w:t>.</w:t>
      </w:r>
      <w:r w:rsidR="00BA7586" w:rsidRPr="00BA7586">
        <w:rPr>
          <w:rFonts w:ascii="Arial" w:hAnsi="Arial" w:cs="Arial"/>
          <w:sz w:val="18"/>
          <w:szCs w:val="18"/>
        </w:rPr>
        <w:t xml:space="preserve"> </w:t>
      </w:r>
      <w:r w:rsidR="00BA7586" w:rsidRPr="00BA7586">
        <w:rPr>
          <w:rFonts w:ascii="Arial" w:hAnsi="Arial" w:cs="Arial"/>
          <w:sz w:val="22"/>
          <w:szCs w:val="22"/>
        </w:rPr>
        <w:t>Nejasnost aplikace účetní regulace v oblasti transferů spolufinancovaných z prostředků EU se</w:t>
      </w:r>
      <w:r w:rsidR="00245C09">
        <w:rPr>
          <w:rFonts w:ascii="Arial" w:hAnsi="Arial" w:cs="Arial"/>
          <w:sz w:val="22"/>
          <w:szCs w:val="22"/>
        </w:rPr>
        <w:t xml:space="preserve"> podle názoru NKÚ</w:t>
      </w:r>
      <w:r w:rsidR="00BA7586">
        <w:rPr>
          <w:rFonts w:ascii="Arial" w:hAnsi="Arial" w:cs="Arial"/>
          <w:sz w:val="22"/>
          <w:szCs w:val="22"/>
        </w:rPr>
        <w:t xml:space="preserve"> </w:t>
      </w:r>
      <w:r w:rsidR="00BA7586" w:rsidRPr="00BA7586">
        <w:rPr>
          <w:rFonts w:ascii="Arial" w:hAnsi="Arial" w:cs="Arial"/>
          <w:sz w:val="22"/>
          <w:szCs w:val="22"/>
        </w:rPr>
        <w:t>v tomto případě projevuje nejistotou,</w:t>
      </w:r>
      <w:r w:rsidR="00245C09">
        <w:rPr>
          <w:rFonts w:ascii="Arial" w:hAnsi="Arial" w:cs="Arial"/>
          <w:color w:val="000000"/>
          <w:sz w:val="22"/>
          <w:szCs w:val="22"/>
        </w:rPr>
        <w:t xml:space="preserve"> kdo je partnerem transakce.</w:t>
      </w:r>
      <w:r w:rsidR="00373B37" w:rsidRPr="00BA7586">
        <w:rPr>
          <w:rFonts w:ascii="Arial" w:hAnsi="Arial" w:cs="Arial"/>
          <w:color w:val="000000"/>
          <w:sz w:val="22"/>
          <w:szCs w:val="22"/>
        </w:rPr>
        <w:t xml:space="preserve">  </w:t>
      </w:r>
    </w:p>
    <w:p w14:paraId="00D91835" w14:textId="77777777" w:rsidR="00373B37" w:rsidRPr="00373B37" w:rsidRDefault="00373B37" w:rsidP="00E00DF2">
      <w:pPr>
        <w:tabs>
          <w:tab w:val="left" w:pos="-993"/>
        </w:tabs>
        <w:jc w:val="both"/>
        <w:rPr>
          <w:rFonts w:ascii="Arial" w:hAnsi="Arial" w:cs="Arial"/>
          <w:color w:val="000000"/>
          <w:sz w:val="22"/>
          <w:szCs w:val="22"/>
        </w:rPr>
      </w:pPr>
    </w:p>
    <w:p w14:paraId="00D91836" w14:textId="77777777" w:rsidR="00E00DF2" w:rsidRDefault="00E00DF2" w:rsidP="00E00DF2">
      <w:pPr>
        <w:jc w:val="both"/>
        <w:rPr>
          <w:rFonts w:ascii="Arial" w:hAnsi="Arial" w:cs="Arial"/>
          <w:sz w:val="22"/>
          <w:szCs w:val="22"/>
        </w:rPr>
      </w:pPr>
      <w:r>
        <w:rPr>
          <w:rFonts w:ascii="Arial" w:hAnsi="Arial" w:cs="Arial"/>
          <w:bCs/>
          <w:sz w:val="22"/>
          <w:szCs w:val="22"/>
        </w:rPr>
        <w:t>Nesoulad s </w:t>
      </w:r>
      <w:r w:rsidRPr="00260B0C">
        <w:rPr>
          <w:rFonts w:ascii="Arial" w:hAnsi="Arial" w:cs="Arial"/>
          <w:bCs/>
          <w:i/>
          <w:sz w:val="22"/>
          <w:szCs w:val="22"/>
        </w:rPr>
        <w:t>Metodikou tvorby PAP</w:t>
      </w:r>
      <w:r w:rsidRPr="00ED5C98">
        <w:rPr>
          <w:rFonts w:ascii="Arial" w:hAnsi="Arial" w:cs="Arial"/>
          <w:bCs/>
          <w:sz w:val="22"/>
          <w:szCs w:val="22"/>
        </w:rPr>
        <w:t xml:space="preserve"> při zatřiďování přijetí refundace z Národního fondu </w:t>
      </w:r>
      <w:r>
        <w:rPr>
          <w:rFonts w:ascii="Arial" w:hAnsi="Arial" w:cs="Arial"/>
          <w:sz w:val="22"/>
          <w:szCs w:val="22"/>
        </w:rPr>
        <w:t xml:space="preserve">se promítl do </w:t>
      </w:r>
      <w:r w:rsidRPr="00ED5C98">
        <w:rPr>
          <w:rFonts w:ascii="Arial" w:hAnsi="Arial" w:cs="Arial"/>
          <w:sz w:val="22"/>
          <w:szCs w:val="22"/>
        </w:rPr>
        <w:t xml:space="preserve">PAP MPO k 31. </w:t>
      </w:r>
      <w:r>
        <w:rPr>
          <w:rFonts w:ascii="Arial" w:hAnsi="Arial" w:cs="Arial"/>
          <w:sz w:val="22"/>
          <w:szCs w:val="22"/>
        </w:rPr>
        <w:t>prosinci</w:t>
      </w:r>
      <w:r w:rsidRPr="00ED5C98">
        <w:rPr>
          <w:rFonts w:ascii="Arial" w:hAnsi="Arial" w:cs="Arial"/>
          <w:sz w:val="22"/>
          <w:szCs w:val="22"/>
        </w:rPr>
        <w:t xml:space="preserve"> 2012 </w:t>
      </w:r>
      <w:r>
        <w:rPr>
          <w:rFonts w:ascii="Arial" w:hAnsi="Arial" w:cs="Arial"/>
          <w:sz w:val="22"/>
          <w:szCs w:val="22"/>
        </w:rPr>
        <w:t xml:space="preserve">do </w:t>
      </w:r>
      <w:r w:rsidRPr="00ED5C98">
        <w:rPr>
          <w:rFonts w:ascii="Arial" w:hAnsi="Arial" w:cs="Arial"/>
          <w:sz w:val="22"/>
          <w:szCs w:val="22"/>
        </w:rPr>
        <w:t>část</w:t>
      </w:r>
      <w:r>
        <w:rPr>
          <w:rFonts w:ascii="Arial" w:hAnsi="Arial" w:cs="Arial"/>
          <w:sz w:val="22"/>
          <w:szCs w:val="22"/>
        </w:rPr>
        <w:t>i XI ve výši 9 </w:t>
      </w:r>
      <w:r w:rsidRPr="00ED5C98">
        <w:rPr>
          <w:rFonts w:ascii="Arial" w:hAnsi="Arial" w:cs="Arial"/>
          <w:sz w:val="22"/>
          <w:szCs w:val="22"/>
        </w:rPr>
        <w:t>877 868 427 Kč.</w:t>
      </w:r>
    </w:p>
    <w:p w14:paraId="00D91837" w14:textId="77777777" w:rsidR="00A93FCE" w:rsidRPr="00ED5C98" w:rsidRDefault="00A93FCE" w:rsidP="00E00DF2">
      <w:pPr>
        <w:jc w:val="both"/>
        <w:rPr>
          <w:rFonts w:ascii="Arial" w:hAnsi="Arial" w:cs="Arial"/>
          <w:sz w:val="22"/>
          <w:szCs w:val="22"/>
        </w:rPr>
      </w:pPr>
    </w:p>
    <w:p w14:paraId="00D91838" w14:textId="77777777" w:rsidR="00E00DF2" w:rsidRPr="00ED5C98" w:rsidRDefault="00E00DF2" w:rsidP="00E00DF2">
      <w:pPr>
        <w:jc w:val="both"/>
        <w:rPr>
          <w:rFonts w:ascii="Arial" w:hAnsi="Arial" w:cs="Arial"/>
          <w:bCs/>
          <w:iCs/>
          <w:sz w:val="22"/>
          <w:szCs w:val="22"/>
        </w:rPr>
      </w:pPr>
      <w:r>
        <w:rPr>
          <w:rFonts w:ascii="Arial" w:hAnsi="Arial" w:cs="Arial"/>
          <w:sz w:val="22"/>
          <w:szCs w:val="22"/>
        </w:rPr>
        <w:t xml:space="preserve">V účetních datech přitom uvádělo MPO jako identifikátor partnera IČ MF, v údajích předaných do PAP </w:t>
      </w:r>
      <w:r w:rsidR="00373B37">
        <w:rPr>
          <w:rFonts w:ascii="Arial" w:hAnsi="Arial" w:cs="Arial"/>
          <w:sz w:val="22"/>
          <w:szCs w:val="22"/>
        </w:rPr>
        <w:t xml:space="preserve">ale </w:t>
      </w:r>
      <w:r>
        <w:rPr>
          <w:rFonts w:ascii="Arial" w:hAnsi="Arial" w:cs="Arial"/>
          <w:sz w:val="22"/>
          <w:szCs w:val="22"/>
        </w:rPr>
        <w:t xml:space="preserve">tento partner použit nebyl a namísto </w:t>
      </w:r>
      <w:r w:rsidR="00A93FCE">
        <w:rPr>
          <w:rFonts w:ascii="Arial" w:hAnsi="Arial" w:cs="Arial"/>
          <w:sz w:val="22"/>
          <w:szCs w:val="22"/>
        </w:rPr>
        <w:t>jeho IČ</w:t>
      </w:r>
      <w:r>
        <w:rPr>
          <w:rFonts w:ascii="Arial" w:hAnsi="Arial" w:cs="Arial"/>
          <w:sz w:val="22"/>
          <w:szCs w:val="22"/>
        </w:rPr>
        <w:t xml:space="preserve"> byly před</w:t>
      </w:r>
      <w:r w:rsidR="00A93FCE">
        <w:rPr>
          <w:rFonts w:ascii="Arial" w:hAnsi="Arial" w:cs="Arial"/>
          <w:sz w:val="22"/>
          <w:szCs w:val="22"/>
        </w:rPr>
        <w:t>ané</w:t>
      </w:r>
      <w:r>
        <w:rPr>
          <w:rFonts w:ascii="Arial" w:hAnsi="Arial" w:cs="Arial"/>
          <w:sz w:val="22"/>
          <w:szCs w:val="22"/>
        </w:rPr>
        <w:t xml:space="preserve"> údaje </w:t>
      </w:r>
      <w:r w:rsidR="00A93FCE">
        <w:rPr>
          <w:rFonts w:ascii="Arial" w:hAnsi="Arial" w:cs="Arial"/>
          <w:sz w:val="22"/>
          <w:szCs w:val="22"/>
        </w:rPr>
        <w:t xml:space="preserve">opatřeny </w:t>
      </w:r>
      <w:r>
        <w:rPr>
          <w:rFonts w:ascii="Arial" w:hAnsi="Arial" w:cs="Arial"/>
          <w:sz w:val="22"/>
          <w:szCs w:val="22"/>
        </w:rPr>
        <w:t>kódem „111“ určeným pro rezidentské jednotky bez IČ. MPO již v</w:t>
      </w:r>
      <w:r w:rsidRPr="00ED5C98">
        <w:rPr>
          <w:rFonts w:ascii="Arial" w:hAnsi="Arial" w:cs="Arial"/>
          <w:sz w:val="22"/>
          <w:szCs w:val="22"/>
        </w:rPr>
        <w:t xml:space="preserve"> průběhu </w:t>
      </w:r>
      <w:r>
        <w:rPr>
          <w:rFonts w:ascii="Arial" w:hAnsi="Arial" w:cs="Arial"/>
          <w:sz w:val="22"/>
          <w:szCs w:val="22"/>
        </w:rPr>
        <w:t>kontroly začalo realizovat opatření</w:t>
      </w:r>
      <w:r w:rsidR="00373B37">
        <w:rPr>
          <w:rFonts w:ascii="Arial" w:hAnsi="Arial" w:cs="Arial"/>
          <w:sz w:val="22"/>
          <w:szCs w:val="22"/>
        </w:rPr>
        <w:t xml:space="preserve"> k nápravě tohoto systémového nedostatku</w:t>
      </w:r>
      <w:r w:rsidRPr="00ED5C98">
        <w:rPr>
          <w:rFonts w:ascii="Arial" w:hAnsi="Arial" w:cs="Arial"/>
          <w:sz w:val="22"/>
          <w:szCs w:val="22"/>
        </w:rPr>
        <w:t>.</w:t>
      </w:r>
    </w:p>
    <w:p w14:paraId="00D91839" w14:textId="77777777" w:rsidR="00E00DF2" w:rsidRDefault="00E00DF2" w:rsidP="00E00DF2">
      <w:pPr>
        <w:jc w:val="both"/>
        <w:rPr>
          <w:rFonts w:ascii="Arial" w:hAnsi="Arial" w:cs="Arial"/>
          <w:b/>
          <w:bCs/>
          <w:iCs/>
          <w:sz w:val="22"/>
          <w:szCs w:val="22"/>
        </w:rPr>
      </w:pPr>
    </w:p>
    <w:p w14:paraId="00D9183A" w14:textId="77777777" w:rsidR="00E00DF2" w:rsidRPr="00260B0C" w:rsidRDefault="00525767" w:rsidP="00E00DF2">
      <w:pPr>
        <w:jc w:val="both"/>
        <w:rPr>
          <w:rFonts w:ascii="Arial" w:hAnsi="Arial" w:cs="Arial"/>
          <w:b/>
          <w:bCs/>
          <w:iCs/>
          <w:sz w:val="22"/>
          <w:szCs w:val="22"/>
        </w:rPr>
      </w:pPr>
      <w:r w:rsidRPr="00260B0C">
        <w:rPr>
          <w:rFonts w:ascii="Arial" w:hAnsi="Arial" w:cs="Arial"/>
          <w:b/>
          <w:bCs/>
          <w:iCs/>
          <w:sz w:val="22"/>
          <w:szCs w:val="22"/>
        </w:rPr>
        <w:t xml:space="preserve">4.5 </w:t>
      </w:r>
      <w:r w:rsidR="00E00DF2" w:rsidRPr="00260B0C">
        <w:rPr>
          <w:rFonts w:ascii="Arial" w:hAnsi="Arial" w:cs="Arial"/>
          <w:b/>
          <w:bCs/>
          <w:iCs/>
          <w:sz w:val="22"/>
          <w:szCs w:val="22"/>
        </w:rPr>
        <w:t>Závazky z pracovněprávních vztahů</w:t>
      </w:r>
    </w:p>
    <w:p w14:paraId="00D9183B" w14:textId="77777777" w:rsidR="00E00DF2" w:rsidRDefault="00E00DF2" w:rsidP="00E00DF2">
      <w:pPr>
        <w:tabs>
          <w:tab w:val="left" w:pos="-993"/>
        </w:tabs>
        <w:jc w:val="both"/>
        <w:rPr>
          <w:rFonts w:ascii="Arial" w:hAnsi="Arial" w:cs="Arial"/>
          <w:sz w:val="22"/>
          <w:szCs w:val="22"/>
        </w:rPr>
      </w:pPr>
    </w:p>
    <w:p w14:paraId="00D9183C" w14:textId="77777777" w:rsidR="00E00DF2" w:rsidRPr="009B18EE" w:rsidRDefault="00E00DF2" w:rsidP="00E00DF2">
      <w:pPr>
        <w:tabs>
          <w:tab w:val="left" w:pos="-993"/>
        </w:tabs>
        <w:jc w:val="both"/>
        <w:rPr>
          <w:rFonts w:ascii="Arial" w:hAnsi="Arial" w:cs="Arial"/>
          <w:sz w:val="22"/>
          <w:szCs w:val="22"/>
        </w:rPr>
      </w:pPr>
      <w:r w:rsidRPr="00ED5C98">
        <w:rPr>
          <w:rFonts w:ascii="Arial" w:hAnsi="Arial" w:cs="Arial"/>
          <w:sz w:val="22"/>
          <w:szCs w:val="22"/>
        </w:rPr>
        <w:t>MPO nesprávně účtovalo o </w:t>
      </w:r>
      <w:r>
        <w:rPr>
          <w:rFonts w:ascii="Arial" w:hAnsi="Arial" w:cs="Arial"/>
          <w:sz w:val="22"/>
          <w:szCs w:val="22"/>
        </w:rPr>
        <w:t xml:space="preserve">závazcích </w:t>
      </w:r>
      <w:r w:rsidR="009F047D">
        <w:rPr>
          <w:rFonts w:ascii="Arial" w:hAnsi="Arial" w:cs="Arial"/>
          <w:sz w:val="22"/>
          <w:szCs w:val="22"/>
        </w:rPr>
        <w:t>z </w:t>
      </w:r>
      <w:r>
        <w:rPr>
          <w:rFonts w:ascii="Arial" w:hAnsi="Arial" w:cs="Arial"/>
          <w:sz w:val="22"/>
          <w:szCs w:val="22"/>
        </w:rPr>
        <w:t xml:space="preserve">titulu </w:t>
      </w:r>
      <w:r w:rsidRPr="00ED5C98">
        <w:rPr>
          <w:rFonts w:ascii="Arial" w:hAnsi="Arial" w:cs="Arial"/>
          <w:sz w:val="22"/>
          <w:szCs w:val="22"/>
        </w:rPr>
        <w:t>č</w:t>
      </w:r>
      <w:r>
        <w:rPr>
          <w:rFonts w:ascii="Arial" w:hAnsi="Arial" w:cs="Arial"/>
          <w:sz w:val="22"/>
          <w:szCs w:val="22"/>
        </w:rPr>
        <w:t>istých</w:t>
      </w:r>
      <w:r w:rsidRPr="00ED5C98">
        <w:rPr>
          <w:rFonts w:ascii="Arial" w:hAnsi="Arial" w:cs="Arial"/>
          <w:sz w:val="22"/>
          <w:szCs w:val="22"/>
        </w:rPr>
        <w:t xml:space="preserve"> m</w:t>
      </w:r>
      <w:r>
        <w:rPr>
          <w:rFonts w:ascii="Arial" w:hAnsi="Arial" w:cs="Arial"/>
          <w:sz w:val="22"/>
          <w:szCs w:val="22"/>
        </w:rPr>
        <w:t>e</w:t>
      </w:r>
      <w:r w:rsidRPr="00ED5C98">
        <w:rPr>
          <w:rFonts w:ascii="Arial" w:hAnsi="Arial" w:cs="Arial"/>
          <w:sz w:val="22"/>
          <w:szCs w:val="22"/>
        </w:rPr>
        <w:t>zd určen</w:t>
      </w:r>
      <w:r>
        <w:rPr>
          <w:rFonts w:ascii="Arial" w:hAnsi="Arial" w:cs="Arial"/>
          <w:sz w:val="22"/>
          <w:szCs w:val="22"/>
        </w:rPr>
        <w:t>ých</w:t>
      </w:r>
      <w:r w:rsidRPr="00ED5C98">
        <w:rPr>
          <w:rFonts w:ascii="Arial" w:hAnsi="Arial" w:cs="Arial"/>
          <w:sz w:val="22"/>
          <w:szCs w:val="22"/>
        </w:rPr>
        <w:t xml:space="preserve"> k bezhotovostní výplatě zaměstnanců</w:t>
      </w:r>
      <w:r>
        <w:rPr>
          <w:rFonts w:ascii="Arial" w:hAnsi="Arial" w:cs="Arial"/>
          <w:sz w:val="22"/>
          <w:szCs w:val="22"/>
        </w:rPr>
        <w:t>.</w:t>
      </w:r>
      <w:r w:rsidRPr="00ED5C98">
        <w:rPr>
          <w:rFonts w:ascii="Arial" w:hAnsi="Arial" w:cs="Arial"/>
          <w:sz w:val="22"/>
          <w:szCs w:val="22"/>
        </w:rPr>
        <w:t xml:space="preserve"> </w:t>
      </w:r>
      <w:r>
        <w:rPr>
          <w:rFonts w:ascii="Arial" w:hAnsi="Arial" w:cs="Arial"/>
          <w:sz w:val="22"/>
          <w:szCs w:val="22"/>
        </w:rPr>
        <w:t>Závazky z výplaty mezd</w:t>
      </w:r>
      <w:r w:rsidRPr="00ED5C98">
        <w:rPr>
          <w:rFonts w:ascii="Arial" w:hAnsi="Arial" w:cs="Arial"/>
          <w:sz w:val="22"/>
          <w:szCs w:val="22"/>
        </w:rPr>
        <w:t xml:space="preserve"> zaměstnancům mají charakter závazků z pracovněprávních vztahů</w:t>
      </w:r>
      <w:r>
        <w:rPr>
          <w:rFonts w:ascii="Arial" w:hAnsi="Arial" w:cs="Arial"/>
          <w:sz w:val="22"/>
          <w:szCs w:val="22"/>
        </w:rPr>
        <w:t>, nevyplacené částky mezd by proto k</w:t>
      </w:r>
      <w:r w:rsidRPr="00ED5C98">
        <w:rPr>
          <w:rFonts w:ascii="Arial" w:hAnsi="Arial" w:cs="Arial"/>
          <w:sz w:val="22"/>
          <w:szCs w:val="22"/>
        </w:rPr>
        <w:t xml:space="preserve">e konci každého měsíce </w:t>
      </w:r>
      <w:r>
        <w:rPr>
          <w:rFonts w:ascii="Arial" w:hAnsi="Arial" w:cs="Arial"/>
          <w:sz w:val="22"/>
          <w:szCs w:val="22"/>
        </w:rPr>
        <w:t xml:space="preserve">měly být </w:t>
      </w:r>
      <w:r w:rsidRPr="00ED5C98">
        <w:rPr>
          <w:rFonts w:ascii="Arial" w:hAnsi="Arial" w:cs="Arial"/>
          <w:sz w:val="22"/>
          <w:szCs w:val="22"/>
        </w:rPr>
        <w:t xml:space="preserve">na účtu </w:t>
      </w:r>
      <w:r w:rsidRPr="00DA7D84">
        <w:rPr>
          <w:rFonts w:ascii="Arial" w:hAnsi="Arial" w:cs="Arial"/>
          <w:sz w:val="22"/>
          <w:szCs w:val="22"/>
        </w:rPr>
        <w:t>331 –</w:t>
      </w:r>
      <w:r w:rsidRPr="00ED5C98">
        <w:rPr>
          <w:rFonts w:ascii="Arial" w:hAnsi="Arial" w:cs="Arial"/>
          <w:i/>
          <w:sz w:val="22"/>
          <w:szCs w:val="22"/>
        </w:rPr>
        <w:t xml:space="preserve"> Zaměstnanci</w:t>
      </w:r>
      <w:r w:rsidRPr="00260B0C">
        <w:rPr>
          <w:rFonts w:ascii="Arial" w:hAnsi="Arial" w:cs="Arial"/>
          <w:sz w:val="22"/>
          <w:szCs w:val="22"/>
        </w:rPr>
        <w:t>.</w:t>
      </w:r>
      <w:r>
        <w:rPr>
          <w:rFonts w:ascii="Arial" w:hAnsi="Arial" w:cs="Arial"/>
          <w:i/>
          <w:sz w:val="22"/>
          <w:szCs w:val="22"/>
        </w:rPr>
        <w:t xml:space="preserve"> </w:t>
      </w:r>
      <w:r w:rsidRPr="009B18EE">
        <w:rPr>
          <w:rFonts w:ascii="Arial" w:hAnsi="Arial" w:cs="Arial"/>
          <w:sz w:val="22"/>
          <w:szCs w:val="22"/>
        </w:rPr>
        <w:t xml:space="preserve">MPO však závazky </w:t>
      </w:r>
      <w:r w:rsidR="009F047D">
        <w:rPr>
          <w:rFonts w:ascii="Arial" w:hAnsi="Arial" w:cs="Arial"/>
          <w:sz w:val="22"/>
          <w:szCs w:val="22"/>
        </w:rPr>
        <w:t>z </w:t>
      </w:r>
      <w:r w:rsidRPr="009B18EE">
        <w:rPr>
          <w:rFonts w:ascii="Arial" w:hAnsi="Arial" w:cs="Arial"/>
          <w:sz w:val="22"/>
          <w:szCs w:val="22"/>
        </w:rPr>
        <w:t xml:space="preserve">čistých mezd určených k bezhotovostní výplatě zaměstnanců účtovalo na účet </w:t>
      </w:r>
      <w:r w:rsidRPr="00DA7D84">
        <w:rPr>
          <w:rFonts w:ascii="Arial" w:hAnsi="Arial" w:cs="Arial"/>
          <w:sz w:val="22"/>
          <w:szCs w:val="22"/>
        </w:rPr>
        <w:t>378 –</w:t>
      </w:r>
      <w:r w:rsidRPr="009B18EE">
        <w:rPr>
          <w:rFonts w:ascii="Arial" w:hAnsi="Arial" w:cs="Arial"/>
          <w:i/>
          <w:sz w:val="22"/>
          <w:szCs w:val="22"/>
        </w:rPr>
        <w:t xml:space="preserve"> Ostatní krátkodobé závazky</w:t>
      </w:r>
      <w:r>
        <w:rPr>
          <w:rFonts w:ascii="Arial" w:hAnsi="Arial" w:cs="Arial"/>
          <w:sz w:val="22"/>
          <w:szCs w:val="22"/>
        </w:rPr>
        <w:t>. Z</w:t>
      </w:r>
      <w:r w:rsidRPr="009B18EE">
        <w:rPr>
          <w:rFonts w:ascii="Arial" w:hAnsi="Arial" w:cs="Arial"/>
          <w:sz w:val="22"/>
          <w:szCs w:val="22"/>
        </w:rPr>
        <w:t>působ výplaty (hotovostní či bezhotovostní)</w:t>
      </w:r>
      <w:r w:rsidR="0034684C">
        <w:rPr>
          <w:rFonts w:ascii="Arial" w:hAnsi="Arial" w:cs="Arial"/>
          <w:sz w:val="22"/>
          <w:szCs w:val="22"/>
        </w:rPr>
        <w:t xml:space="preserve"> </w:t>
      </w:r>
      <w:r w:rsidR="00317A07">
        <w:rPr>
          <w:rFonts w:ascii="Arial" w:hAnsi="Arial" w:cs="Arial"/>
          <w:sz w:val="22"/>
          <w:szCs w:val="22"/>
        </w:rPr>
        <w:t>přitom</w:t>
      </w:r>
      <w:r w:rsidRPr="009B18EE">
        <w:rPr>
          <w:rFonts w:ascii="Arial" w:hAnsi="Arial" w:cs="Arial"/>
          <w:sz w:val="22"/>
          <w:szCs w:val="22"/>
        </w:rPr>
        <w:t xml:space="preserve"> nemá</w:t>
      </w:r>
      <w:r>
        <w:rPr>
          <w:rFonts w:ascii="Arial" w:hAnsi="Arial" w:cs="Arial"/>
          <w:sz w:val="22"/>
          <w:szCs w:val="22"/>
        </w:rPr>
        <w:t xml:space="preserve"> vliv</w:t>
      </w:r>
      <w:r w:rsidRPr="009B18EE">
        <w:rPr>
          <w:rFonts w:ascii="Arial" w:hAnsi="Arial" w:cs="Arial"/>
          <w:sz w:val="22"/>
          <w:szCs w:val="22"/>
        </w:rPr>
        <w:t xml:space="preserve"> na charakter závazku</w:t>
      </w:r>
      <w:r>
        <w:rPr>
          <w:rFonts w:ascii="Arial" w:hAnsi="Arial" w:cs="Arial"/>
          <w:sz w:val="22"/>
          <w:szCs w:val="22"/>
        </w:rPr>
        <w:t>.</w:t>
      </w:r>
    </w:p>
    <w:p w14:paraId="00D9183D" w14:textId="77777777" w:rsidR="00E00DF2" w:rsidRPr="009B18EE" w:rsidRDefault="00E00DF2" w:rsidP="00E00DF2">
      <w:pPr>
        <w:jc w:val="both"/>
        <w:rPr>
          <w:rFonts w:ascii="Arial" w:hAnsi="Arial" w:cs="Arial"/>
          <w:bCs/>
          <w:iCs/>
          <w:sz w:val="22"/>
          <w:szCs w:val="22"/>
        </w:rPr>
      </w:pPr>
    </w:p>
    <w:p w14:paraId="00D9183E" w14:textId="77777777" w:rsidR="00E00DF2" w:rsidRPr="00ED5C98" w:rsidRDefault="00E00DF2" w:rsidP="00E00DF2">
      <w:pPr>
        <w:jc w:val="both"/>
        <w:rPr>
          <w:rFonts w:ascii="Arial" w:hAnsi="Arial" w:cs="Arial"/>
          <w:bCs/>
          <w:iCs/>
          <w:sz w:val="22"/>
          <w:szCs w:val="22"/>
        </w:rPr>
      </w:pPr>
      <w:r w:rsidRPr="00ED5C98">
        <w:rPr>
          <w:rFonts w:ascii="Arial" w:hAnsi="Arial" w:cs="Arial"/>
          <w:bCs/>
          <w:iCs/>
          <w:sz w:val="22"/>
          <w:szCs w:val="22"/>
        </w:rPr>
        <w:t>Nesprávně zach</w:t>
      </w:r>
      <w:r w:rsidR="009725DF">
        <w:rPr>
          <w:rFonts w:ascii="Arial" w:hAnsi="Arial" w:cs="Arial"/>
          <w:bCs/>
          <w:iCs/>
          <w:sz w:val="22"/>
          <w:szCs w:val="22"/>
        </w:rPr>
        <w:t xml:space="preserve">ycené údaje </w:t>
      </w:r>
      <w:r>
        <w:rPr>
          <w:rFonts w:ascii="Arial" w:hAnsi="Arial" w:cs="Arial"/>
          <w:bCs/>
          <w:iCs/>
          <w:sz w:val="22"/>
          <w:szCs w:val="22"/>
        </w:rPr>
        <w:t>následně</w:t>
      </w:r>
      <w:r w:rsidRPr="00ED5C98">
        <w:rPr>
          <w:rFonts w:ascii="Arial" w:hAnsi="Arial" w:cs="Arial"/>
          <w:bCs/>
          <w:iCs/>
          <w:sz w:val="22"/>
          <w:szCs w:val="22"/>
        </w:rPr>
        <w:t xml:space="preserve"> </w:t>
      </w:r>
      <w:r w:rsidR="00A93FCE" w:rsidRPr="00ED5C98">
        <w:rPr>
          <w:rFonts w:ascii="Arial" w:hAnsi="Arial" w:cs="Arial"/>
          <w:bCs/>
          <w:iCs/>
          <w:sz w:val="22"/>
          <w:szCs w:val="22"/>
        </w:rPr>
        <w:t>MPO</w:t>
      </w:r>
      <w:r w:rsidR="00A93FCE">
        <w:rPr>
          <w:rFonts w:ascii="Arial" w:hAnsi="Arial" w:cs="Arial"/>
          <w:bCs/>
          <w:iCs/>
          <w:sz w:val="22"/>
          <w:szCs w:val="22"/>
        </w:rPr>
        <w:t xml:space="preserve"> </w:t>
      </w:r>
      <w:r w:rsidRPr="00ED5C98">
        <w:rPr>
          <w:rFonts w:ascii="Arial" w:hAnsi="Arial" w:cs="Arial"/>
          <w:bCs/>
          <w:iCs/>
          <w:sz w:val="22"/>
          <w:szCs w:val="22"/>
        </w:rPr>
        <w:t xml:space="preserve">přeneslo </w:t>
      </w:r>
      <w:r w:rsidR="00A104C2">
        <w:rPr>
          <w:rFonts w:ascii="Arial" w:hAnsi="Arial" w:cs="Arial"/>
          <w:bCs/>
          <w:iCs/>
          <w:sz w:val="22"/>
          <w:szCs w:val="22"/>
        </w:rPr>
        <w:t>do údajů vykázaných</w:t>
      </w:r>
      <w:r w:rsidR="00E60F36">
        <w:rPr>
          <w:rFonts w:ascii="Arial" w:hAnsi="Arial" w:cs="Arial"/>
          <w:bCs/>
          <w:iCs/>
          <w:sz w:val="22"/>
          <w:szCs w:val="22"/>
        </w:rPr>
        <w:t xml:space="preserve"> </w:t>
      </w:r>
      <w:r w:rsidR="00A104C2">
        <w:rPr>
          <w:rFonts w:ascii="Arial" w:hAnsi="Arial" w:cs="Arial"/>
          <w:bCs/>
          <w:iCs/>
          <w:sz w:val="22"/>
          <w:szCs w:val="22"/>
        </w:rPr>
        <w:t>v PAP k 31. </w:t>
      </w:r>
      <w:r>
        <w:rPr>
          <w:rFonts w:ascii="Arial" w:hAnsi="Arial" w:cs="Arial"/>
          <w:bCs/>
          <w:iCs/>
          <w:sz w:val="22"/>
          <w:szCs w:val="22"/>
        </w:rPr>
        <w:t>prosinci</w:t>
      </w:r>
      <w:r w:rsidRPr="00ED5C98">
        <w:rPr>
          <w:rFonts w:ascii="Arial" w:hAnsi="Arial" w:cs="Arial"/>
          <w:bCs/>
          <w:iCs/>
          <w:sz w:val="22"/>
          <w:szCs w:val="22"/>
        </w:rPr>
        <w:t xml:space="preserve"> 2012. Částka takto vykázaných závazků činila 646 661 549 Kč a v PAP MPO se promítla v důsledku řetězení do částí I, VII</w:t>
      </w:r>
      <w:r>
        <w:rPr>
          <w:rFonts w:ascii="Arial" w:hAnsi="Arial" w:cs="Arial"/>
          <w:bCs/>
          <w:iCs/>
          <w:sz w:val="22"/>
          <w:szCs w:val="22"/>
        </w:rPr>
        <w:t xml:space="preserve"> a</w:t>
      </w:r>
      <w:r w:rsidRPr="00ED5C98">
        <w:rPr>
          <w:rFonts w:ascii="Arial" w:hAnsi="Arial" w:cs="Arial"/>
          <w:bCs/>
          <w:iCs/>
          <w:sz w:val="22"/>
          <w:szCs w:val="22"/>
        </w:rPr>
        <w:t xml:space="preserve"> X v celkové výši 3 074 064 814 Kč</w:t>
      </w:r>
      <w:r w:rsidR="00A93FCE">
        <w:rPr>
          <w:rFonts w:ascii="Arial" w:hAnsi="Arial" w:cs="Arial"/>
          <w:bCs/>
          <w:iCs/>
          <w:sz w:val="22"/>
          <w:szCs w:val="22"/>
        </w:rPr>
        <w:t>,</w:t>
      </w:r>
      <w:r w:rsidRPr="00ED5C98">
        <w:rPr>
          <w:rFonts w:ascii="Arial" w:hAnsi="Arial" w:cs="Arial"/>
          <w:bCs/>
          <w:iCs/>
          <w:sz w:val="22"/>
          <w:szCs w:val="22"/>
        </w:rPr>
        <w:t xml:space="preserve"> </w:t>
      </w:r>
      <w:r w:rsidR="00A104C2">
        <w:rPr>
          <w:rFonts w:ascii="Arial" w:hAnsi="Arial" w:cs="Arial"/>
          <w:bCs/>
          <w:iCs/>
          <w:sz w:val="22"/>
          <w:szCs w:val="22"/>
        </w:rPr>
        <w:t>a to v </w:t>
      </w:r>
      <w:r>
        <w:rPr>
          <w:rFonts w:ascii="Arial" w:hAnsi="Arial" w:cs="Arial"/>
          <w:bCs/>
          <w:iCs/>
          <w:sz w:val="22"/>
          <w:szCs w:val="22"/>
        </w:rPr>
        <w:t>rámci údajů o PS</w:t>
      </w:r>
      <w:r w:rsidR="00290C84">
        <w:rPr>
          <w:rFonts w:ascii="Arial" w:hAnsi="Arial" w:cs="Arial"/>
          <w:bCs/>
          <w:iCs/>
          <w:sz w:val="22"/>
          <w:szCs w:val="22"/>
        </w:rPr>
        <w:t xml:space="preserve"> </w:t>
      </w:r>
      <w:r w:rsidR="00A93FCE">
        <w:rPr>
          <w:rFonts w:ascii="Arial" w:hAnsi="Arial" w:cs="Arial"/>
          <w:bCs/>
          <w:iCs/>
          <w:sz w:val="22"/>
          <w:szCs w:val="22"/>
        </w:rPr>
        <w:t xml:space="preserve">a KS i v rámci údajů o </w:t>
      </w:r>
      <w:r w:rsidR="00290C84">
        <w:rPr>
          <w:rFonts w:ascii="Arial" w:hAnsi="Arial" w:cs="Arial"/>
          <w:bCs/>
          <w:iCs/>
          <w:sz w:val="22"/>
          <w:szCs w:val="22"/>
        </w:rPr>
        <w:t>obratech na</w:t>
      </w:r>
      <w:r w:rsidR="00A93FCE">
        <w:rPr>
          <w:rFonts w:ascii="Arial" w:hAnsi="Arial" w:cs="Arial"/>
          <w:bCs/>
          <w:iCs/>
          <w:sz w:val="22"/>
          <w:szCs w:val="22"/>
        </w:rPr>
        <w:t xml:space="preserve"> stranách účtů</w:t>
      </w:r>
      <w:r>
        <w:rPr>
          <w:rFonts w:ascii="Arial" w:hAnsi="Arial" w:cs="Arial"/>
          <w:bCs/>
          <w:iCs/>
          <w:sz w:val="22"/>
          <w:szCs w:val="22"/>
        </w:rPr>
        <w:t xml:space="preserve"> MD</w:t>
      </w:r>
      <w:r w:rsidR="00A93FCE">
        <w:rPr>
          <w:rFonts w:ascii="Arial" w:hAnsi="Arial" w:cs="Arial"/>
          <w:bCs/>
          <w:iCs/>
          <w:sz w:val="22"/>
          <w:szCs w:val="22"/>
        </w:rPr>
        <w:t xml:space="preserve"> a D </w:t>
      </w:r>
      <w:r>
        <w:rPr>
          <w:rFonts w:ascii="Arial" w:hAnsi="Arial" w:cs="Arial"/>
          <w:bCs/>
          <w:iCs/>
          <w:sz w:val="22"/>
          <w:szCs w:val="22"/>
        </w:rPr>
        <w:t>(viz tabulka č.</w:t>
      </w:r>
      <w:r w:rsidR="00A93FCE">
        <w:rPr>
          <w:rFonts w:ascii="Arial" w:hAnsi="Arial" w:cs="Arial"/>
          <w:bCs/>
          <w:iCs/>
          <w:sz w:val="22"/>
          <w:szCs w:val="22"/>
        </w:rPr>
        <w:t> </w:t>
      </w:r>
      <w:r>
        <w:rPr>
          <w:rFonts w:ascii="Arial" w:hAnsi="Arial" w:cs="Arial"/>
          <w:bCs/>
          <w:iCs/>
          <w:sz w:val="22"/>
          <w:szCs w:val="22"/>
        </w:rPr>
        <w:t>10).</w:t>
      </w:r>
    </w:p>
    <w:p w14:paraId="00D9183F" w14:textId="77777777" w:rsidR="00E00DF2" w:rsidRDefault="00E00DF2" w:rsidP="00E00DF2">
      <w:pPr>
        <w:jc w:val="both"/>
        <w:rPr>
          <w:rFonts w:ascii="Arial" w:hAnsi="Arial" w:cs="Arial"/>
          <w:b/>
          <w:sz w:val="22"/>
          <w:szCs w:val="22"/>
          <w:highlight w:val="yellow"/>
        </w:rPr>
      </w:pPr>
    </w:p>
    <w:p w14:paraId="00D91840" w14:textId="61279418" w:rsidR="00E00DF2" w:rsidRDefault="00E00DF2" w:rsidP="00260B0C">
      <w:pPr>
        <w:tabs>
          <w:tab w:val="right" w:pos="9072"/>
        </w:tabs>
        <w:spacing w:after="40"/>
        <w:ind w:left="1621" w:hanging="1621"/>
        <w:rPr>
          <w:rFonts w:ascii="Arial" w:hAnsi="Arial" w:cs="Arial"/>
          <w:b/>
          <w:sz w:val="22"/>
          <w:szCs w:val="22"/>
        </w:rPr>
      </w:pPr>
      <w:r w:rsidRPr="001276EF">
        <w:rPr>
          <w:rFonts w:ascii="Arial" w:hAnsi="Arial" w:cs="Arial"/>
          <w:b/>
          <w:sz w:val="22"/>
          <w:szCs w:val="22"/>
        </w:rPr>
        <w:t>Tabulka č. 10</w:t>
      </w:r>
      <w:r w:rsidRPr="002A7A11">
        <w:rPr>
          <w:rFonts w:ascii="Arial" w:hAnsi="Arial" w:cs="Arial"/>
          <w:b/>
          <w:sz w:val="22"/>
          <w:szCs w:val="22"/>
        </w:rPr>
        <w:t xml:space="preserve"> –</w:t>
      </w:r>
      <w:r w:rsidR="00A93FCE">
        <w:rPr>
          <w:rFonts w:ascii="Arial" w:hAnsi="Arial" w:cs="Arial"/>
          <w:b/>
          <w:sz w:val="22"/>
          <w:szCs w:val="22"/>
        </w:rPr>
        <w:t xml:space="preserve"> </w:t>
      </w:r>
      <w:r>
        <w:rPr>
          <w:rFonts w:ascii="Arial" w:hAnsi="Arial" w:cs="Arial"/>
          <w:b/>
          <w:sz w:val="22"/>
          <w:szCs w:val="22"/>
        </w:rPr>
        <w:t xml:space="preserve">Nesprávnosti přenesené z účetnictví do </w:t>
      </w:r>
      <w:r w:rsidRPr="002A7A11">
        <w:rPr>
          <w:rFonts w:ascii="Arial" w:hAnsi="Arial" w:cs="Arial"/>
          <w:b/>
          <w:sz w:val="22"/>
          <w:szCs w:val="22"/>
        </w:rPr>
        <w:t>PAP MPO k 31.</w:t>
      </w:r>
      <w:r w:rsidR="00F61FA1">
        <w:rPr>
          <w:rFonts w:ascii="Arial" w:hAnsi="Arial" w:cs="Arial"/>
          <w:b/>
          <w:sz w:val="22"/>
          <w:szCs w:val="22"/>
        </w:rPr>
        <w:t> p</w:t>
      </w:r>
      <w:r>
        <w:rPr>
          <w:rFonts w:ascii="Arial" w:hAnsi="Arial" w:cs="Arial"/>
          <w:b/>
          <w:sz w:val="22"/>
          <w:szCs w:val="22"/>
        </w:rPr>
        <w:t>rosinci</w:t>
      </w:r>
      <w:r w:rsidR="00F61FA1">
        <w:rPr>
          <w:rFonts w:ascii="Arial" w:hAnsi="Arial" w:cs="Arial"/>
          <w:b/>
          <w:sz w:val="22"/>
          <w:szCs w:val="22"/>
        </w:rPr>
        <w:t> </w:t>
      </w:r>
      <w:r w:rsidRPr="002A7A11">
        <w:rPr>
          <w:rFonts w:ascii="Arial" w:hAnsi="Arial" w:cs="Arial"/>
          <w:b/>
          <w:sz w:val="22"/>
          <w:szCs w:val="22"/>
        </w:rPr>
        <w:t>2012</w:t>
      </w:r>
      <w:bookmarkStart w:id="0" w:name="_GoBack"/>
      <w:bookmarkEnd w:id="0"/>
      <w:r>
        <w:rPr>
          <w:rFonts w:ascii="Arial" w:hAnsi="Arial" w:cs="Arial"/>
          <w:b/>
          <w:sz w:val="22"/>
          <w:szCs w:val="22"/>
        </w:rPr>
        <w:t xml:space="preserve"> v</w:t>
      </w:r>
      <w:r w:rsidR="009F047D">
        <w:rPr>
          <w:rFonts w:ascii="Arial" w:hAnsi="Arial" w:cs="Arial"/>
          <w:b/>
          <w:sz w:val="22"/>
          <w:szCs w:val="22"/>
        </w:rPr>
        <w:t> </w:t>
      </w:r>
      <w:r>
        <w:rPr>
          <w:rFonts w:ascii="Arial" w:hAnsi="Arial" w:cs="Arial"/>
          <w:b/>
          <w:sz w:val="22"/>
          <w:szCs w:val="22"/>
        </w:rPr>
        <w:t xml:space="preserve">důsledku používání nesprávného účtu pro </w:t>
      </w:r>
      <w:r w:rsidR="00A93FCE">
        <w:rPr>
          <w:rFonts w:ascii="Arial" w:hAnsi="Arial" w:cs="Arial"/>
          <w:b/>
          <w:sz w:val="22"/>
          <w:szCs w:val="22"/>
        </w:rPr>
        <w:t xml:space="preserve">účtování </w:t>
      </w:r>
      <w:r>
        <w:rPr>
          <w:rFonts w:ascii="Arial" w:hAnsi="Arial" w:cs="Arial"/>
          <w:b/>
          <w:sz w:val="22"/>
          <w:szCs w:val="22"/>
        </w:rPr>
        <w:t>závazk</w:t>
      </w:r>
      <w:r w:rsidR="00A93FCE">
        <w:rPr>
          <w:rFonts w:ascii="Arial" w:hAnsi="Arial" w:cs="Arial"/>
          <w:b/>
          <w:sz w:val="22"/>
          <w:szCs w:val="22"/>
        </w:rPr>
        <w:t>ů</w:t>
      </w:r>
      <w:r>
        <w:rPr>
          <w:rFonts w:ascii="Arial" w:hAnsi="Arial" w:cs="Arial"/>
          <w:b/>
          <w:sz w:val="22"/>
          <w:szCs w:val="22"/>
        </w:rPr>
        <w:t xml:space="preserve"> </w:t>
      </w:r>
      <w:r w:rsidR="009F047D">
        <w:rPr>
          <w:rFonts w:ascii="Arial" w:hAnsi="Arial" w:cs="Arial"/>
          <w:b/>
          <w:sz w:val="22"/>
          <w:szCs w:val="22"/>
        </w:rPr>
        <w:t>z </w:t>
      </w:r>
      <w:r>
        <w:rPr>
          <w:rFonts w:ascii="Arial" w:hAnsi="Arial" w:cs="Arial"/>
          <w:b/>
          <w:sz w:val="22"/>
          <w:szCs w:val="22"/>
        </w:rPr>
        <w:t xml:space="preserve">pracovněprávních vztahů </w:t>
      </w:r>
      <w:r w:rsidR="009F047D">
        <w:rPr>
          <w:rFonts w:ascii="Arial" w:hAnsi="Arial" w:cs="Arial"/>
          <w:b/>
          <w:sz w:val="22"/>
          <w:szCs w:val="22"/>
        </w:rPr>
        <w:tab/>
      </w:r>
      <w:r>
        <w:rPr>
          <w:rFonts w:ascii="Arial" w:hAnsi="Arial" w:cs="Arial"/>
          <w:b/>
          <w:sz w:val="22"/>
          <w:szCs w:val="22"/>
        </w:rPr>
        <w:t>(v Kč)</w:t>
      </w:r>
    </w:p>
    <w:tbl>
      <w:tblPr>
        <w:tblW w:w="0" w:type="auto"/>
        <w:tblInd w:w="40" w:type="dxa"/>
        <w:tblCellMar>
          <w:left w:w="70" w:type="dxa"/>
          <w:right w:w="70" w:type="dxa"/>
        </w:tblCellMar>
        <w:tblLook w:val="0000" w:firstRow="0" w:lastRow="0" w:firstColumn="0" w:lastColumn="0" w:noHBand="0" w:noVBand="0"/>
      </w:tblPr>
      <w:tblGrid>
        <w:gridCol w:w="1041"/>
        <w:gridCol w:w="1542"/>
        <w:gridCol w:w="1041"/>
        <w:gridCol w:w="1542"/>
        <w:gridCol w:w="2377"/>
        <w:gridCol w:w="1559"/>
      </w:tblGrid>
      <w:tr w:rsidR="00E00DF2" w:rsidRPr="00ED5C98" w14:paraId="00D91845" w14:textId="77777777" w:rsidTr="00260B0C">
        <w:trPr>
          <w:trHeight w:val="290"/>
        </w:trPr>
        <w:tc>
          <w:tcPr>
            <w:tcW w:w="0" w:type="auto"/>
            <w:gridSpan w:val="2"/>
            <w:tcBorders>
              <w:top w:val="single" w:sz="12" w:space="0" w:color="auto"/>
              <w:left w:val="single" w:sz="12" w:space="0" w:color="auto"/>
              <w:bottom w:val="single" w:sz="6" w:space="0" w:color="auto"/>
              <w:right w:val="nil"/>
            </w:tcBorders>
            <w:shd w:val="clear" w:color="auto" w:fill="C6D9F1" w:themeFill="text2" w:themeFillTint="33"/>
            <w:vAlign w:val="center"/>
          </w:tcPr>
          <w:p w14:paraId="00D91841"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I</w:t>
            </w:r>
          </w:p>
        </w:tc>
        <w:tc>
          <w:tcPr>
            <w:tcW w:w="0" w:type="auto"/>
            <w:gridSpan w:val="2"/>
            <w:tcBorders>
              <w:top w:val="single" w:sz="12" w:space="0" w:color="auto"/>
              <w:left w:val="single" w:sz="12" w:space="0" w:color="auto"/>
              <w:bottom w:val="single" w:sz="6" w:space="0" w:color="auto"/>
              <w:right w:val="nil"/>
            </w:tcBorders>
            <w:shd w:val="clear" w:color="auto" w:fill="C6D9F1" w:themeFill="text2" w:themeFillTint="33"/>
            <w:vAlign w:val="center"/>
          </w:tcPr>
          <w:p w14:paraId="00D91842"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VII</w:t>
            </w:r>
          </w:p>
        </w:tc>
        <w:tc>
          <w:tcPr>
            <w:tcW w:w="2377"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43" w14:textId="77777777" w:rsidR="00E00DF2" w:rsidRPr="00ED5C98" w:rsidRDefault="00E00DF2" w:rsidP="00260B0C">
            <w:pPr>
              <w:autoSpaceDE w:val="0"/>
              <w:autoSpaceDN w:val="0"/>
              <w:adjustRightInd w:val="0"/>
              <w:spacing w:before="4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Část PAP X</w:t>
            </w:r>
          </w:p>
        </w:tc>
        <w:tc>
          <w:tcPr>
            <w:tcW w:w="1559" w:type="dxa"/>
            <w:vMerge w:val="restart"/>
            <w:tcBorders>
              <w:top w:val="single" w:sz="12" w:space="0" w:color="auto"/>
              <w:left w:val="single" w:sz="12" w:space="0" w:color="auto"/>
              <w:right w:val="single" w:sz="12" w:space="0" w:color="auto"/>
            </w:tcBorders>
            <w:shd w:val="clear" w:color="auto" w:fill="C6D9F1" w:themeFill="text2" w:themeFillTint="33"/>
            <w:vAlign w:val="center"/>
          </w:tcPr>
          <w:p w14:paraId="00D91844"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Celkový součet</w:t>
            </w:r>
          </w:p>
        </w:tc>
      </w:tr>
      <w:tr w:rsidR="00E00DF2" w:rsidRPr="00ED5C98" w14:paraId="00D91850" w14:textId="77777777" w:rsidTr="00260B0C">
        <w:trPr>
          <w:trHeight w:val="290"/>
        </w:trPr>
        <w:tc>
          <w:tcPr>
            <w:tcW w:w="0" w:type="auto"/>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tcPr>
          <w:p w14:paraId="00D91846" w14:textId="77777777" w:rsidR="00E00DF2" w:rsidRPr="00ED5C98" w:rsidRDefault="00A93FCE"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ED5C98">
              <w:rPr>
                <w:rFonts w:ascii="Arial" w:eastAsiaTheme="minorHAnsi" w:hAnsi="Arial" w:cs="Arial"/>
                <w:b/>
                <w:bCs/>
                <w:color w:val="000000"/>
                <w:sz w:val="18"/>
                <w:szCs w:val="18"/>
              </w:rPr>
              <w:t xml:space="preserve"> 331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0D91847" w14:textId="77777777" w:rsidR="00E00DF2" w:rsidRDefault="00A93FCE"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 xml:space="preserve">čet 378 </w:t>
            </w:r>
          </w:p>
          <w:p w14:paraId="00D91848" w14:textId="77777777" w:rsidR="00E00DF2"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 </w:t>
            </w:r>
          </w:p>
          <w:p w14:paraId="00D91849"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 xml:space="preserve">AČ </w:t>
            </w:r>
            <w:r>
              <w:rPr>
                <w:rFonts w:ascii="Arial" w:eastAsiaTheme="minorHAnsi" w:hAnsi="Arial" w:cs="Arial"/>
                <w:b/>
                <w:bCs/>
                <w:color w:val="000000"/>
                <w:sz w:val="18"/>
                <w:szCs w:val="18"/>
              </w:rPr>
              <w:t xml:space="preserve">k účtu </w:t>
            </w:r>
            <w:r w:rsidRPr="00ED5C98">
              <w:rPr>
                <w:rFonts w:ascii="Arial" w:eastAsiaTheme="minorHAnsi" w:hAnsi="Arial" w:cs="Arial"/>
                <w:b/>
                <w:bCs/>
                <w:color w:val="000000"/>
                <w:sz w:val="18"/>
                <w:szCs w:val="18"/>
              </w:rPr>
              <w:t>378</w:t>
            </w:r>
          </w:p>
        </w:tc>
        <w:tc>
          <w:tcPr>
            <w:tcW w:w="0" w:type="auto"/>
            <w:tcBorders>
              <w:top w:val="single" w:sz="6" w:space="0" w:color="auto"/>
              <w:left w:val="single" w:sz="12" w:space="0" w:color="auto"/>
              <w:bottom w:val="single" w:sz="6" w:space="0" w:color="auto"/>
              <w:right w:val="single" w:sz="6" w:space="0" w:color="auto"/>
            </w:tcBorders>
            <w:shd w:val="clear" w:color="auto" w:fill="C6D9F1" w:themeFill="text2" w:themeFillTint="33"/>
            <w:vAlign w:val="center"/>
          </w:tcPr>
          <w:p w14:paraId="00D9184A" w14:textId="77777777" w:rsidR="00E00DF2" w:rsidRPr="00ED5C98" w:rsidRDefault="00A93FCE"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čet</w:t>
            </w:r>
            <w:r w:rsidR="00E00DF2" w:rsidRPr="00ED5C98">
              <w:rPr>
                <w:rFonts w:ascii="Arial" w:eastAsiaTheme="minorHAnsi" w:hAnsi="Arial" w:cs="Arial"/>
                <w:b/>
                <w:bCs/>
                <w:color w:val="000000"/>
                <w:sz w:val="18"/>
                <w:szCs w:val="18"/>
              </w:rPr>
              <w:t xml:space="preserve"> 331</w:t>
            </w:r>
          </w:p>
        </w:tc>
        <w:tc>
          <w:tcPr>
            <w:tcW w:w="0" w:type="auto"/>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0D9184B" w14:textId="77777777" w:rsidR="00E00DF2" w:rsidRDefault="00A93FCE"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Ú</w:t>
            </w:r>
            <w:r w:rsidR="00E00DF2">
              <w:rPr>
                <w:rFonts w:ascii="Arial" w:eastAsiaTheme="minorHAnsi" w:hAnsi="Arial" w:cs="Arial"/>
                <w:b/>
                <w:bCs/>
                <w:color w:val="000000"/>
                <w:sz w:val="18"/>
                <w:szCs w:val="18"/>
              </w:rPr>
              <w:t xml:space="preserve">čet 378 </w:t>
            </w:r>
          </w:p>
          <w:p w14:paraId="00D9184C" w14:textId="77777777" w:rsidR="00E00DF2"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 xml:space="preserve">+ </w:t>
            </w:r>
          </w:p>
          <w:p w14:paraId="00D9184D"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 xml:space="preserve">AČ </w:t>
            </w:r>
            <w:r>
              <w:rPr>
                <w:rFonts w:ascii="Arial" w:eastAsiaTheme="minorHAnsi" w:hAnsi="Arial" w:cs="Arial"/>
                <w:b/>
                <w:bCs/>
                <w:color w:val="000000"/>
                <w:sz w:val="18"/>
                <w:szCs w:val="18"/>
              </w:rPr>
              <w:t xml:space="preserve">k účtu </w:t>
            </w:r>
            <w:r w:rsidRPr="00ED5C98">
              <w:rPr>
                <w:rFonts w:ascii="Arial" w:eastAsiaTheme="minorHAnsi" w:hAnsi="Arial" w:cs="Arial"/>
                <w:b/>
                <w:bCs/>
                <w:color w:val="000000"/>
                <w:sz w:val="18"/>
                <w:szCs w:val="18"/>
              </w:rPr>
              <w:t>378</w:t>
            </w:r>
          </w:p>
        </w:tc>
        <w:tc>
          <w:tcPr>
            <w:tcW w:w="2377" w:type="dxa"/>
            <w:tcBorders>
              <w:top w:val="single" w:sz="6" w:space="0" w:color="auto"/>
              <w:left w:val="single" w:sz="12" w:space="0" w:color="auto"/>
              <w:bottom w:val="single" w:sz="6" w:space="0" w:color="auto"/>
              <w:right w:val="single" w:sz="12" w:space="0" w:color="auto"/>
            </w:tcBorders>
            <w:shd w:val="clear" w:color="auto" w:fill="C6D9F1" w:themeFill="text2" w:themeFillTint="33"/>
            <w:vAlign w:val="center"/>
          </w:tcPr>
          <w:p w14:paraId="00D9184E"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AČ k účtu</w:t>
            </w:r>
            <w:r w:rsidRPr="00ED5C98">
              <w:rPr>
                <w:rFonts w:ascii="Arial" w:eastAsiaTheme="minorHAnsi" w:hAnsi="Arial" w:cs="Arial"/>
                <w:b/>
                <w:bCs/>
                <w:color w:val="000000"/>
                <w:sz w:val="18"/>
                <w:szCs w:val="18"/>
              </w:rPr>
              <w:t xml:space="preserve"> 378</w:t>
            </w:r>
          </w:p>
        </w:tc>
        <w:tc>
          <w:tcPr>
            <w:tcW w:w="1559" w:type="dxa"/>
            <w:vMerge/>
            <w:tcBorders>
              <w:left w:val="single" w:sz="12" w:space="0" w:color="auto"/>
              <w:bottom w:val="single" w:sz="6" w:space="0" w:color="auto"/>
              <w:right w:val="single" w:sz="12" w:space="0" w:color="auto"/>
            </w:tcBorders>
            <w:shd w:val="clear" w:color="auto" w:fill="D9D9D9" w:themeFill="background1" w:themeFillShade="D9"/>
          </w:tcPr>
          <w:p w14:paraId="00D9184F" w14:textId="77777777" w:rsidR="00E00DF2" w:rsidRPr="00ED5C98" w:rsidRDefault="00E00DF2" w:rsidP="007C7817">
            <w:pPr>
              <w:autoSpaceDE w:val="0"/>
              <w:autoSpaceDN w:val="0"/>
              <w:adjustRightInd w:val="0"/>
              <w:jc w:val="center"/>
              <w:rPr>
                <w:rFonts w:ascii="Arial" w:eastAsiaTheme="minorHAnsi" w:hAnsi="Arial" w:cs="Arial"/>
                <w:b/>
                <w:bCs/>
                <w:color w:val="000000"/>
                <w:sz w:val="18"/>
                <w:szCs w:val="18"/>
              </w:rPr>
            </w:pPr>
          </w:p>
        </w:tc>
      </w:tr>
      <w:tr w:rsidR="00E00DF2" w:rsidRPr="00ED5C98" w14:paraId="00D91857" w14:textId="77777777" w:rsidTr="00724F3E">
        <w:trPr>
          <w:trHeight w:val="305"/>
        </w:trPr>
        <w:tc>
          <w:tcPr>
            <w:tcW w:w="0" w:type="auto"/>
            <w:tcBorders>
              <w:top w:val="single" w:sz="6" w:space="0" w:color="auto"/>
              <w:left w:val="single" w:sz="12" w:space="0" w:color="auto"/>
              <w:bottom w:val="single" w:sz="12" w:space="0" w:color="auto"/>
              <w:right w:val="single" w:sz="6" w:space="0" w:color="auto"/>
            </w:tcBorders>
            <w:vAlign w:val="center"/>
          </w:tcPr>
          <w:p w14:paraId="00D91851"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866 803,00</w:t>
            </w:r>
          </w:p>
        </w:tc>
        <w:tc>
          <w:tcPr>
            <w:tcW w:w="0" w:type="auto"/>
            <w:tcBorders>
              <w:top w:val="single" w:sz="6" w:space="0" w:color="auto"/>
              <w:left w:val="single" w:sz="6" w:space="0" w:color="auto"/>
              <w:bottom w:val="single" w:sz="12" w:space="0" w:color="auto"/>
              <w:right w:val="single" w:sz="6" w:space="0" w:color="auto"/>
            </w:tcBorders>
            <w:vAlign w:val="center"/>
          </w:tcPr>
          <w:p w14:paraId="00D91852"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1 291 589 492,00</w:t>
            </w:r>
          </w:p>
        </w:tc>
        <w:tc>
          <w:tcPr>
            <w:tcW w:w="0" w:type="auto"/>
            <w:tcBorders>
              <w:top w:val="single" w:sz="6" w:space="0" w:color="auto"/>
              <w:left w:val="single" w:sz="12" w:space="0" w:color="auto"/>
              <w:bottom w:val="single" w:sz="12" w:space="0" w:color="auto"/>
              <w:right w:val="single" w:sz="6" w:space="0" w:color="auto"/>
            </w:tcBorders>
            <w:vAlign w:val="center"/>
          </w:tcPr>
          <w:p w14:paraId="00D91853"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866 803,00</w:t>
            </w:r>
          </w:p>
        </w:tc>
        <w:tc>
          <w:tcPr>
            <w:tcW w:w="0" w:type="auto"/>
            <w:tcBorders>
              <w:top w:val="single" w:sz="6" w:space="0" w:color="auto"/>
              <w:left w:val="single" w:sz="6" w:space="0" w:color="auto"/>
              <w:bottom w:val="single" w:sz="12" w:space="0" w:color="auto"/>
              <w:right w:val="single" w:sz="6" w:space="0" w:color="auto"/>
            </w:tcBorders>
            <w:vAlign w:val="center"/>
          </w:tcPr>
          <w:p w14:paraId="00D91854"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1 134 946 970,00</w:t>
            </w:r>
          </w:p>
        </w:tc>
        <w:tc>
          <w:tcPr>
            <w:tcW w:w="2377" w:type="dxa"/>
            <w:tcBorders>
              <w:top w:val="single" w:sz="6" w:space="0" w:color="auto"/>
              <w:left w:val="single" w:sz="12" w:space="0" w:color="auto"/>
              <w:bottom w:val="single" w:sz="12" w:space="0" w:color="auto"/>
              <w:right w:val="single" w:sz="12" w:space="0" w:color="auto"/>
            </w:tcBorders>
            <w:vAlign w:val="center"/>
          </w:tcPr>
          <w:p w14:paraId="00D91855" w14:textId="77777777" w:rsidR="00E00DF2" w:rsidRPr="00ED5C98" w:rsidRDefault="00E00DF2" w:rsidP="007C7817">
            <w:pPr>
              <w:autoSpaceDE w:val="0"/>
              <w:autoSpaceDN w:val="0"/>
              <w:adjustRightInd w:val="0"/>
              <w:jc w:val="right"/>
              <w:rPr>
                <w:rFonts w:ascii="Arial" w:eastAsiaTheme="minorHAnsi" w:hAnsi="Arial" w:cs="Arial"/>
                <w:color w:val="000000"/>
                <w:sz w:val="18"/>
                <w:szCs w:val="18"/>
              </w:rPr>
            </w:pPr>
            <w:r w:rsidRPr="00ED5C98">
              <w:rPr>
                <w:rFonts w:ascii="Arial" w:eastAsiaTheme="minorHAnsi" w:hAnsi="Arial" w:cs="Arial"/>
                <w:color w:val="000000"/>
                <w:sz w:val="18"/>
                <w:szCs w:val="18"/>
              </w:rPr>
              <w:t>645 794 746,00</w:t>
            </w:r>
          </w:p>
        </w:tc>
        <w:tc>
          <w:tcPr>
            <w:tcW w:w="1559" w:type="dxa"/>
            <w:tcBorders>
              <w:top w:val="single" w:sz="6" w:space="0" w:color="auto"/>
              <w:left w:val="single" w:sz="12" w:space="0" w:color="auto"/>
              <w:bottom w:val="single" w:sz="12" w:space="0" w:color="auto"/>
              <w:right w:val="single" w:sz="12" w:space="0" w:color="auto"/>
            </w:tcBorders>
            <w:vAlign w:val="center"/>
          </w:tcPr>
          <w:p w14:paraId="00D91856" w14:textId="77777777" w:rsidR="00E00DF2" w:rsidRPr="00ED5C98" w:rsidRDefault="00E00DF2" w:rsidP="007C7817">
            <w:pPr>
              <w:autoSpaceDE w:val="0"/>
              <w:autoSpaceDN w:val="0"/>
              <w:adjustRightInd w:val="0"/>
              <w:jc w:val="right"/>
              <w:rPr>
                <w:rFonts w:ascii="Arial" w:eastAsiaTheme="minorHAnsi" w:hAnsi="Arial" w:cs="Arial"/>
                <w:b/>
                <w:bCs/>
                <w:color w:val="000000"/>
                <w:sz w:val="18"/>
                <w:szCs w:val="18"/>
              </w:rPr>
            </w:pPr>
            <w:r w:rsidRPr="00ED5C98">
              <w:rPr>
                <w:rFonts w:ascii="Arial" w:eastAsiaTheme="minorHAnsi" w:hAnsi="Arial" w:cs="Arial"/>
                <w:b/>
                <w:bCs/>
                <w:color w:val="000000"/>
                <w:sz w:val="18"/>
                <w:szCs w:val="18"/>
              </w:rPr>
              <w:t>3 074 064 814,00</w:t>
            </w:r>
          </w:p>
        </w:tc>
      </w:tr>
    </w:tbl>
    <w:p w14:paraId="00D91858" w14:textId="77777777" w:rsidR="00E00DF2" w:rsidRPr="00ED5C98" w:rsidRDefault="00E00DF2" w:rsidP="00E00DF2">
      <w:pPr>
        <w:jc w:val="both"/>
        <w:rPr>
          <w:rFonts w:ascii="Arial" w:hAnsi="Arial" w:cs="Arial"/>
          <w:bCs/>
          <w:iCs/>
          <w:sz w:val="22"/>
          <w:szCs w:val="22"/>
        </w:rPr>
      </w:pPr>
    </w:p>
    <w:p w14:paraId="00D91859" w14:textId="77777777" w:rsidR="00E00DF2" w:rsidRPr="00ED5C98" w:rsidRDefault="00E00DF2" w:rsidP="00E00DF2">
      <w:pPr>
        <w:jc w:val="both"/>
        <w:rPr>
          <w:rFonts w:ascii="Arial" w:hAnsi="Arial" w:cs="Arial"/>
          <w:bCs/>
          <w:iCs/>
          <w:sz w:val="22"/>
          <w:szCs w:val="22"/>
        </w:rPr>
      </w:pPr>
      <w:r>
        <w:rPr>
          <w:rFonts w:ascii="Arial" w:hAnsi="Arial" w:cs="Arial"/>
          <w:bCs/>
          <w:iCs/>
          <w:sz w:val="22"/>
          <w:szCs w:val="22"/>
        </w:rPr>
        <w:t>Do PAP se z účetnictví přenáš</w:t>
      </w:r>
      <w:r w:rsidR="00A93FCE">
        <w:rPr>
          <w:rFonts w:ascii="Arial" w:hAnsi="Arial" w:cs="Arial"/>
          <w:bCs/>
          <w:iCs/>
          <w:sz w:val="22"/>
          <w:szCs w:val="22"/>
        </w:rPr>
        <w:t>ej</w:t>
      </w:r>
      <w:r>
        <w:rPr>
          <w:rFonts w:ascii="Arial" w:hAnsi="Arial" w:cs="Arial"/>
          <w:bCs/>
          <w:iCs/>
          <w:sz w:val="22"/>
          <w:szCs w:val="22"/>
        </w:rPr>
        <w:t>í údaje o účtech 331</w:t>
      </w:r>
      <w:r w:rsidR="00F61FA1">
        <w:rPr>
          <w:rFonts w:ascii="Arial" w:hAnsi="Arial" w:cs="Arial"/>
          <w:bCs/>
          <w:iCs/>
          <w:sz w:val="22"/>
          <w:szCs w:val="22"/>
        </w:rPr>
        <w:t xml:space="preserve"> –</w:t>
      </w:r>
      <w:r w:rsidR="00290C84">
        <w:rPr>
          <w:rFonts w:ascii="Arial" w:hAnsi="Arial" w:cs="Arial"/>
          <w:bCs/>
          <w:iCs/>
          <w:sz w:val="22"/>
          <w:szCs w:val="22"/>
        </w:rPr>
        <w:t xml:space="preserve"> </w:t>
      </w:r>
      <w:r w:rsidR="00290C84" w:rsidRPr="00ED5C98">
        <w:rPr>
          <w:rFonts w:ascii="Arial" w:hAnsi="Arial" w:cs="Arial"/>
          <w:i/>
          <w:sz w:val="22"/>
          <w:szCs w:val="22"/>
        </w:rPr>
        <w:t>Zaměstnanci</w:t>
      </w:r>
      <w:r>
        <w:rPr>
          <w:rFonts w:ascii="Arial" w:hAnsi="Arial" w:cs="Arial"/>
          <w:bCs/>
          <w:iCs/>
          <w:sz w:val="22"/>
          <w:szCs w:val="22"/>
        </w:rPr>
        <w:t xml:space="preserve"> i 378</w:t>
      </w:r>
      <w:r w:rsidR="00290C84">
        <w:rPr>
          <w:rFonts w:ascii="Arial" w:hAnsi="Arial" w:cs="Arial"/>
          <w:bCs/>
          <w:iCs/>
          <w:sz w:val="22"/>
          <w:szCs w:val="22"/>
        </w:rPr>
        <w:t xml:space="preserve"> </w:t>
      </w:r>
      <w:r w:rsidR="00F61FA1">
        <w:rPr>
          <w:rFonts w:ascii="Arial" w:hAnsi="Arial" w:cs="Arial"/>
          <w:bCs/>
          <w:iCs/>
          <w:sz w:val="22"/>
          <w:szCs w:val="22"/>
        </w:rPr>
        <w:t>–</w:t>
      </w:r>
      <w:r w:rsidR="00290C84" w:rsidRPr="00290C84">
        <w:rPr>
          <w:rFonts w:ascii="Arial" w:hAnsi="Arial" w:cs="Arial"/>
          <w:i/>
          <w:sz w:val="22"/>
          <w:szCs w:val="22"/>
        </w:rPr>
        <w:t xml:space="preserve"> </w:t>
      </w:r>
      <w:r w:rsidR="00290C84" w:rsidRPr="009B18EE">
        <w:rPr>
          <w:rFonts w:ascii="Arial" w:hAnsi="Arial" w:cs="Arial"/>
          <w:i/>
          <w:sz w:val="22"/>
          <w:szCs w:val="22"/>
        </w:rPr>
        <w:t>Ostatní krátkodobé závazky</w:t>
      </w:r>
      <w:r w:rsidR="00290C84" w:rsidRPr="00260B0C">
        <w:rPr>
          <w:rFonts w:ascii="Arial" w:hAnsi="Arial" w:cs="Arial"/>
          <w:sz w:val="22"/>
          <w:szCs w:val="22"/>
        </w:rPr>
        <w:t>,</w:t>
      </w:r>
      <w:r>
        <w:rPr>
          <w:rFonts w:ascii="Arial" w:hAnsi="Arial" w:cs="Arial"/>
          <w:bCs/>
          <w:iCs/>
          <w:sz w:val="22"/>
          <w:szCs w:val="22"/>
        </w:rPr>
        <w:t xml:space="preserve"> avšak účet 331</w:t>
      </w:r>
      <w:r w:rsidR="00290C84">
        <w:rPr>
          <w:rFonts w:ascii="Arial" w:hAnsi="Arial" w:cs="Arial"/>
          <w:bCs/>
          <w:iCs/>
          <w:sz w:val="22"/>
          <w:szCs w:val="22"/>
        </w:rPr>
        <w:t xml:space="preserve"> </w:t>
      </w:r>
      <w:r w:rsidR="00F61FA1">
        <w:rPr>
          <w:rFonts w:ascii="Arial" w:hAnsi="Arial" w:cs="Arial"/>
          <w:bCs/>
          <w:iCs/>
          <w:sz w:val="22"/>
          <w:szCs w:val="22"/>
        </w:rPr>
        <w:t>–</w:t>
      </w:r>
      <w:r w:rsidR="00290C84">
        <w:rPr>
          <w:rFonts w:ascii="Arial" w:hAnsi="Arial" w:cs="Arial"/>
          <w:bCs/>
          <w:iCs/>
          <w:sz w:val="22"/>
          <w:szCs w:val="22"/>
        </w:rPr>
        <w:t xml:space="preserve"> </w:t>
      </w:r>
      <w:r w:rsidR="00290C84" w:rsidRPr="00ED5C98">
        <w:rPr>
          <w:rFonts w:ascii="Arial" w:hAnsi="Arial" w:cs="Arial"/>
          <w:i/>
          <w:sz w:val="22"/>
          <w:szCs w:val="22"/>
        </w:rPr>
        <w:t>Zaměstnanci</w:t>
      </w:r>
      <w:r>
        <w:rPr>
          <w:rFonts w:ascii="Arial" w:hAnsi="Arial" w:cs="Arial"/>
          <w:bCs/>
          <w:iCs/>
          <w:sz w:val="22"/>
          <w:szCs w:val="22"/>
        </w:rPr>
        <w:t xml:space="preserve"> není analyticky členěn a změny na tomto účtu nejsou sledovány podle partnerů transakce. Nesprávné zaúčtování tak vzhledem ke konstrukci PAP vedlo k tomu, že v PAP MPO byly v návazno</w:t>
      </w:r>
      <w:r w:rsidR="006F5F46">
        <w:rPr>
          <w:rFonts w:ascii="Arial" w:hAnsi="Arial" w:cs="Arial"/>
          <w:bCs/>
          <w:iCs/>
          <w:sz w:val="22"/>
          <w:szCs w:val="22"/>
        </w:rPr>
        <w:t>sti na to členěny analyticky a </w:t>
      </w:r>
      <w:r>
        <w:rPr>
          <w:rFonts w:ascii="Arial" w:hAnsi="Arial" w:cs="Arial"/>
          <w:bCs/>
          <w:iCs/>
          <w:sz w:val="22"/>
          <w:szCs w:val="22"/>
        </w:rPr>
        <w:t>na partnery údaje, které k takovému detailnímu zachycení n</w:t>
      </w:r>
      <w:r w:rsidR="00886F7F">
        <w:rPr>
          <w:rFonts w:ascii="Arial" w:hAnsi="Arial" w:cs="Arial"/>
          <w:bCs/>
          <w:iCs/>
          <w:sz w:val="22"/>
          <w:szCs w:val="22"/>
        </w:rPr>
        <w:t>ebyly vůbec určeny. To svědčí o </w:t>
      </w:r>
      <w:r>
        <w:rPr>
          <w:rFonts w:ascii="Arial" w:hAnsi="Arial" w:cs="Arial"/>
          <w:bCs/>
          <w:iCs/>
          <w:sz w:val="22"/>
          <w:szCs w:val="22"/>
        </w:rPr>
        <w:t>citlivosti údajů PAP na správnost vedení účetnictví.</w:t>
      </w:r>
    </w:p>
    <w:p w14:paraId="00D9185A" w14:textId="77777777" w:rsidR="00E00DF2" w:rsidRDefault="00E00DF2" w:rsidP="00E00DF2">
      <w:pPr>
        <w:jc w:val="both"/>
        <w:rPr>
          <w:rFonts w:ascii="Arial" w:hAnsi="Arial" w:cs="Arial"/>
          <w:bCs/>
          <w:iCs/>
          <w:sz w:val="22"/>
          <w:szCs w:val="22"/>
        </w:rPr>
      </w:pPr>
    </w:p>
    <w:p w14:paraId="00D9185B" w14:textId="77777777" w:rsidR="00E00DF2" w:rsidRPr="00260B0C" w:rsidRDefault="00525767" w:rsidP="00E00DF2">
      <w:pPr>
        <w:jc w:val="both"/>
        <w:rPr>
          <w:rFonts w:ascii="Arial" w:hAnsi="Arial" w:cs="Arial"/>
          <w:bCs/>
          <w:iCs/>
          <w:sz w:val="22"/>
          <w:szCs w:val="22"/>
        </w:rPr>
      </w:pPr>
      <w:r w:rsidRPr="00260B0C">
        <w:rPr>
          <w:rFonts w:ascii="Arial" w:hAnsi="Arial" w:cs="Arial"/>
          <w:b/>
          <w:bCs/>
          <w:iCs/>
          <w:sz w:val="22"/>
          <w:szCs w:val="22"/>
        </w:rPr>
        <w:t xml:space="preserve">4.6 </w:t>
      </w:r>
      <w:r w:rsidR="00E00DF2" w:rsidRPr="00260B0C">
        <w:rPr>
          <w:rFonts w:ascii="Arial" w:hAnsi="Arial" w:cs="Arial"/>
          <w:b/>
          <w:bCs/>
          <w:iCs/>
          <w:sz w:val="22"/>
          <w:szCs w:val="22"/>
        </w:rPr>
        <w:t>Partneři u majetkových účastí státu v obchodních společnostech</w:t>
      </w:r>
    </w:p>
    <w:p w14:paraId="00D9185C" w14:textId="77777777" w:rsidR="00E00DF2" w:rsidRDefault="00E00DF2" w:rsidP="00E00DF2">
      <w:pPr>
        <w:jc w:val="both"/>
        <w:rPr>
          <w:rFonts w:ascii="Arial" w:hAnsi="Arial" w:cs="Arial"/>
          <w:bCs/>
          <w:iCs/>
          <w:sz w:val="22"/>
          <w:szCs w:val="22"/>
        </w:rPr>
      </w:pPr>
    </w:p>
    <w:p w14:paraId="00D9185D" w14:textId="77777777" w:rsidR="00E00DF2" w:rsidRDefault="00E00DF2" w:rsidP="00E00DF2">
      <w:pPr>
        <w:jc w:val="both"/>
        <w:rPr>
          <w:rFonts w:ascii="Arial" w:hAnsi="Arial" w:cs="Arial"/>
          <w:bCs/>
          <w:iCs/>
          <w:sz w:val="22"/>
          <w:szCs w:val="22"/>
        </w:rPr>
      </w:pPr>
      <w:r w:rsidRPr="00ED5C98">
        <w:rPr>
          <w:rFonts w:ascii="Arial" w:hAnsi="Arial" w:cs="Arial"/>
          <w:bCs/>
          <w:iCs/>
          <w:sz w:val="22"/>
          <w:szCs w:val="22"/>
        </w:rPr>
        <w:t xml:space="preserve">Podle </w:t>
      </w:r>
      <w:r w:rsidRPr="00260B0C">
        <w:rPr>
          <w:rFonts w:ascii="Arial" w:hAnsi="Arial" w:cs="Arial"/>
          <w:bCs/>
          <w:i/>
          <w:iCs/>
          <w:sz w:val="22"/>
          <w:szCs w:val="22"/>
        </w:rPr>
        <w:t>Metodiky tvorby PAP</w:t>
      </w:r>
      <w:r w:rsidRPr="00ED5C98">
        <w:rPr>
          <w:rFonts w:ascii="Arial" w:hAnsi="Arial" w:cs="Arial"/>
          <w:bCs/>
          <w:iCs/>
          <w:sz w:val="22"/>
          <w:szCs w:val="22"/>
        </w:rPr>
        <w:t xml:space="preserve"> se </w:t>
      </w:r>
      <w:r w:rsidR="00E4581B">
        <w:rPr>
          <w:rFonts w:ascii="Arial" w:hAnsi="Arial" w:cs="Arial"/>
          <w:bCs/>
          <w:iCs/>
          <w:sz w:val="22"/>
          <w:szCs w:val="22"/>
        </w:rPr>
        <w:t>„</w:t>
      </w:r>
      <w:r w:rsidRPr="00E4581B">
        <w:rPr>
          <w:rFonts w:ascii="Arial" w:hAnsi="Arial" w:cs="Arial"/>
          <w:bCs/>
          <w:i/>
          <w:iCs/>
          <w:sz w:val="22"/>
          <w:szCs w:val="22"/>
        </w:rPr>
        <w:t>partnerem aktiva/pasiva</w:t>
      </w:r>
      <w:r w:rsidR="00E4581B" w:rsidRPr="00260B0C">
        <w:rPr>
          <w:rFonts w:ascii="Arial" w:hAnsi="Arial" w:cs="Arial"/>
          <w:bCs/>
          <w:iCs/>
          <w:sz w:val="22"/>
          <w:szCs w:val="22"/>
        </w:rPr>
        <w:t>“</w:t>
      </w:r>
      <w:r w:rsidRPr="00E4581B">
        <w:rPr>
          <w:rFonts w:ascii="Arial" w:hAnsi="Arial" w:cs="Arial"/>
          <w:bCs/>
          <w:i/>
          <w:iCs/>
          <w:sz w:val="22"/>
          <w:szCs w:val="22"/>
        </w:rPr>
        <w:t xml:space="preserve"> </w:t>
      </w:r>
      <w:r w:rsidRPr="00ED5C98">
        <w:rPr>
          <w:rFonts w:ascii="Arial" w:hAnsi="Arial" w:cs="Arial"/>
          <w:bCs/>
          <w:iCs/>
          <w:sz w:val="22"/>
          <w:szCs w:val="22"/>
        </w:rPr>
        <w:t xml:space="preserve">rozumí ten, kdo má anebo by měl </w:t>
      </w:r>
      <w:r w:rsidR="00E4581B">
        <w:rPr>
          <w:rFonts w:ascii="Arial" w:hAnsi="Arial" w:cs="Arial"/>
          <w:bCs/>
          <w:iCs/>
          <w:sz w:val="22"/>
          <w:szCs w:val="22"/>
        </w:rPr>
        <w:t>mít akt</w:t>
      </w:r>
      <w:r w:rsidRPr="00ED5C98">
        <w:rPr>
          <w:rFonts w:ascii="Arial" w:hAnsi="Arial" w:cs="Arial"/>
          <w:bCs/>
          <w:iCs/>
          <w:sz w:val="22"/>
          <w:szCs w:val="22"/>
        </w:rPr>
        <w:t>ivum vykazující účetní jednotky</w:t>
      </w:r>
      <w:r w:rsidR="00E4581B">
        <w:rPr>
          <w:rFonts w:ascii="Arial" w:hAnsi="Arial" w:cs="Arial"/>
          <w:bCs/>
          <w:iCs/>
          <w:sz w:val="22"/>
          <w:szCs w:val="22"/>
        </w:rPr>
        <w:t xml:space="preserve"> uvedené</w:t>
      </w:r>
      <w:r w:rsidRPr="00ED5C98">
        <w:rPr>
          <w:rFonts w:ascii="Arial" w:hAnsi="Arial" w:cs="Arial"/>
          <w:bCs/>
          <w:iCs/>
          <w:sz w:val="22"/>
          <w:szCs w:val="22"/>
        </w:rPr>
        <w:t xml:space="preserve"> ve své rozvaze</w:t>
      </w:r>
      <w:r w:rsidR="00E4581B">
        <w:rPr>
          <w:rFonts w:ascii="Arial" w:hAnsi="Arial" w:cs="Arial"/>
          <w:bCs/>
          <w:iCs/>
          <w:sz w:val="22"/>
          <w:szCs w:val="22"/>
        </w:rPr>
        <w:t xml:space="preserve"> </w:t>
      </w:r>
      <w:r w:rsidRPr="00ED5C98">
        <w:rPr>
          <w:rFonts w:ascii="Arial" w:hAnsi="Arial" w:cs="Arial"/>
          <w:bCs/>
          <w:iCs/>
          <w:sz w:val="22"/>
          <w:szCs w:val="22"/>
        </w:rPr>
        <w:t xml:space="preserve">jako pasivum. MPO </w:t>
      </w:r>
      <w:r>
        <w:rPr>
          <w:rFonts w:ascii="Arial" w:hAnsi="Arial" w:cs="Arial"/>
          <w:bCs/>
          <w:iCs/>
          <w:sz w:val="22"/>
          <w:szCs w:val="22"/>
        </w:rPr>
        <w:t>v případě majetkové</w:t>
      </w:r>
      <w:r w:rsidRPr="00ED5C98">
        <w:rPr>
          <w:rFonts w:ascii="Arial" w:hAnsi="Arial" w:cs="Arial"/>
          <w:bCs/>
          <w:iCs/>
          <w:sz w:val="22"/>
          <w:szCs w:val="22"/>
        </w:rPr>
        <w:t xml:space="preserve"> účast</w:t>
      </w:r>
      <w:r>
        <w:rPr>
          <w:rFonts w:ascii="Arial" w:hAnsi="Arial" w:cs="Arial"/>
          <w:bCs/>
          <w:iCs/>
          <w:sz w:val="22"/>
          <w:szCs w:val="22"/>
        </w:rPr>
        <w:t>i státu</w:t>
      </w:r>
      <w:r w:rsidRPr="00ED5C98">
        <w:rPr>
          <w:rFonts w:ascii="Arial" w:hAnsi="Arial" w:cs="Arial"/>
          <w:bCs/>
          <w:iCs/>
          <w:sz w:val="22"/>
          <w:szCs w:val="22"/>
        </w:rPr>
        <w:t xml:space="preserve"> </w:t>
      </w:r>
      <w:r>
        <w:rPr>
          <w:rFonts w:ascii="Arial" w:hAnsi="Arial" w:cs="Arial"/>
          <w:bCs/>
          <w:iCs/>
          <w:sz w:val="22"/>
          <w:szCs w:val="22"/>
        </w:rPr>
        <w:t xml:space="preserve">v obchodní společnosti, zachycené na účtu </w:t>
      </w:r>
      <w:r w:rsidR="00304590">
        <w:rPr>
          <w:rFonts w:ascii="Arial" w:hAnsi="Arial" w:cs="Arial"/>
          <w:bCs/>
          <w:iCs/>
          <w:sz w:val="22"/>
          <w:szCs w:val="22"/>
        </w:rPr>
        <w:br/>
      </w:r>
      <w:r w:rsidRPr="00260B0C">
        <w:rPr>
          <w:rFonts w:ascii="Arial" w:hAnsi="Arial" w:cs="Arial"/>
          <w:bCs/>
          <w:iCs/>
          <w:sz w:val="22"/>
          <w:szCs w:val="22"/>
        </w:rPr>
        <w:t>062</w:t>
      </w:r>
      <w:r w:rsidRPr="00304590">
        <w:rPr>
          <w:rFonts w:ascii="Arial" w:hAnsi="Arial" w:cs="Arial"/>
          <w:bCs/>
          <w:i/>
          <w:iCs/>
          <w:sz w:val="22"/>
          <w:szCs w:val="22"/>
        </w:rPr>
        <w:t xml:space="preserve"> </w:t>
      </w:r>
      <w:r w:rsidRPr="00F506DD">
        <w:rPr>
          <w:rFonts w:ascii="Arial" w:hAnsi="Arial" w:cs="Arial"/>
          <w:bCs/>
          <w:i/>
          <w:iCs/>
          <w:sz w:val="22"/>
          <w:szCs w:val="22"/>
        </w:rPr>
        <w:t>– Majetkové účasti v osobách s podstatným vlivem</w:t>
      </w:r>
      <w:r>
        <w:rPr>
          <w:rFonts w:ascii="Arial" w:hAnsi="Arial" w:cs="Arial"/>
          <w:bCs/>
          <w:iCs/>
          <w:sz w:val="22"/>
          <w:szCs w:val="22"/>
        </w:rPr>
        <w:t xml:space="preserve">, použilo pro identifikaci partnera tohoto aktiva </w:t>
      </w:r>
      <w:r w:rsidRPr="00ED5C98">
        <w:rPr>
          <w:rFonts w:ascii="Arial" w:hAnsi="Arial" w:cs="Arial"/>
          <w:bCs/>
          <w:iCs/>
          <w:sz w:val="22"/>
          <w:szCs w:val="22"/>
        </w:rPr>
        <w:t>identifikátor „111“,</w:t>
      </w:r>
      <w:r>
        <w:rPr>
          <w:rFonts w:ascii="Arial" w:hAnsi="Arial" w:cs="Arial"/>
          <w:bCs/>
          <w:iCs/>
          <w:sz w:val="22"/>
          <w:szCs w:val="22"/>
        </w:rPr>
        <w:t xml:space="preserve"> tj.</w:t>
      </w:r>
      <w:r w:rsidRPr="00ED5C98">
        <w:rPr>
          <w:rFonts w:ascii="Arial" w:hAnsi="Arial" w:cs="Arial"/>
          <w:bCs/>
          <w:iCs/>
          <w:sz w:val="22"/>
          <w:szCs w:val="22"/>
        </w:rPr>
        <w:t xml:space="preserve"> </w:t>
      </w:r>
      <w:r>
        <w:rPr>
          <w:rFonts w:ascii="Arial" w:hAnsi="Arial" w:cs="Arial"/>
          <w:bCs/>
          <w:iCs/>
          <w:sz w:val="22"/>
          <w:szCs w:val="22"/>
        </w:rPr>
        <w:t xml:space="preserve">identifikátor, </w:t>
      </w:r>
      <w:r w:rsidRPr="00ED5C98">
        <w:rPr>
          <w:rFonts w:ascii="Arial" w:hAnsi="Arial" w:cs="Arial"/>
          <w:bCs/>
          <w:iCs/>
          <w:sz w:val="22"/>
          <w:szCs w:val="22"/>
        </w:rPr>
        <w:t xml:space="preserve">který má být dle </w:t>
      </w:r>
      <w:r w:rsidRPr="00260B0C">
        <w:rPr>
          <w:rFonts w:ascii="Arial" w:hAnsi="Arial" w:cs="Arial"/>
          <w:bCs/>
          <w:i/>
          <w:iCs/>
          <w:sz w:val="22"/>
          <w:szCs w:val="22"/>
        </w:rPr>
        <w:t>Metodiky tvorby PAP</w:t>
      </w:r>
      <w:r w:rsidRPr="00ED5C98">
        <w:rPr>
          <w:rFonts w:ascii="Arial" w:hAnsi="Arial" w:cs="Arial"/>
          <w:bCs/>
          <w:iCs/>
          <w:sz w:val="22"/>
          <w:szCs w:val="22"/>
        </w:rPr>
        <w:t xml:space="preserve"> použit </w:t>
      </w:r>
      <w:r w:rsidRPr="00ED5C98">
        <w:rPr>
          <w:rFonts w:ascii="Arial" w:hAnsi="Arial" w:cs="Arial"/>
          <w:bCs/>
          <w:iCs/>
          <w:sz w:val="22"/>
          <w:szCs w:val="22"/>
        </w:rPr>
        <w:lastRenderedPageBreak/>
        <w:t>pro rezidentské jednotky bez IČ</w:t>
      </w:r>
      <w:r>
        <w:rPr>
          <w:rFonts w:ascii="Arial" w:hAnsi="Arial" w:cs="Arial"/>
          <w:bCs/>
          <w:iCs/>
          <w:sz w:val="22"/>
          <w:szCs w:val="22"/>
        </w:rPr>
        <w:t xml:space="preserve">. </w:t>
      </w:r>
      <w:r w:rsidR="009F047D">
        <w:rPr>
          <w:rFonts w:ascii="Arial" w:hAnsi="Arial" w:cs="Arial"/>
          <w:bCs/>
          <w:iCs/>
          <w:sz w:val="22"/>
          <w:szCs w:val="22"/>
        </w:rPr>
        <w:t>V </w:t>
      </w:r>
      <w:r w:rsidRPr="00ED5C98">
        <w:rPr>
          <w:rFonts w:ascii="Arial" w:hAnsi="Arial" w:cs="Arial"/>
          <w:bCs/>
          <w:iCs/>
          <w:sz w:val="22"/>
          <w:szCs w:val="22"/>
        </w:rPr>
        <w:t xml:space="preserve">souladu </w:t>
      </w:r>
      <w:r w:rsidR="009F047D">
        <w:rPr>
          <w:rFonts w:ascii="Arial" w:hAnsi="Arial" w:cs="Arial"/>
          <w:bCs/>
          <w:iCs/>
          <w:sz w:val="22"/>
          <w:szCs w:val="22"/>
        </w:rPr>
        <w:t>s </w:t>
      </w:r>
      <w:r w:rsidRPr="00260B0C">
        <w:rPr>
          <w:rFonts w:ascii="Arial" w:hAnsi="Arial" w:cs="Arial"/>
          <w:bCs/>
          <w:i/>
          <w:iCs/>
          <w:sz w:val="22"/>
          <w:szCs w:val="22"/>
        </w:rPr>
        <w:t>Metodikou tvorby PAP</w:t>
      </w:r>
      <w:r w:rsidRPr="00ED5C98">
        <w:rPr>
          <w:rFonts w:ascii="Arial" w:hAnsi="Arial" w:cs="Arial"/>
          <w:bCs/>
          <w:iCs/>
          <w:sz w:val="22"/>
          <w:szCs w:val="22"/>
        </w:rPr>
        <w:t xml:space="preserve"> </w:t>
      </w:r>
      <w:r>
        <w:rPr>
          <w:rFonts w:ascii="Arial" w:hAnsi="Arial" w:cs="Arial"/>
          <w:bCs/>
          <w:iCs/>
          <w:sz w:val="22"/>
          <w:szCs w:val="22"/>
        </w:rPr>
        <w:t>však mělo</w:t>
      </w:r>
      <w:r w:rsidRPr="00ED5C98">
        <w:rPr>
          <w:rFonts w:ascii="Arial" w:hAnsi="Arial" w:cs="Arial"/>
          <w:bCs/>
          <w:iCs/>
          <w:sz w:val="22"/>
          <w:szCs w:val="22"/>
        </w:rPr>
        <w:t xml:space="preserve"> </w:t>
      </w:r>
      <w:r>
        <w:rPr>
          <w:rFonts w:ascii="Arial" w:hAnsi="Arial" w:cs="Arial"/>
          <w:bCs/>
          <w:iCs/>
          <w:sz w:val="22"/>
          <w:szCs w:val="22"/>
        </w:rPr>
        <w:t xml:space="preserve">MPO </w:t>
      </w:r>
      <w:r w:rsidRPr="00ED5C98">
        <w:rPr>
          <w:rFonts w:ascii="Arial" w:hAnsi="Arial" w:cs="Arial"/>
          <w:bCs/>
          <w:iCs/>
          <w:sz w:val="22"/>
          <w:szCs w:val="22"/>
        </w:rPr>
        <w:t>dáv</w:t>
      </w:r>
      <w:r w:rsidR="00304590">
        <w:rPr>
          <w:rFonts w:ascii="Arial" w:hAnsi="Arial" w:cs="Arial"/>
          <w:bCs/>
          <w:iCs/>
          <w:sz w:val="22"/>
          <w:szCs w:val="22"/>
        </w:rPr>
        <w:t>ku</w:t>
      </w:r>
      <w:r w:rsidRPr="00ED5C98">
        <w:rPr>
          <w:rFonts w:ascii="Arial" w:hAnsi="Arial" w:cs="Arial"/>
          <w:bCs/>
          <w:iCs/>
          <w:sz w:val="22"/>
          <w:szCs w:val="22"/>
        </w:rPr>
        <w:t xml:space="preserve"> údajů předan</w:t>
      </w:r>
      <w:r w:rsidR="00304590">
        <w:rPr>
          <w:rFonts w:ascii="Arial" w:hAnsi="Arial" w:cs="Arial"/>
          <w:bCs/>
          <w:iCs/>
          <w:sz w:val="22"/>
          <w:szCs w:val="22"/>
        </w:rPr>
        <w:t>ou</w:t>
      </w:r>
      <w:r w:rsidRPr="00ED5C98">
        <w:rPr>
          <w:rFonts w:ascii="Arial" w:hAnsi="Arial" w:cs="Arial"/>
          <w:bCs/>
          <w:iCs/>
          <w:sz w:val="22"/>
          <w:szCs w:val="22"/>
        </w:rPr>
        <w:t xml:space="preserve"> do CSÚIS </w:t>
      </w:r>
      <w:r w:rsidR="00304590">
        <w:rPr>
          <w:rFonts w:ascii="Arial" w:hAnsi="Arial" w:cs="Arial"/>
          <w:bCs/>
          <w:iCs/>
          <w:sz w:val="22"/>
          <w:szCs w:val="22"/>
        </w:rPr>
        <w:t>opatřit</w:t>
      </w:r>
      <w:r w:rsidRPr="00ED5C98">
        <w:rPr>
          <w:rFonts w:ascii="Arial" w:hAnsi="Arial" w:cs="Arial"/>
          <w:bCs/>
          <w:iCs/>
          <w:sz w:val="22"/>
          <w:szCs w:val="22"/>
        </w:rPr>
        <w:t xml:space="preserve"> identifikátor</w:t>
      </w:r>
      <w:r w:rsidR="00304590">
        <w:rPr>
          <w:rFonts w:ascii="Arial" w:hAnsi="Arial" w:cs="Arial"/>
          <w:bCs/>
          <w:iCs/>
          <w:sz w:val="22"/>
          <w:szCs w:val="22"/>
        </w:rPr>
        <w:t>em</w:t>
      </w:r>
      <w:r w:rsidRPr="00ED5C98">
        <w:rPr>
          <w:rFonts w:ascii="Arial" w:hAnsi="Arial" w:cs="Arial"/>
          <w:bCs/>
          <w:iCs/>
          <w:sz w:val="22"/>
          <w:szCs w:val="22"/>
        </w:rPr>
        <w:t xml:space="preserve"> </w:t>
      </w:r>
      <w:r w:rsidR="00304590">
        <w:rPr>
          <w:rFonts w:ascii="Arial" w:hAnsi="Arial" w:cs="Arial"/>
          <w:bCs/>
          <w:iCs/>
          <w:sz w:val="22"/>
          <w:szCs w:val="22"/>
        </w:rPr>
        <w:t>tvořeným</w:t>
      </w:r>
      <w:r>
        <w:rPr>
          <w:rFonts w:ascii="Arial" w:hAnsi="Arial" w:cs="Arial"/>
          <w:bCs/>
          <w:iCs/>
          <w:sz w:val="22"/>
          <w:szCs w:val="22"/>
        </w:rPr>
        <w:t xml:space="preserve"> IČ této obchodní společnosti. </w:t>
      </w:r>
    </w:p>
    <w:p w14:paraId="00D9185E" w14:textId="77777777" w:rsidR="00E00DF2" w:rsidRDefault="00E00DF2" w:rsidP="00E00DF2">
      <w:pPr>
        <w:jc w:val="both"/>
        <w:rPr>
          <w:rFonts w:ascii="Arial" w:hAnsi="Arial" w:cs="Arial"/>
          <w:bCs/>
          <w:iCs/>
          <w:sz w:val="22"/>
          <w:szCs w:val="22"/>
        </w:rPr>
      </w:pPr>
    </w:p>
    <w:p w14:paraId="00D9185F" w14:textId="77777777" w:rsidR="00E00DF2" w:rsidRDefault="00E00DF2" w:rsidP="00E00DF2">
      <w:pPr>
        <w:jc w:val="both"/>
        <w:rPr>
          <w:rFonts w:ascii="Arial" w:hAnsi="Arial" w:cs="Arial"/>
          <w:bCs/>
          <w:iCs/>
          <w:sz w:val="22"/>
          <w:szCs w:val="22"/>
        </w:rPr>
      </w:pPr>
      <w:r>
        <w:rPr>
          <w:rFonts w:ascii="Arial" w:hAnsi="Arial" w:cs="Arial"/>
          <w:bCs/>
          <w:iCs/>
          <w:sz w:val="22"/>
          <w:szCs w:val="22"/>
        </w:rPr>
        <w:t>MPO nepostupovalo v souladu s </w:t>
      </w:r>
      <w:r w:rsidRPr="00260B0C">
        <w:rPr>
          <w:rFonts w:ascii="Arial" w:hAnsi="Arial" w:cs="Arial"/>
          <w:bCs/>
          <w:i/>
          <w:iCs/>
          <w:sz w:val="22"/>
          <w:szCs w:val="22"/>
        </w:rPr>
        <w:t>Metodikou tvorby PAP</w:t>
      </w:r>
      <w:r>
        <w:rPr>
          <w:rFonts w:ascii="Arial" w:hAnsi="Arial" w:cs="Arial"/>
          <w:bCs/>
          <w:iCs/>
          <w:sz w:val="22"/>
          <w:szCs w:val="22"/>
        </w:rPr>
        <w:t xml:space="preserve"> ani v případě </w:t>
      </w:r>
      <w:r w:rsidR="00245C09">
        <w:rPr>
          <w:rFonts w:ascii="Arial" w:hAnsi="Arial" w:cs="Arial"/>
          <w:bCs/>
          <w:iCs/>
          <w:sz w:val="22"/>
          <w:szCs w:val="22"/>
        </w:rPr>
        <w:t>převzetí</w:t>
      </w:r>
      <w:r>
        <w:rPr>
          <w:rFonts w:ascii="Arial" w:hAnsi="Arial" w:cs="Arial"/>
          <w:bCs/>
          <w:iCs/>
          <w:sz w:val="22"/>
          <w:szCs w:val="22"/>
        </w:rPr>
        <w:t xml:space="preserve"> 15% podílu státu v jiné obchodní společnosti vykázané</w:t>
      </w:r>
      <w:r w:rsidR="00304590">
        <w:rPr>
          <w:rFonts w:ascii="Arial" w:hAnsi="Arial" w:cs="Arial"/>
          <w:bCs/>
          <w:iCs/>
          <w:sz w:val="22"/>
          <w:szCs w:val="22"/>
        </w:rPr>
        <w:t>ho</w:t>
      </w:r>
      <w:r>
        <w:rPr>
          <w:rFonts w:ascii="Arial" w:hAnsi="Arial" w:cs="Arial"/>
          <w:bCs/>
          <w:iCs/>
          <w:sz w:val="22"/>
          <w:szCs w:val="22"/>
        </w:rPr>
        <w:t xml:space="preserve"> na účtu </w:t>
      </w:r>
      <w:r w:rsidRPr="00DA7D84">
        <w:rPr>
          <w:rFonts w:ascii="Arial" w:hAnsi="Arial" w:cs="Arial"/>
          <w:bCs/>
          <w:iCs/>
          <w:sz w:val="22"/>
          <w:szCs w:val="22"/>
        </w:rPr>
        <w:t>061 –</w:t>
      </w:r>
      <w:r w:rsidRPr="00F506DD">
        <w:rPr>
          <w:rFonts w:ascii="Arial" w:hAnsi="Arial" w:cs="Arial"/>
          <w:bCs/>
          <w:i/>
          <w:iCs/>
          <w:sz w:val="22"/>
          <w:szCs w:val="22"/>
        </w:rPr>
        <w:t xml:space="preserve"> Majetkové účasti v osobách s </w:t>
      </w:r>
      <w:r>
        <w:rPr>
          <w:rFonts w:ascii="Arial" w:hAnsi="Arial" w:cs="Arial"/>
          <w:bCs/>
          <w:i/>
          <w:iCs/>
          <w:sz w:val="22"/>
          <w:szCs w:val="22"/>
        </w:rPr>
        <w:t>rozhodujícím</w:t>
      </w:r>
      <w:r w:rsidRPr="00F506DD">
        <w:rPr>
          <w:rFonts w:ascii="Arial" w:hAnsi="Arial" w:cs="Arial"/>
          <w:bCs/>
          <w:i/>
          <w:iCs/>
          <w:sz w:val="22"/>
          <w:szCs w:val="22"/>
        </w:rPr>
        <w:t xml:space="preserve"> vlivem</w:t>
      </w:r>
      <w:r w:rsidRPr="00F506DD">
        <w:rPr>
          <w:rFonts w:ascii="Arial" w:hAnsi="Arial" w:cs="Arial"/>
          <w:bCs/>
          <w:iCs/>
          <w:sz w:val="22"/>
          <w:szCs w:val="22"/>
        </w:rPr>
        <w:t>.</w:t>
      </w:r>
      <w:r>
        <w:rPr>
          <w:rFonts w:ascii="Arial" w:hAnsi="Arial" w:cs="Arial"/>
          <w:bCs/>
          <w:iCs/>
          <w:sz w:val="22"/>
          <w:szCs w:val="22"/>
        </w:rPr>
        <w:t xml:space="preserve"> Tuto majetkovou účast </w:t>
      </w:r>
      <w:r w:rsidR="00245C09">
        <w:rPr>
          <w:rFonts w:ascii="Arial" w:hAnsi="Arial" w:cs="Arial"/>
          <w:bCs/>
          <w:iCs/>
          <w:sz w:val="22"/>
          <w:szCs w:val="22"/>
        </w:rPr>
        <w:t>převzalo</w:t>
      </w:r>
      <w:r w:rsidR="006F5F46">
        <w:rPr>
          <w:rFonts w:ascii="Arial" w:hAnsi="Arial" w:cs="Arial"/>
          <w:bCs/>
          <w:iCs/>
          <w:sz w:val="22"/>
          <w:szCs w:val="22"/>
        </w:rPr>
        <w:t xml:space="preserve"> MPO od Ministerstva práce a </w:t>
      </w:r>
      <w:r>
        <w:rPr>
          <w:rFonts w:ascii="Arial" w:hAnsi="Arial" w:cs="Arial"/>
          <w:bCs/>
          <w:iCs/>
          <w:sz w:val="22"/>
          <w:szCs w:val="22"/>
        </w:rPr>
        <w:t>sociálních věcí (dále také „MPSV“)</w:t>
      </w:r>
      <w:r w:rsidR="00245C09">
        <w:rPr>
          <w:rFonts w:ascii="Arial" w:hAnsi="Arial" w:cs="Arial"/>
          <w:bCs/>
          <w:iCs/>
          <w:sz w:val="22"/>
          <w:szCs w:val="22"/>
        </w:rPr>
        <w:t xml:space="preserve"> v roce 2012</w:t>
      </w:r>
      <w:r>
        <w:rPr>
          <w:rFonts w:ascii="Arial" w:hAnsi="Arial" w:cs="Arial"/>
          <w:bCs/>
          <w:iCs/>
          <w:sz w:val="22"/>
          <w:szCs w:val="22"/>
        </w:rPr>
        <w:t xml:space="preserve">. </w:t>
      </w:r>
      <w:r w:rsidRPr="00ED5C98">
        <w:rPr>
          <w:rFonts w:ascii="Arial" w:hAnsi="Arial" w:cs="Arial"/>
          <w:bCs/>
          <w:iCs/>
          <w:sz w:val="22"/>
          <w:szCs w:val="22"/>
        </w:rPr>
        <w:t xml:space="preserve">Podle </w:t>
      </w:r>
      <w:r w:rsidRPr="00260B0C">
        <w:rPr>
          <w:rFonts w:ascii="Arial" w:hAnsi="Arial" w:cs="Arial"/>
          <w:bCs/>
          <w:i/>
          <w:iCs/>
          <w:sz w:val="22"/>
          <w:szCs w:val="22"/>
        </w:rPr>
        <w:t>Metodiky tvorby PAP</w:t>
      </w:r>
      <w:r w:rsidRPr="00ED5C98">
        <w:rPr>
          <w:rFonts w:ascii="Arial" w:hAnsi="Arial" w:cs="Arial"/>
          <w:bCs/>
          <w:iCs/>
          <w:sz w:val="22"/>
          <w:szCs w:val="22"/>
        </w:rPr>
        <w:t xml:space="preserve"> </w:t>
      </w:r>
      <w:r>
        <w:rPr>
          <w:rFonts w:ascii="Arial" w:hAnsi="Arial" w:cs="Arial"/>
          <w:bCs/>
          <w:iCs/>
          <w:sz w:val="22"/>
          <w:szCs w:val="22"/>
        </w:rPr>
        <w:t xml:space="preserve">měla být partnerem aktiva/pasiva příslušná obchodní společnost a partnerem této transakce mělo být MPSV. MPO však v PAP uvedlo, že partnerem transakce i partnerem aktiva/pasiva byla v obou případech daná obchodní společnost. </w:t>
      </w:r>
    </w:p>
    <w:p w14:paraId="00D91860" w14:textId="77777777" w:rsidR="00E00DF2" w:rsidRDefault="00E00DF2" w:rsidP="00E00DF2">
      <w:pPr>
        <w:jc w:val="both"/>
        <w:rPr>
          <w:rFonts w:ascii="Arial" w:hAnsi="Arial" w:cs="Arial"/>
          <w:bCs/>
          <w:iCs/>
          <w:sz w:val="22"/>
          <w:szCs w:val="22"/>
        </w:rPr>
      </w:pPr>
    </w:p>
    <w:p w14:paraId="00D91861" w14:textId="77777777" w:rsidR="00E00DF2" w:rsidRDefault="00E00DF2" w:rsidP="00E00DF2">
      <w:pPr>
        <w:jc w:val="both"/>
        <w:rPr>
          <w:rFonts w:ascii="Arial" w:hAnsi="Arial" w:cs="Arial"/>
          <w:bCs/>
          <w:iCs/>
          <w:sz w:val="22"/>
          <w:szCs w:val="22"/>
        </w:rPr>
      </w:pPr>
      <w:r>
        <w:rPr>
          <w:rFonts w:ascii="Arial" w:hAnsi="Arial" w:cs="Arial"/>
          <w:sz w:val="22"/>
          <w:szCs w:val="22"/>
        </w:rPr>
        <w:t>Nesoulad s </w:t>
      </w:r>
      <w:r w:rsidRPr="00260B0C">
        <w:rPr>
          <w:rFonts w:ascii="Arial" w:hAnsi="Arial" w:cs="Arial"/>
          <w:i/>
          <w:sz w:val="22"/>
          <w:szCs w:val="22"/>
        </w:rPr>
        <w:t>Metodikou tvorby PAP</w:t>
      </w:r>
      <w:r>
        <w:rPr>
          <w:rFonts w:ascii="Arial" w:hAnsi="Arial" w:cs="Arial"/>
          <w:sz w:val="22"/>
          <w:szCs w:val="22"/>
        </w:rPr>
        <w:t xml:space="preserve"> se </w:t>
      </w:r>
      <w:r w:rsidRPr="00ED5C98">
        <w:rPr>
          <w:rFonts w:ascii="Arial" w:hAnsi="Arial" w:cs="Arial"/>
          <w:bCs/>
          <w:iCs/>
          <w:sz w:val="22"/>
          <w:szCs w:val="22"/>
        </w:rPr>
        <w:t xml:space="preserve">při zatřiďování majetkových účastí </w:t>
      </w:r>
      <w:r>
        <w:rPr>
          <w:rFonts w:ascii="Arial" w:hAnsi="Arial" w:cs="Arial"/>
          <w:bCs/>
          <w:iCs/>
          <w:sz w:val="22"/>
          <w:szCs w:val="22"/>
        </w:rPr>
        <w:t xml:space="preserve">státu v obchodních společnostech projevil </w:t>
      </w:r>
      <w:r w:rsidR="009F047D">
        <w:rPr>
          <w:rFonts w:ascii="Arial" w:hAnsi="Arial" w:cs="Arial"/>
          <w:bCs/>
          <w:iCs/>
          <w:sz w:val="22"/>
          <w:szCs w:val="22"/>
        </w:rPr>
        <w:t>v </w:t>
      </w:r>
      <w:r>
        <w:rPr>
          <w:rFonts w:ascii="Arial" w:hAnsi="Arial" w:cs="Arial"/>
          <w:bCs/>
          <w:iCs/>
          <w:sz w:val="22"/>
          <w:szCs w:val="22"/>
        </w:rPr>
        <w:t>č</w:t>
      </w:r>
      <w:r w:rsidRPr="00ED5C98">
        <w:rPr>
          <w:rFonts w:ascii="Arial" w:hAnsi="Arial" w:cs="Arial"/>
          <w:bCs/>
          <w:iCs/>
          <w:sz w:val="22"/>
          <w:szCs w:val="22"/>
        </w:rPr>
        <w:t>ást</w:t>
      </w:r>
      <w:r>
        <w:rPr>
          <w:rFonts w:ascii="Arial" w:hAnsi="Arial" w:cs="Arial"/>
          <w:bCs/>
          <w:iCs/>
          <w:sz w:val="22"/>
          <w:szCs w:val="22"/>
        </w:rPr>
        <w:t>ech</w:t>
      </w:r>
      <w:r w:rsidRPr="00ED5C98">
        <w:rPr>
          <w:rFonts w:ascii="Arial" w:hAnsi="Arial" w:cs="Arial"/>
          <w:bCs/>
          <w:iCs/>
          <w:sz w:val="22"/>
          <w:szCs w:val="22"/>
        </w:rPr>
        <w:t xml:space="preserve"> X a XIII </w:t>
      </w:r>
      <w:r>
        <w:rPr>
          <w:rFonts w:ascii="Arial" w:hAnsi="Arial" w:cs="Arial"/>
          <w:bCs/>
          <w:iCs/>
          <w:sz w:val="22"/>
          <w:szCs w:val="22"/>
        </w:rPr>
        <w:t xml:space="preserve">celkem </w:t>
      </w:r>
      <w:r w:rsidRPr="00ED5C98">
        <w:rPr>
          <w:rFonts w:ascii="Arial" w:hAnsi="Arial" w:cs="Arial"/>
          <w:bCs/>
          <w:iCs/>
          <w:sz w:val="22"/>
          <w:szCs w:val="22"/>
        </w:rPr>
        <w:t>ve výši 3 500 23</w:t>
      </w:r>
      <w:r w:rsidR="006F5F46">
        <w:rPr>
          <w:rFonts w:ascii="Arial" w:hAnsi="Arial" w:cs="Arial"/>
          <w:bCs/>
          <w:iCs/>
          <w:sz w:val="22"/>
          <w:szCs w:val="22"/>
        </w:rPr>
        <w:t>2 400 Kč (viz tabulka č. </w:t>
      </w:r>
      <w:r>
        <w:rPr>
          <w:rFonts w:ascii="Arial" w:hAnsi="Arial" w:cs="Arial"/>
          <w:bCs/>
          <w:iCs/>
          <w:sz w:val="22"/>
          <w:szCs w:val="22"/>
        </w:rPr>
        <w:t>11).</w:t>
      </w:r>
    </w:p>
    <w:p w14:paraId="00D91862" w14:textId="77777777" w:rsidR="00E00DF2" w:rsidRDefault="00E00DF2" w:rsidP="00E00DF2">
      <w:pPr>
        <w:jc w:val="both"/>
        <w:rPr>
          <w:rFonts w:ascii="Arial" w:hAnsi="Arial" w:cs="Arial"/>
          <w:bCs/>
          <w:iCs/>
          <w:sz w:val="22"/>
          <w:szCs w:val="22"/>
        </w:rPr>
      </w:pPr>
    </w:p>
    <w:p w14:paraId="00D91863" w14:textId="77777777" w:rsidR="00304590" w:rsidRDefault="00E00DF2" w:rsidP="00260B0C">
      <w:pPr>
        <w:tabs>
          <w:tab w:val="right" w:pos="9072"/>
        </w:tabs>
        <w:ind w:left="1701" w:hanging="1701"/>
        <w:rPr>
          <w:rFonts w:ascii="Arial" w:hAnsi="Arial" w:cs="Arial"/>
          <w:b/>
          <w:sz w:val="22"/>
          <w:szCs w:val="22"/>
        </w:rPr>
      </w:pPr>
      <w:r w:rsidRPr="001276EF">
        <w:rPr>
          <w:rFonts w:ascii="Arial" w:hAnsi="Arial" w:cs="Arial"/>
          <w:b/>
          <w:sz w:val="22"/>
          <w:szCs w:val="22"/>
        </w:rPr>
        <w:t>Tabulka č. 11</w:t>
      </w:r>
      <w:r w:rsidRPr="002A7A11">
        <w:rPr>
          <w:rFonts w:ascii="Arial" w:hAnsi="Arial" w:cs="Arial"/>
          <w:b/>
          <w:sz w:val="22"/>
          <w:szCs w:val="22"/>
        </w:rPr>
        <w:t xml:space="preserve"> –</w:t>
      </w:r>
      <w:r w:rsidR="00304590">
        <w:rPr>
          <w:rFonts w:ascii="Arial" w:hAnsi="Arial" w:cs="Arial"/>
          <w:b/>
          <w:sz w:val="22"/>
          <w:szCs w:val="22"/>
        </w:rPr>
        <w:t xml:space="preserve"> </w:t>
      </w:r>
      <w:r>
        <w:rPr>
          <w:rFonts w:ascii="Arial" w:hAnsi="Arial" w:cs="Arial"/>
          <w:b/>
          <w:sz w:val="22"/>
          <w:szCs w:val="22"/>
        </w:rPr>
        <w:t>Údaje o majetkových účast</w:t>
      </w:r>
      <w:r w:rsidR="00D31409">
        <w:rPr>
          <w:rFonts w:ascii="Arial" w:hAnsi="Arial" w:cs="Arial"/>
          <w:b/>
          <w:sz w:val="22"/>
          <w:szCs w:val="22"/>
        </w:rPr>
        <w:t>ech</w:t>
      </w:r>
      <w:r w:rsidR="00290C84">
        <w:rPr>
          <w:rFonts w:ascii="Arial" w:hAnsi="Arial" w:cs="Arial"/>
          <w:b/>
          <w:sz w:val="22"/>
          <w:szCs w:val="22"/>
        </w:rPr>
        <w:t xml:space="preserve"> státu v obchodní</w:t>
      </w:r>
      <w:r w:rsidR="00D31409">
        <w:rPr>
          <w:rFonts w:ascii="Arial" w:hAnsi="Arial" w:cs="Arial"/>
          <w:b/>
          <w:sz w:val="22"/>
          <w:szCs w:val="22"/>
        </w:rPr>
        <w:t>ch</w:t>
      </w:r>
      <w:r w:rsidR="00290C84">
        <w:rPr>
          <w:rFonts w:ascii="Arial" w:hAnsi="Arial" w:cs="Arial"/>
          <w:b/>
          <w:sz w:val="22"/>
          <w:szCs w:val="22"/>
        </w:rPr>
        <w:t xml:space="preserve"> společnost</w:t>
      </w:r>
      <w:r w:rsidR="00D31409">
        <w:rPr>
          <w:rFonts w:ascii="Arial" w:hAnsi="Arial" w:cs="Arial"/>
          <w:b/>
          <w:sz w:val="22"/>
          <w:szCs w:val="22"/>
        </w:rPr>
        <w:t>ech</w:t>
      </w:r>
      <w:r w:rsidR="00304590">
        <w:rPr>
          <w:rFonts w:ascii="Arial" w:hAnsi="Arial" w:cs="Arial"/>
          <w:b/>
          <w:sz w:val="22"/>
          <w:szCs w:val="22"/>
        </w:rPr>
        <w:t xml:space="preserve"> </w:t>
      </w:r>
    </w:p>
    <w:p w14:paraId="00D91864" w14:textId="77777777" w:rsidR="00E00DF2" w:rsidRDefault="00E00DF2" w:rsidP="00A30487">
      <w:pPr>
        <w:tabs>
          <w:tab w:val="right" w:pos="9072"/>
        </w:tabs>
        <w:spacing w:after="40"/>
        <w:ind w:left="1644"/>
        <w:rPr>
          <w:rFonts w:ascii="Arial" w:hAnsi="Arial" w:cs="Arial"/>
          <w:b/>
          <w:sz w:val="22"/>
          <w:szCs w:val="22"/>
        </w:rPr>
      </w:pPr>
      <w:r>
        <w:rPr>
          <w:rFonts w:ascii="Arial" w:hAnsi="Arial" w:cs="Arial"/>
          <w:b/>
          <w:sz w:val="22"/>
          <w:szCs w:val="22"/>
        </w:rPr>
        <w:t xml:space="preserve">uvedené </w:t>
      </w:r>
      <w:r w:rsidR="009F047D">
        <w:rPr>
          <w:rFonts w:ascii="Arial" w:hAnsi="Arial" w:cs="Arial"/>
          <w:b/>
          <w:sz w:val="22"/>
          <w:szCs w:val="22"/>
        </w:rPr>
        <w:t>v </w:t>
      </w:r>
      <w:r w:rsidRPr="002A7A11">
        <w:rPr>
          <w:rFonts w:ascii="Arial" w:hAnsi="Arial" w:cs="Arial"/>
          <w:b/>
          <w:sz w:val="22"/>
          <w:szCs w:val="22"/>
        </w:rPr>
        <w:t xml:space="preserve">PAP MPO k 31. </w:t>
      </w:r>
      <w:r>
        <w:rPr>
          <w:rFonts w:ascii="Arial" w:hAnsi="Arial" w:cs="Arial"/>
          <w:b/>
          <w:sz w:val="22"/>
          <w:szCs w:val="22"/>
        </w:rPr>
        <w:t>prosinci</w:t>
      </w:r>
      <w:r w:rsidRPr="002A7A11">
        <w:rPr>
          <w:rFonts w:ascii="Arial" w:hAnsi="Arial" w:cs="Arial"/>
          <w:b/>
          <w:sz w:val="22"/>
          <w:szCs w:val="22"/>
        </w:rPr>
        <w:t xml:space="preserve"> 2012</w:t>
      </w:r>
      <w:r>
        <w:rPr>
          <w:rFonts w:ascii="Arial" w:hAnsi="Arial" w:cs="Arial"/>
          <w:b/>
          <w:sz w:val="22"/>
          <w:szCs w:val="22"/>
        </w:rPr>
        <w:t>, které byly v nesouladu s </w:t>
      </w:r>
      <w:r w:rsidRPr="00260B0C">
        <w:rPr>
          <w:rFonts w:ascii="Arial" w:hAnsi="Arial" w:cs="Arial"/>
          <w:b/>
          <w:i/>
          <w:sz w:val="22"/>
          <w:szCs w:val="22"/>
        </w:rPr>
        <w:t>Metodikou tvorby PAP</w:t>
      </w:r>
      <w:r>
        <w:rPr>
          <w:rFonts w:ascii="Arial" w:hAnsi="Arial" w:cs="Arial"/>
          <w:b/>
          <w:sz w:val="22"/>
          <w:szCs w:val="22"/>
        </w:rPr>
        <w:t xml:space="preserve"> </w:t>
      </w:r>
      <w:r w:rsidR="00304590">
        <w:rPr>
          <w:rFonts w:ascii="Arial" w:hAnsi="Arial" w:cs="Arial"/>
          <w:b/>
          <w:sz w:val="22"/>
          <w:szCs w:val="22"/>
        </w:rPr>
        <w:tab/>
      </w:r>
      <w:r>
        <w:rPr>
          <w:rFonts w:ascii="Arial" w:hAnsi="Arial" w:cs="Arial"/>
          <w:b/>
          <w:sz w:val="22"/>
          <w:szCs w:val="22"/>
        </w:rPr>
        <w:t>(v Kč)</w:t>
      </w:r>
    </w:p>
    <w:tbl>
      <w:tblPr>
        <w:tblW w:w="0" w:type="auto"/>
        <w:tblInd w:w="40" w:type="dxa"/>
        <w:tblCellMar>
          <w:left w:w="70" w:type="dxa"/>
          <w:right w:w="70" w:type="dxa"/>
        </w:tblCellMar>
        <w:tblLook w:val="0000" w:firstRow="0" w:lastRow="0" w:firstColumn="0" w:lastColumn="0" w:noHBand="0" w:noVBand="0"/>
      </w:tblPr>
      <w:tblGrid>
        <w:gridCol w:w="3034"/>
        <w:gridCol w:w="3034"/>
        <w:gridCol w:w="3034"/>
      </w:tblGrid>
      <w:tr w:rsidR="00E00DF2" w:rsidRPr="00F506DD" w14:paraId="00D91868" w14:textId="77777777" w:rsidTr="00260B0C">
        <w:trPr>
          <w:trHeight w:val="322"/>
        </w:trPr>
        <w:tc>
          <w:tcPr>
            <w:tcW w:w="3034"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65" w14:textId="77777777" w:rsidR="00E00DF2" w:rsidRPr="00F506DD" w:rsidRDefault="00E00DF2" w:rsidP="007C7817">
            <w:pPr>
              <w:autoSpaceDE w:val="0"/>
              <w:autoSpaceDN w:val="0"/>
              <w:adjustRightInd w:val="0"/>
              <w:jc w:val="center"/>
              <w:rPr>
                <w:rFonts w:ascii="Arial" w:eastAsiaTheme="minorHAnsi" w:hAnsi="Arial" w:cs="Arial"/>
                <w:b/>
                <w:bCs/>
                <w:color w:val="000000"/>
                <w:sz w:val="18"/>
                <w:szCs w:val="18"/>
              </w:rPr>
            </w:pPr>
            <w:r w:rsidRPr="00F506DD">
              <w:rPr>
                <w:rFonts w:ascii="Arial" w:eastAsiaTheme="minorHAnsi" w:hAnsi="Arial" w:cs="Arial"/>
                <w:b/>
                <w:bCs/>
                <w:color w:val="000000"/>
                <w:sz w:val="18"/>
                <w:szCs w:val="18"/>
              </w:rPr>
              <w:t>Část PAP X</w:t>
            </w:r>
          </w:p>
        </w:tc>
        <w:tc>
          <w:tcPr>
            <w:tcW w:w="3034" w:type="dxa"/>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00D91866" w14:textId="77777777" w:rsidR="00E00DF2" w:rsidRPr="00F506DD" w:rsidRDefault="00E00DF2" w:rsidP="007C7817">
            <w:pPr>
              <w:autoSpaceDE w:val="0"/>
              <w:autoSpaceDN w:val="0"/>
              <w:adjustRightInd w:val="0"/>
              <w:jc w:val="center"/>
              <w:rPr>
                <w:rFonts w:ascii="Arial" w:eastAsiaTheme="minorHAnsi" w:hAnsi="Arial" w:cs="Arial"/>
                <w:b/>
                <w:bCs/>
                <w:color w:val="000000"/>
                <w:sz w:val="18"/>
                <w:szCs w:val="18"/>
              </w:rPr>
            </w:pPr>
            <w:r w:rsidRPr="00F506DD">
              <w:rPr>
                <w:rFonts w:ascii="Arial" w:eastAsiaTheme="minorHAnsi" w:hAnsi="Arial" w:cs="Arial"/>
                <w:b/>
                <w:bCs/>
                <w:color w:val="000000"/>
                <w:sz w:val="18"/>
                <w:szCs w:val="18"/>
              </w:rPr>
              <w:t>Část PAP XIII</w:t>
            </w:r>
          </w:p>
        </w:tc>
        <w:tc>
          <w:tcPr>
            <w:tcW w:w="3034" w:type="dxa"/>
            <w:vMerge w:val="restart"/>
            <w:tcBorders>
              <w:top w:val="single" w:sz="12" w:space="0" w:color="auto"/>
              <w:left w:val="nil"/>
              <w:right w:val="single" w:sz="12" w:space="0" w:color="auto"/>
            </w:tcBorders>
            <w:shd w:val="clear" w:color="auto" w:fill="C6D9F1" w:themeFill="text2" w:themeFillTint="33"/>
            <w:vAlign w:val="center"/>
          </w:tcPr>
          <w:p w14:paraId="00D91867" w14:textId="77777777" w:rsidR="00E00DF2" w:rsidRPr="00F506DD" w:rsidRDefault="00E00DF2" w:rsidP="007C7817">
            <w:pPr>
              <w:autoSpaceDE w:val="0"/>
              <w:autoSpaceDN w:val="0"/>
              <w:adjustRightInd w:val="0"/>
              <w:jc w:val="center"/>
              <w:rPr>
                <w:rFonts w:ascii="Arial" w:eastAsiaTheme="minorHAnsi" w:hAnsi="Arial" w:cs="Arial"/>
                <w:b/>
                <w:bCs/>
                <w:color w:val="000000"/>
                <w:sz w:val="18"/>
                <w:szCs w:val="18"/>
              </w:rPr>
            </w:pPr>
            <w:r w:rsidRPr="00F506DD">
              <w:rPr>
                <w:rFonts w:ascii="Arial" w:eastAsiaTheme="minorHAnsi" w:hAnsi="Arial" w:cs="Arial"/>
                <w:b/>
                <w:bCs/>
                <w:color w:val="000000"/>
                <w:sz w:val="18"/>
                <w:szCs w:val="18"/>
              </w:rPr>
              <w:t>Celkový součet</w:t>
            </w:r>
          </w:p>
        </w:tc>
      </w:tr>
      <w:tr w:rsidR="00E00DF2" w:rsidRPr="00F506DD" w14:paraId="00D9186C" w14:textId="77777777" w:rsidTr="00260B0C">
        <w:trPr>
          <w:trHeight w:val="305"/>
        </w:trPr>
        <w:tc>
          <w:tcPr>
            <w:tcW w:w="3034"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69" w14:textId="77777777" w:rsidR="00E00DF2" w:rsidRPr="00F506DD" w:rsidRDefault="00374B49"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w:t>
            </w:r>
            <w:r w:rsidR="00E00DF2">
              <w:rPr>
                <w:rFonts w:ascii="Arial" w:eastAsiaTheme="minorHAnsi" w:hAnsi="Arial" w:cs="Arial"/>
                <w:b/>
                <w:bCs/>
                <w:color w:val="000000"/>
                <w:sz w:val="18"/>
                <w:szCs w:val="18"/>
              </w:rPr>
              <w:t>nalytické členění</w:t>
            </w:r>
            <w:r w:rsidR="00E00DF2" w:rsidRPr="00F506DD">
              <w:rPr>
                <w:rFonts w:ascii="Arial" w:eastAsiaTheme="minorHAnsi" w:hAnsi="Arial" w:cs="Arial"/>
                <w:b/>
                <w:bCs/>
                <w:color w:val="000000"/>
                <w:sz w:val="18"/>
                <w:szCs w:val="18"/>
              </w:rPr>
              <w:t xml:space="preserve"> k účtu 062</w:t>
            </w:r>
          </w:p>
        </w:tc>
        <w:tc>
          <w:tcPr>
            <w:tcW w:w="3034" w:type="dxa"/>
            <w:tcBorders>
              <w:top w:val="single" w:sz="6" w:space="0" w:color="auto"/>
              <w:left w:val="single" w:sz="12" w:space="0" w:color="auto"/>
              <w:bottom w:val="single" w:sz="12" w:space="0" w:color="auto"/>
              <w:right w:val="single" w:sz="12" w:space="0" w:color="auto"/>
            </w:tcBorders>
            <w:shd w:val="clear" w:color="auto" w:fill="C6D9F1" w:themeFill="text2" w:themeFillTint="33"/>
            <w:vAlign w:val="center"/>
          </w:tcPr>
          <w:p w14:paraId="00D9186A" w14:textId="77777777" w:rsidR="00E00DF2" w:rsidRPr="00F506DD" w:rsidRDefault="00374B49" w:rsidP="007C7817">
            <w:pPr>
              <w:autoSpaceDE w:val="0"/>
              <w:autoSpaceDN w:val="0"/>
              <w:adjustRightInd w:val="0"/>
              <w:jc w:val="center"/>
              <w:rPr>
                <w:rFonts w:ascii="Arial" w:eastAsiaTheme="minorHAnsi" w:hAnsi="Arial" w:cs="Arial"/>
                <w:b/>
                <w:bCs/>
                <w:color w:val="000000"/>
                <w:sz w:val="18"/>
                <w:szCs w:val="18"/>
              </w:rPr>
            </w:pPr>
            <w:r>
              <w:rPr>
                <w:rFonts w:ascii="Arial" w:eastAsiaTheme="minorHAnsi" w:hAnsi="Arial" w:cs="Arial"/>
                <w:b/>
                <w:bCs/>
                <w:color w:val="000000"/>
                <w:sz w:val="18"/>
                <w:szCs w:val="18"/>
              </w:rPr>
              <w:t>A</w:t>
            </w:r>
            <w:r w:rsidR="00E00DF2">
              <w:rPr>
                <w:rFonts w:ascii="Arial" w:eastAsiaTheme="minorHAnsi" w:hAnsi="Arial" w:cs="Arial"/>
                <w:b/>
                <w:bCs/>
                <w:color w:val="000000"/>
                <w:sz w:val="18"/>
                <w:szCs w:val="18"/>
              </w:rPr>
              <w:t>nalytické členění</w:t>
            </w:r>
            <w:r w:rsidR="00E00DF2" w:rsidRPr="00F506DD">
              <w:rPr>
                <w:rFonts w:ascii="Arial" w:eastAsiaTheme="minorHAnsi" w:hAnsi="Arial" w:cs="Arial"/>
                <w:b/>
                <w:bCs/>
                <w:color w:val="000000"/>
                <w:sz w:val="18"/>
                <w:szCs w:val="18"/>
              </w:rPr>
              <w:t xml:space="preserve"> k účtu 061</w:t>
            </w:r>
          </w:p>
        </w:tc>
        <w:tc>
          <w:tcPr>
            <w:tcW w:w="3034" w:type="dxa"/>
            <w:vMerge/>
            <w:tcBorders>
              <w:left w:val="nil"/>
              <w:bottom w:val="single" w:sz="12" w:space="0" w:color="auto"/>
              <w:right w:val="single" w:sz="12" w:space="0" w:color="auto"/>
            </w:tcBorders>
            <w:shd w:val="clear" w:color="auto" w:fill="D9D9D9" w:themeFill="background1" w:themeFillShade="D9"/>
          </w:tcPr>
          <w:p w14:paraId="00D9186B" w14:textId="77777777" w:rsidR="00E00DF2" w:rsidRPr="00F506DD" w:rsidRDefault="00E00DF2" w:rsidP="007C7817">
            <w:pPr>
              <w:autoSpaceDE w:val="0"/>
              <w:autoSpaceDN w:val="0"/>
              <w:adjustRightInd w:val="0"/>
              <w:jc w:val="center"/>
              <w:rPr>
                <w:rFonts w:ascii="Arial" w:eastAsiaTheme="minorHAnsi" w:hAnsi="Arial" w:cs="Arial"/>
                <w:b/>
                <w:bCs/>
                <w:color w:val="000000"/>
                <w:sz w:val="18"/>
                <w:szCs w:val="18"/>
              </w:rPr>
            </w:pPr>
          </w:p>
        </w:tc>
      </w:tr>
      <w:tr w:rsidR="00E00DF2" w:rsidRPr="00F506DD" w14:paraId="00D91870" w14:textId="77777777" w:rsidTr="00724F3E">
        <w:trPr>
          <w:trHeight w:val="305"/>
        </w:trPr>
        <w:tc>
          <w:tcPr>
            <w:tcW w:w="3034" w:type="dxa"/>
            <w:tcBorders>
              <w:top w:val="nil"/>
              <w:left w:val="single" w:sz="12" w:space="0" w:color="auto"/>
              <w:bottom w:val="single" w:sz="12" w:space="0" w:color="auto"/>
              <w:right w:val="single" w:sz="12" w:space="0" w:color="auto"/>
            </w:tcBorders>
            <w:vAlign w:val="center"/>
          </w:tcPr>
          <w:p w14:paraId="00D9186D" w14:textId="77777777" w:rsidR="00E00DF2" w:rsidRPr="00F506DD" w:rsidRDefault="00E00DF2" w:rsidP="007C7817">
            <w:pPr>
              <w:autoSpaceDE w:val="0"/>
              <w:autoSpaceDN w:val="0"/>
              <w:adjustRightInd w:val="0"/>
              <w:jc w:val="right"/>
              <w:rPr>
                <w:rFonts w:ascii="Arial" w:eastAsiaTheme="minorHAnsi" w:hAnsi="Arial" w:cs="Arial"/>
                <w:color w:val="000000"/>
                <w:sz w:val="18"/>
                <w:szCs w:val="18"/>
              </w:rPr>
            </w:pPr>
            <w:r w:rsidRPr="00F506DD">
              <w:rPr>
                <w:rFonts w:ascii="Arial" w:eastAsiaTheme="minorHAnsi" w:hAnsi="Arial" w:cs="Arial"/>
                <w:color w:val="000000"/>
                <w:sz w:val="18"/>
                <w:szCs w:val="18"/>
              </w:rPr>
              <w:t>1 920 000 000,00</w:t>
            </w:r>
          </w:p>
        </w:tc>
        <w:tc>
          <w:tcPr>
            <w:tcW w:w="3034" w:type="dxa"/>
            <w:tcBorders>
              <w:top w:val="nil"/>
              <w:left w:val="single" w:sz="12" w:space="0" w:color="auto"/>
              <w:bottom w:val="single" w:sz="12" w:space="0" w:color="auto"/>
              <w:right w:val="single" w:sz="12" w:space="0" w:color="auto"/>
            </w:tcBorders>
            <w:vAlign w:val="center"/>
          </w:tcPr>
          <w:p w14:paraId="00D9186E" w14:textId="77777777" w:rsidR="00E00DF2" w:rsidRPr="00F506DD" w:rsidRDefault="00E00DF2" w:rsidP="007C7817">
            <w:pPr>
              <w:autoSpaceDE w:val="0"/>
              <w:autoSpaceDN w:val="0"/>
              <w:adjustRightInd w:val="0"/>
              <w:jc w:val="right"/>
              <w:rPr>
                <w:rFonts w:ascii="Arial" w:eastAsiaTheme="minorHAnsi" w:hAnsi="Arial" w:cs="Arial"/>
                <w:color w:val="000000"/>
                <w:sz w:val="18"/>
                <w:szCs w:val="18"/>
              </w:rPr>
            </w:pPr>
            <w:r w:rsidRPr="00F506DD">
              <w:rPr>
                <w:rFonts w:ascii="Arial" w:eastAsiaTheme="minorHAnsi" w:hAnsi="Arial" w:cs="Arial"/>
                <w:color w:val="000000"/>
                <w:sz w:val="18"/>
                <w:szCs w:val="18"/>
              </w:rPr>
              <w:t>1 580 232 400,00</w:t>
            </w:r>
          </w:p>
        </w:tc>
        <w:tc>
          <w:tcPr>
            <w:tcW w:w="3034" w:type="dxa"/>
            <w:tcBorders>
              <w:top w:val="nil"/>
              <w:left w:val="nil"/>
              <w:bottom w:val="single" w:sz="12" w:space="0" w:color="auto"/>
              <w:right w:val="single" w:sz="12" w:space="0" w:color="auto"/>
            </w:tcBorders>
            <w:vAlign w:val="center"/>
          </w:tcPr>
          <w:p w14:paraId="00D9186F" w14:textId="77777777" w:rsidR="00E00DF2" w:rsidRPr="00F506DD" w:rsidRDefault="00E00DF2" w:rsidP="007C7817">
            <w:pPr>
              <w:autoSpaceDE w:val="0"/>
              <w:autoSpaceDN w:val="0"/>
              <w:adjustRightInd w:val="0"/>
              <w:jc w:val="right"/>
              <w:rPr>
                <w:rFonts w:ascii="Arial" w:eastAsiaTheme="minorHAnsi" w:hAnsi="Arial" w:cs="Arial"/>
                <w:b/>
                <w:bCs/>
                <w:color w:val="000000"/>
                <w:sz w:val="18"/>
                <w:szCs w:val="18"/>
              </w:rPr>
            </w:pPr>
            <w:r w:rsidRPr="00F506DD">
              <w:rPr>
                <w:rFonts w:ascii="Arial" w:hAnsi="Arial" w:cs="Arial"/>
                <w:bCs/>
                <w:iCs/>
                <w:sz w:val="18"/>
                <w:szCs w:val="18"/>
              </w:rPr>
              <w:t>3 500 232 400</w:t>
            </w:r>
            <w:r w:rsidRPr="00F506DD">
              <w:rPr>
                <w:rFonts w:ascii="Arial" w:eastAsiaTheme="minorHAnsi" w:hAnsi="Arial" w:cs="Arial"/>
                <w:bCs/>
                <w:color w:val="000000"/>
                <w:sz w:val="18"/>
                <w:szCs w:val="18"/>
              </w:rPr>
              <w:t>,00</w:t>
            </w:r>
          </w:p>
        </w:tc>
      </w:tr>
    </w:tbl>
    <w:p w14:paraId="00D91871" w14:textId="77777777" w:rsidR="00E00DF2" w:rsidRPr="0063342A" w:rsidRDefault="00E00DF2" w:rsidP="00260B0C">
      <w:pPr>
        <w:pStyle w:val="Bezmezer"/>
        <w:spacing w:after="0"/>
        <w:ind w:left="595" w:hanging="595"/>
        <w:jc w:val="left"/>
        <w:rPr>
          <w:sz w:val="18"/>
          <w:szCs w:val="18"/>
        </w:rPr>
      </w:pPr>
      <w:r w:rsidRPr="00260B0C">
        <w:rPr>
          <w:b/>
          <w:sz w:val="18"/>
          <w:szCs w:val="18"/>
        </w:rPr>
        <w:t>Pozn.:</w:t>
      </w:r>
      <w:r w:rsidRPr="0063342A">
        <w:rPr>
          <w:sz w:val="18"/>
          <w:szCs w:val="18"/>
        </w:rPr>
        <w:t xml:space="preserve"> Zjištěné částky zachycené v nesouladu s </w:t>
      </w:r>
      <w:r w:rsidRPr="00260B0C">
        <w:rPr>
          <w:i/>
          <w:sz w:val="18"/>
          <w:szCs w:val="18"/>
        </w:rPr>
        <w:t>Metodikou tvorby PAP</w:t>
      </w:r>
      <w:r w:rsidRPr="0063342A">
        <w:rPr>
          <w:sz w:val="18"/>
          <w:szCs w:val="18"/>
        </w:rPr>
        <w:t xml:space="preserve"> se do další</w:t>
      </w:r>
      <w:r w:rsidR="00374B49">
        <w:rPr>
          <w:sz w:val="18"/>
          <w:szCs w:val="18"/>
        </w:rPr>
        <w:t>ch</w:t>
      </w:r>
      <w:r w:rsidRPr="0063342A">
        <w:rPr>
          <w:sz w:val="18"/>
          <w:szCs w:val="18"/>
        </w:rPr>
        <w:t xml:space="preserve"> část</w:t>
      </w:r>
      <w:r w:rsidR="00374B49">
        <w:rPr>
          <w:sz w:val="18"/>
          <w:szCs w:val="18"/>
        </w:rPr>
        <w:t>í</w:t>
      </w:r>
      <w:r w:rsidRPr="0063342A">
        <w:rPr>
          <w:sz w:val="18"/>
          <w:szCs w:val="18"/>
        </w:rPr>
        <w:t xml:space="preserve"> PAP nepřenesly, tj.</w:t>
      </w:r>
      <w:r w:rsidR="003266CC">
        <w:rPr>
          <w:sz w:val="18"/>
          <w:szCs w:val="18"/>
        </w:rPr>
        <w:t> </w:t>
      </w:r>
      <w:r w:rsidRPr="0063342A">
        <w:rPr>
          <w:sz w:val="18"/>
          <w:szCs w:val="18"/>
        </w:rPr>
        <w:t>neřetězily se.</w:t>
      </w:r>
    </w:p>
    <w:p w14:paraId="00D91872" w14:textId="77777777" w:rsidR="00E00DF2" w:rsidRDefault="00E00DF2" w:rsidP="00E00DF2">
      <w:pPr>
        <w:jc w:val="both"/>
        <w:rPr>
          <w:rFonts w:ascii="Arial" w:hAnsi="Arial" w:cs="Arial"/>
          <w:sz w:val="22"/>
          <w:szCs w:val="22"/>
        </w:rPr>
      </w:pPr>
    </w:p>
    <w:p w14:paraId="00D91873" w14:textId="77777777" w:rsidR="00E00DF2" w:rsidRPr="00394D22" w:rsidRDefault="00E00DF2" w:rsidP="00E00DF2">
      <w:pPr>
        <w:jc w:val="both"/>
        <w:rPr>
          <w:rFonts w:ascii="Arial" w:hAnsi="Arial" w:cs="Arial"/>
          <w:sz w:val="22"/>
          <w:szCs w:val="22"/>
        </w:rPr>
      </w:pPr>
      <w:r w:rsidRPr="00394D22">
        <w:rPr>
          <w:rFonts w:ascii="Arial" w:hAnsi="Arial" w:cs="Arial"/>
          <w:b/>
          <w:sz w:val="22"/>
          <w:szCs w:val="22"/>
        </w:rPr>
        <w:t>5</w:t>
      </w:r>
      <w:r w:rsidR="00525767">
        <w:rPr>
          <w:rFonts w:ascii="Arial" w:hAnsi="Arial" w:cs="Arial"/>
          <w:b/>
          <w:sz w:val="22"/>
          <w:szCs w:val="22"/>
        </w:rPr>
        <w:t>.</w:t>
      </w:r>
      <w:r w:rsidRPr="00394D22">
        <w:rPr>
          <w:rFonts w:ascii="Arial" w:hAnsi="Arial" w:cs="Arial"/>
          <w:b/>
          <w:sz w:val="22"/>
          <w:szCs w:val="22"/>
        </w:rPr>
        <w:t xml:space="preserve"> Další zjištěné</w:t>
      </w:r>
      <w:r w:rsidR="003678EE">
        <w:rPr>
          <w:rFonts w:ascii="Arial" w:hAnsi="Arial" w:cs="Arial"/>
          <w:b/>
          <w:sz w:val="22"/>
          <w:szCs w:val="22"/>
        </w:rPr>
        <w:t xml:space="preserve"> </w:t>
      </w:r>
      <w:r w:rsidRPr="00394D22">
        <w:rPr>
          <w:rFonts w:ascii="Arial" w:hAnsi="Arial" w:cs="Arial"/>
          <w:b/>
          <w:sz w:val="22"/>
          <w:szCs w:val="22"/>
        </w:rPr>
        <w:t>skutečnosti</w:t>
      </w:r>
    </w:p>
    <w:p w14:paraId="00D91874" w14:textId="77777777" w:rsidR="00E00DF2" w:rsidRPr="00394D22" w:rsidRDefault="00E00DF2" w:rsidP="00E00DF2">
      <w:pPr>
        <w:jc w:val="both"/>
        <w:rPr>
          <w:rFonts w:cs="Arial"/>
          <w:b/>
          <w:bCs/>
          <w:iCs/>
        </w:rPr>
      </w:pPr>
    </w:p>
    <w:p w14:paraId="00D91875" w14:textId="77777777" w:rsidR="00E00DF2" w:rsidRPr="00260B0C" w:rsidRDefault="00525767" w:rsidP="00E00DF2">
      <w:pPr>
        <w:jc w:val="both"/>
        <w:rPr>
          <w:rFonts w:ascii="Arial" w:hAnsi="Arial" w:cs="Arial"/>
          <w:b/>
          <w:bCs/>
          <w:iCs/>
          <w:sz w:val="22"/>
          <w:szCs w:val="22"/>
        </w:rPr>
      </w:pPr>
      <w:r w:rsidRPr="00260B0C">
        <w:rPr>
          <w:rFonts w:ascii="Arial" w:hAnsi="Arial" w:cs="Arial"/>
          <w:b/>
          <w:bCs/>
          <w:iCs/>
          <w:sz w:val="22"/>
          <w:szCs w:val="22"/>
        </w:rPr>
        <w:t xml:space="preserve">5.1 </w:t>
      </w:r>
      <w:r w:rsidR="00E00DF2" w:rsidRPr="00260B0C">
        <w:rPr>
          <w:rFonts w:ascii="Arial" w:hAnsi="Arial" w:cs="Arial"/>
          <w:b/>
          <w:bCs/>
          <w:iCs/>
          <w:sz w:val="22"/>
          <w:szCs w:val="22"/>
        </w:rPr>
        <w:t>Ocenění majetkových účastí</w:t>
      </w:r>
    </w:p>
    <w:p w14:paraId="00D91876" w14:textId="77777777" w:rsidR="00E00DF2" w:rsidRPr="00394D22" w:rsidRDefault="00E00DF2" w:rsidP="00E00DF2">
      <w:pPr>
        <w:jc w:val="both"/>
        <w:rPr>
          <w:rFonts w:ascii="Arial" w:hAnsi="Arial" w:cs="Arial"/>
          <w:bCs/>
          <w:iCs/>
          <w:sz w:val="22"/>
          <w:szCs w:val="22"/>
        </w:rPr>
      </w:pPr>
    </w:p>
    <w:p w14:paraId="00D91877" w14:textId="77777777" w:rsidR="00E00DF2" w:rsidRPr="00010E37" w:rsidRDefault="00E00DF2" w:rsidP="00E00DF2">
      <w:pPr>
        <w:jc w:val="both"/>
        <w:rPr>
          <w:rFonts w:ascii="Arial" w:hAnsi="Arial" w:cs="Arial"/>
          <w:b/>
          <w:sz w:val="22"/>
          <w:szCs w:val="22"/>
        </w:rPr>
      </w:pPr>
      <w:r w:rsidRPr="00010E37">
        <w:rPr>
          <w:rFonts w:ascii="Arial" w:hAnsi="Arial" w:cs="Arial"/>
          <w:b/>
          <w:bCs/>
          <w:iCs/>
          <w:sz w:val="22"/>
          <w:szCs w:val="22"/>
        </w:rPr>
        <w:t xml:space="preserve">MPO vedlo </w:t>
      </w:r>
      <w:r w:rsidRPr="00010E37">
        <w:rPr>
          <w:rFonts w:ascii="Arial" w:hAnsi="Arial" w:cs="Arial"/>
          <w:b/>
          <w:sz w:val="22"/>
          <w:szCs w:val="22"/>
        </w:rPr>
        <w:t xml:space="preserve">k datu 31. prosince 2012 ve svém účetnictví na účtu </w:t>
      </w:r>
      <w:r w:rsidRPr="00DA7D84">
        <w:rPr>
          <w:rFonts w:ascii="Arial" w:hAnsi="Arial" w:cs="Arial"/>
          <w:b/>
          <w:bCs/>
          <w:iCs/>
          <w:sz w:val="22"/>
          <w:szCs w:val="22"/>
        </w:rPr>
        <w:t>061 –</w:t>
      </w:r>
      <w:r w:rsidRPr="00010E37">
        <w:rPr>
          <w:rFonts w:ascii="Arial" w:hAnsi="Arial" w:cs="Arial"/>
          <w:b/>
          <w:bCs/>
          <w:i/>
          <w:iCs/>
          <w:sz w:val="22"/>
          <w:szCs w:val="22"/>
        </w:rPr>
        <w:t xml:space="preserve"> Majetkové účasti v osobách s rozhodujícím vlivem</w:t>
      </w:r>
      <w:r w:rsidRPr="00010E37">
        <w:rPr>
          <w:rFonts w:ascii="Arial" w:hAnsi="Arial" w:cs="Arial"/>
          <w:b/>
          <w:sz w:val="22"/>
          <w:szCs w:val="22"/>
        </w:rPr>
        <w:t xml:space="preserve"> a uvádělo </w:t>
      </w:r>
      <w:r w:rsidR="009F047D">
        <w:rPr>
          <w:rFonts w:ascii="Arial" w:hAnsi="Arial" w:cs="Arial"/>
          <w:b/>
          <w:sz w:val="22"/>
          <w:szCs w:val="22"/>
        </w:rPr>
        <w:t>v </w:t>
      </w:r>
      <w:r w:rsidRPr="00010E37">
        <w:rPr>
          <w:rFonts w:ascii="Arial" w:hAnsi="Arial" w:cs="Arial"/>
          <w:b/>
          <w:sz w:val="22"/>
          <w:szCs w:val="22"/>
        </w:rPr>
        <w:t>PAP majetkovou účast státu v obchodní společnosti</w:t>
      </w:r>
      <w:r w:rsidR="00344858">
        <w:rPr>
          <w:rFonts w:ascii="Arial" w:hAnsi="Arial" w:cs="Arial"/>
          <w:b/>
          <w:sz w:val="22"/>
          <w:szCs w:val="22"/>
        </w:rPr>
        <w:t xml:space="preserve"> </w:t>
      </w:r>
      <w:r w:rsidR="009F047D">
        <w:rPr>
          <w:rFonts w:ascii="Arial" w:hAnsi="Arial" w:cs="Arial"/>
          <w:b/>
          <w:sz w:val="22"/>
          <w:szCs w:val="22"/>
        </w:rPr>
        <w:t>v </w:t>
      </w:r>
      <w:r w:rsidR="00344858">
        <w:rPr>
          <w:rFonts w:ascii="Arial" w:hAnsi="Arial" w:cs="Arial"/>
          <w:b/>
          <w:sz w:val="22"/>
          <w:szCs w:val="22"/>
        </w:rPr>
        <w:t>podobě cenných papírů</w:t>
      </w:r>
      <w:r w:rsidRPr="00010E37">
        <w:rPr>
          <w:rFonts w:ascii="Arial" w:hAnsi="Arial" w:cs="Arial"/>
          <w:b/>
          <w:sz w:val="22"/>
          <w:szCs w:val="22"/>
        </w:rPr>
        <w:t xml:space="preserve"> (akci</w:t>
      </w:r>
      <w:r w:rsidR="00344858">
        <w:rPr>
          <w:rFonts w:ascii="Arial" w:hAnsi="Arial" w:cs="Arial"/>
          <w:b/>
          <w:sz w:val="22"/>
          <w:szCs w:val="22"/>
        </w:rPr>
        <w:t>í</w:t>
      </w:r>
      <w:r w:rsidRPr="00010E37">
        <w:rPr>
          <w:rFonts w:ascii="Arial" w:hAnsi="Arial" w:cs="Arial"/>
          <w:b/>
          <w:sz w:val="22"/>
          <w:szCs w:val="22"/>
        </w:rPr>
        <w:t>) v celkové účetní hodnotě 13 097 593 857,44 Kč.</w:t>
      </w:r>
    </w:p>
    <w:p w14:paraId="00D91878" w14:textId="77777777" w:rsidR="00E00DF2" w:rsidRPr="00394D22" w:rsidRDefault="00E00DF2" w:rsidP="00E00DF2">
      <w:pPr>
        <w:jc w:val="both"/>
        <w:rPr>
          <w:rFonts w:ascii="Arial" w:hAnsi="Arial" w:cs="Arial"/>
          <w:bCs/>
          <w:iCs/>
          <w:sz w:val="22"/>
          <w:szCs w:val="22"/>
        </w:rPr>
      </w:pPr>
    </w:p>
    <w:p w14:paraId="00D91879" w14:textId="77777777" w:rsidR="00E00DF2" w:rsidRPr="00394D22" w:rsidRDefault="00E00DF2" w:rsidP="00E00DF2">
      <w:pPr>
        <w:jc w:val="both"/>
        <w:rPr>
          <w:rFonts w:ascii="Arial" w:hAnsi="Arial" w:cs="Arial"/>
          <w:sz w:val="22"/>
          <w:szCs w:val="22"/>
        </w:rPr>
      </w:pPr>
      <w:r w:rsidRPr="00394D22">
        <w:rPr>
          <w:rFonts w:ascii="Arial" w:hAnsi="Arial" w:cs="Arial"/>
          <w:bCs/>
          <w:iCs/>
          <w:sz w:val="22"/>
          <w:szCs w:val="22"/>
        </w:rPr>
        <w:t xml:space="preserve">V roce 2009 </w:t>
      </w:r>
      <w:r w:rsidR="00245C09">
        <w:rPr>
          <w:rFonts w:ascii="Arial" w:hAnsi="Arial" w:cs="Arial"/>
          <w:bCs/>
          <w:iCs/>
          <w:sz w:val="22"/>
          <w:szCs w:val="22"/>
        </w:rPr>
        <w:t>převzalo</w:t>
      </w:r>
      <w:r w:rsidRPr="00394D22">
        <w:rPr>
          <w:rFonts w:ascii="Arial" w:hAnsi="Arial" w:cs="Arial"/>
          <w:bCs/>
          <w:iCs/>
          <w:sz w:val="22"/>
          <w:szCs w:val="22"/>
        </w:rPr>
        <w:t xml:space="preserve"> MPO </w:t>
      </w:r>
      <w:r>
        <w:rPr>
          <w:rFonts w:ascii="Arial" w:hAnsi="Arial" w:cs="Arial"/>
          <w:bCs/>
          <w:iCs/>
          <w:sz w:val="22"/>
          <w:szCs w:val="22"/>
        </w:rPr>
        <w:t xml:space="preserve">od Ministerstva financí </w:t>
      </w:r>
      <w:r w:rsidRPr="00394D22">
        <w:rPr>
          <w:rFonts w:ascii="Arial" w:hAnsi="Arial" w:cs="Arial"/>
          <w:sz w:val="22"/>
          <w:szCs w:val="22"/>
        </w:rPr>
        <w:t>34%</w:t>
      </w:r>
      <w:r w:rsidR="00344858">
        <w:rPr>
          <w:rFonts w:ascii="Arial" w:hAnsi="Arial" w:cs="Arial"/>
          <w:sz w:val="22"/>
          <w:szCs w:val="22"/>
        </w:rPr>
        <w:t xml:space="preserve"> podíl státu v obchodní společnosti ve formě</w:t>
      </w:r>
      <w:r w:rsidRPr="00394D22">
        <w:rPr>
          <w:rFonts w:ascii="Arial" w:hAnsi="Arial" w:cs="Arial"/>
          <w:sz w:val="22"/>
          <w:szCs w:val="22"/>
        </w:rPr>
        <w:t xml:space="preserve"> akcií s tím, že hodnota předávaného majetku podle stavu v účetnictví MF </w:t>
      </w:r>
      <w:r>
        <w:rPr>
          <w:rFonts w:ascii="Arial" w:hAnsi="Arial" w:cs="Arial"/>
          <w:sz w:val="22"/>
          <w:szCs w:val="22"/>
        </w:rPr>
        <w:t>je</w:t>
      </w:r>
      <w:r w:rsidRPr="00394D22">
        <w:rPr>
          <w:rFonts w:ascii="Arial" w:hAnsi="Arial" w:cs="Arial"/>
          <w:sz w:val="22"/>
          <w:szCs w:val="22"/>
        </w:rPr>
        <w:t xml:space="preserve"> 3 581 860 087 Kč. V roce 2012 </w:t>
      </w:r>
      <w:r w:rsidR="00245C09">
        <w:rPr>
          <w:rFonts w:ascii="Arial" w:hAnsi="Arial" w:cs="Arial"/>
          <w:sz w:val="22"/>
          <w:szCs w:val="22"/>
        </w:rPr>
        <w:t>převzalo</w:t>
      </w:r>
      <w:r w:rsidRPr="00394D22">
        <w:rPr>
          <w:rFonts w:ascii="Arial" w:hAnsi="Arial" w:cs="Arial"/>
          <w:sz w:val="22"/>
          <w:szCs w:val="22"/>
        </w:rPr>
        <w:t xml:space="preserve"> MPO </w:t>
      </w:r>
      <w:r w:rsidR="002A7152" w:rsidRPr="00394D22">
        <w:rPr>
          <w:rFonts w:ascii="Arial" w:hAnsi="Arial" w:cs="Arial"/>
          <w:sz w:val="22"/>
          <w:szCs w:val="22"/>
        </w:rPr>
        <w:t xml:space="preserve">od </w:t>
      </w:r>
      <w:r w:rsidR="002A7152">
        <w:rPr>
          <w:rFonts w:ascii="Arial" w:hAnsi="Arial" w:cs="Arial"/>
          <w:sz w:val="22"/>
          <w:szCs w:val="22"/>
        </w:rPr>
        <w:t xml:space="preserve">MPSV </w:t>
      </w:r>
      <w:r w:rsidRPr="00394D22">
        <w:rPr>
          <w:rFonts w:ascii="Arial" w:hAnsi="Arial" w:cs="Arial"/>
          <w:sz w:val="22"/>
          <w:szCs w:val="22"/>
        </w:rPr>
        <w:t>15%</w:t>
      </w:r>
      <w:r w:rsidR="00344858">
        <w:rPr>
          <w:rFonts w:ascii="Arial" w:hAnsi="Arial" w:cs="Arial"/>
          <w:sz w:val="22"/>
          <w:szCs w:val="22"/>
        </w:rPr>
        <w:t xml:space="preserve"> podíl státu v této obchodní společnosti ve formě</w:t>
      </w:r>
      <w:r w:rsidRPr="00394D22">
        <w:rPr>
          <w:rFonts w:ascii="Arial" w:hAnsi="Arial" w:cs="Arial"/>
          <w:sz w:val="22"/>
          <w:szCs w:val="22"/>
        </w:rPr>
        <w:t xml:space="preserve"> akcií </w:t>
      </w:r>
      <w:r w:rsidR="009F047D">
        <w:rPr>
          <w:rFonts w:ascii="Arial" w:hAnsi="Arial" w:cs="Arial"/>
          <w:sz w:val="22"/>
          <w:szCs w:val="22"/>
        </w:rPr>
        <w:t>s </w:t>
      </w:r>
      <w:r w:rsidRPr="00394D22">
        <w:rPr>
          <w:rFonts w:ascii="Arial" w:hAnsi="Arial" w:cs="Arial"/>
          <w:sz w:val="22"/>
          <w:szCs w:val="22"/>
        </w:rPr>
        <w:t>tím, že hodnota před</w:t>
      </w:r>
      <w:r w:rsidR="002A7152">
        <w:rPr>
          <w:rFonts w:ascii="Arial" w:hAnsi="Arial" w:cs="Arial"/>
          <w:sz w:val="22"/>
          <w:szCs w:val="22"/>
        </w:rPr>
        <w:t>ávaného</w:t>
      </w:r>
      <w:r w:rsidRPr="00394D22">
        <w:rPr>
          <w:rFonts w:ascii="Arial" w:hAnsi="Arial" w:cs="Arial"/>
          <w:sz w:val="22"/>
          <w:szCs w:val="22"/>
        </w:rPr>
        <w:t xml:space="preserve"> majetku podle stavu v účetnictví MPSV </w:t>
      </w:r>
      <w:r>
        <w:rPr>
          <w:rFonts w:ascii="Arial" w:hAnsi="Arial" w:cs="Arial"/>
          <w:sz w:val="22"/>
          <w:szCs w:val="22"/>
        </w:rPr>
        <w:t>je</w:t>
      </w:r>
      <w:r w:rsidRPr="00394D22">
        <w:rPr>
          <w:rFonts w:ascii="Arial" w:hAnsi="Arial" w:cs="Arial"/>
          <w:sz w:val="22"/>
          <w:szCs w:val="22"/>
        </w:rPr>
        <w:t xml:space="preserve"> 1 580 232 400 Kč. Obě tyto hodnoty použilo MPO pro ocenění těchto</w:t>
      </w:r>
      <w:r>
        <w:rPr>
          <w:rFonts w:ascii="Arial" w:hAnsi="Arial" w:cs="Arial"/>
          <w:sz w:val="22"/>
          <w:szCs w:val="22"/>
        </w:rPr>
        <w:t xml:space="preserve"> </w:t>
      </w:r>
      <w:r w:rsidRPr="00394D22">
        <w:rPr>
          <w:rFonts w:ascii="Arial" w:hAnsi="Arial" w:cs="Arial"/>
          <w:sz w:val="22"/>
          <w:szCs w:val="22"/>
        </w:rPr>
        <w:t>majetkových účast</w:t>
      </w:r>
      <w:r>
        <w:rPr>
          <w:rFonts w:ascii="Arial" w:hAnsi="Arial" w:cs="Arial"/>
          <w:sz w:val="22"/>
          <w:szCs w:val="22"/>
        </w:rPr>
        <w:t>í</w:t>
      </w:r>
      <w:r w:rsidR="00D31409">
        <w:rPr>
          <w:rFonts w:ascii="Arial" w:hAnsi="Arial" w:cs="Arial"/>
          <w:sz w:val="22"/>
          <w:szCs w:val="22"/>
        </w:rPr>
        <w:t xml:space="preserve"> státu</w:t>
      </w:r>
      <w:r>
        <w:rPr>
          <w:rFonts w:ascii="Arial" w:hAnsi="Arial" w:cs="Arial"/>
          <w:sz w:val="22"/>
          <w:szCs w:val="22"/>
        </w:rPr>
        <w:t xml:space="preserve"> v obchodní společnosti</w:t>
      </w:r>
      <w:r w:rsidRPr="00394D22">
        <w:rPr>
          <w:rFonts w:ascii="Arial" w:hAnsi="Arial" w:cs="Arial"/>
          <w:sz w:val="22"/>
          <w:szCs w:val="22"/>
        </w:rPr>
        <w:t xml:space="preserve">, přičemž </w:t>
      </w:r>
      <w:r>
        <w:rPr>
          <w:rFonts w:ascii="Arial" w:hAnsi="Arial" w:cs="Arial"/>
          <w:sz w:val="22"/>
          <w:szCs w:val="22"/>
        </w:rPr>
        <w:t>jde</w:t>
      </w:r>
      <w:r w:rsidRPr="00394D22">
        <w:rPr>
          <w:rFonts w:ascii="Arial" w:hAnsi="Arial" w:cs="Arial"/>
          <w:sz w:val="22"/>
          <w:szCs w:val="22"/>
        </w:rPr>
        <w:t xml:space="preserve"> </w:t>
      </w:r>
      <w:r w:rsidR="00366BC8">
        <w:rPr>
          <w:rFonts w:ascii="Arial" w:hAnsi="Arial" w:cs="Arial"/>
          <w:sz w:val="22"/>
          <w:szCs w:val="22"/>
        </w:rPr>
        <w:t xml:space="preserve">o </w:t>
      </w:r>
      <w:r w:rsidRPr="00394D22">
        <w:rPr>
          <w:rFonts w:ascii="Arial" w:hAnsi="Arial" w:cs="Arial"/>
          <w:sz w:val="22"/>
          <w:szCs w:val="22"/>
        </w:rPr>
        <w:t>hodnoty</w:t>
      </w:r>
      <w:r>
        <w:rPr>
          <w:rFonts w:ascii="Arial" w:hAnsi="Arial" w:cs="Arial"/>
          <w:sz w:val="22"/>
          <w:szCs w:val="22"/>
        </w:rPr>
        <w:t xml:space="preserve">, které </w:t>
      </w:r>
      <w:r w:rsidRPr="00394D22">
        <w:rPr>
          <w:rFonts w:ascii="Arial" w:hAnsi="Arial" w:cs="Arial"/>
          <w:sz w:val="22"/>
          <w:szCs w:val="22"/>
        </w:rPr>
        <w:t>se shodují se jmenovitou hodnotou akcií.</w:t>
      </w:r>
    </w:p>
    <w:p w14:paraId="00D9187A" w14:textId="77777777" w:rsidR="00E00DF2" w:rsidRPr="00B73BBD" w:rsidRDefault="00E00DF2" w:rsidP="00E00DF2">
      <w:pPr>
        <w:jc w:val="both"/>
        <w:rPr>
          <w:rFonts w:ascii="Arial" w:hAnsi="Arial" w:cs="Arial"/>
          <w:sz w:val="22"/>
          <w:szCs w:val="22"/>
          <w:highlight w:val="yellow"/>
        </w:rPr>
      </w:pPr>
    </w:p>
    <w:p w14:paraId="00D9187B" w14:textId="77777777" w:rsidR="00E00DF2" w:rsidRPr="00010E37" w:rsidRDefault="00E00DF2" w:rsidP="00E00DF2">
      <w:pPr>
        <w:jc w:val="both"/>
        <w:rPr>
          <w:rFonts w:ascii="Arial" w:hAnsi="Arial" w:cs="Arial"/>
          <w:b/>
          <w:sz w:val="22"/>
          <w:szCs w:val="22"/>
        </w:rPr>
      </w:pPr>
      <w:r w:rsidRPr="00010E37">
        <w:rPr>
          <w:rFonts w:ascii="Arial" w:hAnsi="Arial" w:cs="Arial"/>
          <w:b/>
          <w:sz w:val="22"/>
          <w:szCs w:val="22"/>
        </w:rPr>
        <w:t xml:space="preserve">Existuje </w:t>
      </w:r>
      <w:r w:rsidR="00245C09">
        <w:rPr>
          <w:rFonts w:ascii="Arial" w:hAnsi="Arial" w:cs="Arial"/>
          <w:b/>
          <w:sz w:val="22"/>
          <w:szCs w:val="22"/>
        </w:rPr>
        <w:t>důvodná pochybnost</w:t>
      </w:r>
      <w:r w:rsidRPr="00010E37">
        <w:rPr>
          <w:rFonts w:ascii="Arial" w:hAnsi="Arial" w:cs="Arial"/>
          <w:b/>
          <w:sz w:val="22"/>
          <w:szCs w:val="22"/>
        </w:rPr>
        <w:t>, že údaje</w:t>
      </w:r>
      <w:r w:rsidR="002A7152">
        <w:rPr>
          <w:rFonts w:ascii="Arial" w:hAnsi="Arial" w:cs="Arial"/>
          <w:b/>
          <w:sz w:val="22"/>
          <w:szCs w:val="22"/>
        </w:rPr>
        <w:t>,</w:t>
      </w:r>
      <w:r w:rsidRPr="00010E37">
        <w:rPr>
          <w:rFonts w:ascii="Arial" w:hAnsi="Arial" w:cs="Arial"/>
          <w:b/>
          <w:sz w:val="22"/>
          <w:szCs w:val="22"/>
        </w:rPr>
        <w:t xml:space="preserve"> </w:t>
      </w:r>
      <w:r w:rsidR="002A7152" w:rsidRPr="00010E37">
        <w:rPr>
          <w:rFonts w:ascii="Arial" w:hAnsi="Arial" w:cs="Arial"/>
          <w:b/>
          <w:sz w:val="22"/>
          <w:szCs w:val="22"/>
        </w:rPr>
        <w:t xml:space="preserve">které </w:t>
      </w:r>
      <w:r w:rsidRPr="00010E37">
        <w:rPr>
          <w:rFonts w:ascii="Arial" w:hAnsi="Arial" w:cs="Arial"/>
          <w:b/>
          <w:sz w:val="22"/>
          <w:szCs w:val="22"/>
        </w:rPr>
        <w:t xml:space="preserve">o ocenění těchto </w:t>
      </w:r>
      <w:r w:rsidR="00D31409">
        <w:rPr>
          <w:rFonts w:ascii="Arial" w:hAnsi="Arial" w:cs="Arial"/>
          <w:b/>
          <w:sz w:val="22"/>
          <w:szCs w:val="22"/>
        </w:rPr>
        <w:t>akcií</w:t>
      </w:r>
      <w:r w:rsidRPr="00010E37">
        <w:rPr>
          <w:rFonts w:ascii="Arial" w:hAnsi="Arial" w:cs="Arial"/>
          <w:b/>
          <w:sz w:val="22"/>
          <w:szCs w:val="22"/>
        </w:rPr>
        <w:t xml:space="preserve"> </w:t>
      </w:r>
      <w:r w:rsidR="002A7152">
        <w:rPr>
          <w:rFonts w:ascii="Arial" w:hAnsi="Arial" w:cs="Arial"/>
          <w:b/>
          <w:sz w:val="22"/>
          <w:szCs w:val="22"/>
        </w:rPr>
        <w:t xml:space="preserve">uvedla </w:t>
      </w:r>
      <w:r w:rsidRPr="00010E37">
        <w:rPr>
          <w:rFonts w:ascii="Arial" w:hAnsi="Arial" w:cs="Arial"/>
          <w:b/>
          <w:sz w:val="22"/>
          <w:szCs w:val="22"/>
        </w:rPr>
        <w:t xml:space="preserve">předávající ministerstva </w:t>
      </w:r>
      <w:r w:rsidR="009F047D">
        <w:rPr>
          <w:rFonts w:ascii="Arial" w:hAnsi="Arial" w:cs="Arial"/>
          <w:b/>
          <w:sz w:val="22"/>
          <w:szCs w:val="22"/>
        </w:rPr>
        <w:t>v </w:t>
      </w:r>
      <w:r w:rsidRPr="00010E37">
        <w:rPr>
          <w:rFonts w:ascii="Arial" w:hAnsi="Arial" w:cs="Arial"/>
          <w:b/>
          <w:sz w:val="22"/>
          <w:szCs w:val="22"/>
        </w:rPr>
        <w:t>zápisech o změně příslušnosti hospodařit s majetkem státu</w:t>
      </w:r>
      <w:r w:rsidR="00D31409">
        <w:rPr>
          <w:rFonts w:ascii="Arial" w:hAnsi="Arial" w:cs="Arial"/>
          <w:b/>
          <w:sz w:val="22"/>
          <w:szCs w:val="22"/>
        </w:rPr>
        <w:t>,</w:t>
      </w:r>
      <w:r w:rsidR="00245C09">
        <w:rPr>
          <w:rFonts w:ascii="Arial" w:hAnsi="Arial" w:cs="Arial"/>
          <w:b/>
          <w:sz w:val="22"/>
          <w:szCs w:val="22"/>
        </w:rPr>
        <w:t xml:space="preserve"> jsou správné a že ne</w:t>
      </w:r>
      <w:r w:rsidRPr="00010E37">
        <w:rPr>
          <w:rFonts w:ascii="Arial" w:hAnsi="Arial" w:cs="Arial"/>
          <w:b/>
          <w:sz w:val="22"/>
          <w:szCs w:val="22"/>
        </w:rPr>
        <w:t xml:space="preserve">podhodnocují ocenění </w:t>
      </w:r>
      <w:r w:rsidR="002A7152">
        <w:rPr>
          <w:rFonts w:ascii="Arial" w:hAnsi="Arial" w:cs="Arial"/>
          <w:b/>
          <w:sz w:val="22"/>
          <w:szCs w:val="22"/>
        </w:rPr>
        <w:t xml:space="preserve">akcií </w:t>
      </w:r>
      <w:r w:rsidRPr="00010E37">
        <w:rPr>
          <w:rFonts w:ascii="Arial" w:hAnsi="Arial" w:cs="Arial"/>
          <w:b/>
          <w:sz w:val="22"/>
          <w:szCs w:val="22"/>
        </w:rPr>
        <w:t xml:space="preserve">oproti požadavkům stanoveným právními předpisy. </w:t>
      </w:r>
    </w:p>
    <w:p w14:paraId="00D9187C" w14:textId="77777777" w:rsidR="00E00DF2" w:rsidRPr="00B73BBD" w:rsidRDefault="00E00DF2" w:rsidP="00E00DF2">
      <w:pPr>
        <w:pStyle w:val="Default"/>
        <w:jc w:val="both"/>
        <w:rPr>
          <w:sz w:val="22"/>
          <w:szCs w:val="22"/>
          <w:highlight w:val="yellow"/>
        </w:rPr>
      </w:pPr>
    </w:p>
    <w:p w14:paraId="00D9187D" w14:textId="77777777" w:rsidR="00E00DF2" w:rsidRPr="000D5EFD" w:rsidRDefault="00E00DF2" w:rsidP="00E00DF2">
      <w:pPr>
        <w:widowControl w:val="0"/>
        <w:shd w:val="clear" w:color="auto" w:fill="FFFFFF"/>
        <w:autoSpaceDE w:val="0"/>
        <w:autoSpaceDN w:val="0"/>
        <w:adjustRightInd w:val="0"/>
        <w:ind w:left="46" w:right="29"/>
        <w:jc w:val="both"/>
        <w:rPr>
          <w:rFonts w:ascii="Arial" w:hAnsi="Arial" w:cs="Arial"/>
          <w:sz w:val="22"/>
          <w:szCs w:val="22"/>
        </w:rPr>
      </w:pPr>
      <w:r w:rsidRPr="000D5EFD">
        <w:rPr>
          <w:rFonts w:ascii="Arial" w:hAnsi="Arial" w:cs="Arial"/>
          <w:sz w:val="22"/>
          <w:szCs w:val="22"/>
        </w:rPr>
        <w:t>U ocenění</w:t>
      </w:r>
      <w:r w:rsidR="00344858">
        <w:rPr>
          <w:rFonts w:ascii="Arial" w:hAnsi="Arial" w:cs="Arial"/>
          <w:sz w:val="22"/>
          <w:szCs w:val="22"/>
        </w:rPr>
        <w:t xml:space="preserve"> 34% majetkového podílu</w:t>
      </w:r>
      <w:r w:rsidRPr="000D5EFD">
        <w:rPr>
          <w:rFonts w:ascii="Arial" w:hAnsi="Arial" w:cs="Arial"/>
          <w:sz w:val="22"/>
          <w:szCs w:val="22"/>
        </w:rPr>
        <w:t xml:space="preserve"> </w:t>
      </w:r>
      <w:r w:rsidR="00245C09">
        <w:rPr>
          <w:rFonts w:ascii="Arial" w:hAnsi="Arial" w:cs="Arial"/>
          <w:sz w:val="22"/>
          <w:szCs w:val="22"/>
        </w:rPr>
        <w:t>převzatého</w:t>
      </w:r>
      <w:r w:rsidRPr="000D5EFD">
        <w:rPr>
          <w:rFonts w:ascii="Arial" w:hAnsi="Arial" w:cs="Arial"/>
          <w:sz w:val="22"/>
          <w:szCs w:val="22"/>
        </w:rPr>
        <w:t xml:space="preserve"> v roce 2009 od MF existuje </w:t>
      </w:r>
      <w:r w:rsidR="005F5A89">
        <w:rPr>
          <w:rFonts w:ascii="Arial" w:hAnsi="Arial" w:cs="Arial"/>
          <w:sz w:val="22"/>
          <w:szCs w:val="22"/>
        </w:rPr>
        <w:t>důvodná pochybnost</w:t>
      </w:r>
      <w:r w:rsidRPr="000D5EFD">
        <w:rPr>
          <w:rFonts w:ascii="Arial" w:hAnsi="Arial" w:cs="Arial"/>
          <w:sz w:val="22"/>
          <w:szCs w:val="22"/>
        </w:rPr>
        <w:t xml:space="preserve">, že nebylo správné. Ve </w:t>
      </w:r>
      <w:r w:rsidR="00707FAD">
        <w:rPr>
          <w:rFonts w:ascii="Arial" w:hAnsi="Arial" w:cs="Arial"/>
          <w:sz w:val="22"/>
          <w:szCs w:val="22"/>
        </w:rPr>
        <w:t>s</w:t>
      </w:r>
      <w:r w:rsidRPr="000D5EFD">
        <w:rPr>
          <w:rFonts w:ascii="Arial" w:hAnsi="Arial" w:cs="Arial"/>
          <w:sz w:val="22"/>
          <w:szCs w:val="22"/>
        </w:rPr>
        <w:t>tátním závěreč</w:t>
      </w:r>
      <w:r w:rsidR="006F5F46">
        <w:rPr>
          <w:rFonts w:ascii="Arial" w:hAnsi="Arial" w:cs="Arial"/>
          <w:sz w:val="22"/>
          <w:szCs w:val="22"/>
        </w:rPr>
        <w:t>ném účtu České republiky za rok </w:t>
      </w:r>
      <w:r w:rsidRPr="000D5EFD">
        <w:rPr>
          <w:rFonts w:ascii="Arial" w:hAnsi="Arial" w:cs="Arial"/>
          <w:sz w:val="22"/>
          <w:szCs w:val="22"/>
        </w:rPr>
        <w:t>2004</w:t>
      </w:r>
      <w:r w:rsidR="00373B37">
        <w:rPr>
          <w:rFonts w:ascii="Arial" w:hAnsi="Arial" w:cs="Arial"/>
          <w:sz w:val="22"/>
          <w:szCs w:val="22"/>
        </w:rPr>
        <w:t xml:space="preserve"> (</w:t>
      </w:r>
      <w:r w:rsidR="009F047D">
        <w:rPr>
          <w:rFonts w:ascii="Arial" w:hAnsi="Arial" w:cs="Arial"/>
          <w:sz w:val="22"/>
          <w:szCs w:val="22"/>
        </w:rPr>
        <w:t>v </w:t>
      </w:r>
      <w:r w:rsidRPr="000D5EFD">
        <w:rPr>
          <w:rFonts w:ascii="Arial" w:hAnsi="Arial" w:cs="Arial"/>
          <w:sz w:val="22"/>
          <w:szCs w:val="22"/>
        </w:rPr>
        <w:t>sešitu D</w:t>
      </w:r>
      <w:r w:rsidR="00707FAD">
        <w:rPr>
          <w:rFonts w:ascii="Arial" w:hAnsi="Arial" w:cs="Arial"/>
          <w:sz w:val="22"/>
          <w:szCs w:val="22"/>
        </w:rPr>
        <w:t>.</w:t>
      </w:r>
      <w:r w:rsidRPr="000D5EFD">
        <w:rPr>
          <w:rFonts w:ascii="Arial" w:hAnsi="Arial" w:cs="Arial"/>
          <w:sz w:val="22"/>
          <w:szCs w:val="22"/>
        </w:rPr>
        <w:t xml:space="preserve"> </w:t>
      </w:r>
      <w:r w:rsidRPr="00260B0C">
        <w:rPr>
          <w:rFonts w:ascii="Arial" w:hAnsi="Arial" w:cs="Arial"/>
          <w:i/>
          <w:sz w:val="22"/>
          <w:szCs w:val="22"/>
        </w:rPr>
        <w:t>Zpráva o stavu a vývoji státních finančních aktiv</w:t>
      </w:r>
      <w:r w:rsidR="00707FAD" w:rsidRPr="00260B0C">
        <w:rPr>
          <w:rFonts w:ascii="Arial" w:hAnsi="Arial" w:cs="Arial"/>
          <w:i/>
          <w:sz w:val="22"/>
          <w:szCs w:val="22"/>
        </w:rPr>
        <w:t>,</w:t>
      </w:r>
      <w:r w:rsidRPr="00260B0C">
        <w:rPr>
          <w:rFonts w:ascii="Arial" w:hAnsi="Arial" w:cs="Arial"/>
          <w:i/>
          <w:sz w:val="22"/>
          <w:szCs w:val="22"/>
        </w:rPr>
        <w:t xml:space="preserve"> státních záruk</w:t>
      </w:r>
      <w:r w:rsidR="00707FAD" w:rsidRPr="00260B0C">
        <w:rPr>
          <w:rFonts w:ascii="Arial" w:hAnsi="Arial" w:cs="Arial"/>
          <w:i/>
          <w:sz w:val="22"/>
          <w:szCs w:val="22"/>
        </w:rPr>
        <w:t xml:space="preserve"> a státního dluhu</w:t>
      </w:r>
      <w:r w:rsidR="00373B37">
        <w:rPr>
          <w:rFonts w:ascii="Arial" w:hAnsi="Arial" w:cs="Arial"/>
          <w:sz w:val="22"/>
          <w:szCs w:val="22"/>
        </w:rPr>
        <w:t>)</w:t>
      </w:r>
      <w:r w:rsidRPr="000D5EFD">
        <w:rPr>
          <w:rFonts w:ascii="Arial" w:hAnsi="Arial" w:cs="Arial"/>
          <w:sz w:val="22"/>
          <w:szCs w:val="22"/>
        </w:rPr>
        <w:t xml:space="preserve"> se v souvislosti s pořízením 34 % akcií této společnosti uvádí: „</w:t>
      </w:r>
      <w:r w:rsidRPr="000D5EFD">
        <w:rPr>
          <w:rFonts w:ascii="Arial" w:hAnsi="Arial" w:cs="Arial"/>
          <w:i/>
          <w:sz w:val="22"/>
          <w:szCs w:val="22"/>
        </w:rPr>
        <w:t>Nejvýznamnějším navýšením tuzemských majetkových účastí státu však bylo odkoupení 34</w:t>
      </w:r>
      <w:r w:rsidR="00724F3E">
        <w:rPr>
          <w:rFonts w:ascii="Arial" w:hAnsi="Arial" w:cs="Arial"/>
          <w:i/>
          <w:sz w:val="22"/>
          <w:szCs w:val="22"/>
        </w:rPr>
        <w:t> </w:t>
      </w:r>
      <w:r w:rsidRPr="000D5EFD">
        <w:rPr>
          <w:rFonts w:ascii="Arial" w:hAnsi="Arial" w:cs="Arial"/>
          <w:i/>
          <w:sz w:val="22"/>
          <w:szCs w:val="22"/>
        </w:rPr>
        <w:t>% akcií elektrárenské distribuční společnosti ČEPS, a.s., od společnosti ČEZ, a.s., které se uskutečnilo na základě usnesení vlády č. 748/2004. Dle příslušné smlouvy o úplatném převodu akcií a.s. ČEPS od a.s. ČEZ, která byla podepsána ministrem financí dne 3.</w:t>
      </w:r>
      <w:r w:rsidR="006F5F46">
        <w:rPr>
          <w:rFonts w:ascii="Arial" w:hAnsi="Arial" w:cs="Arial"/>
          <w:i/>
          <w:sz w:val="22"/>
          <w:szCs w:val="22"/>
        </w:rPr>
        <w:t> 9. </w:t>
      </w:r>
      <w:r w:rsidRPr="000D5EFD">
        <w:rPr>
          <w:rFonts w:ascii="Arial" w:hAnsi="Arial" w:cs="Arial"/>
          <w:i/>
          <w:sz w:val="22"/>
          <w:szCs w:val="22"/>
        </w:rPr>
        <w:t xml:space="preserve">2004, bylo do majetku České republiky ve správě MF převedeno 60 709 493 kusů </w:t>
      </w:r>
      <w:r w:rsidRPr="000D5EFD">
        <w:rPr>
          <w:rFonts w:ascii="Arial" w:hAnsi="Arial" w:cs="Arial"/>
          <w:i/>
          <w:sz w:val="22"/>
          <w:szCs w:val="22"/>
        </w:rPr>
        <w:lastRenderedPageBreak/>
        <w:t xml:space="preserve">kmenových akcií společnosti ČEPS, a.s., </w:t>
      </w:r>
      <w:r w:rsidR="009F047D">
        <w:rPr>
          <w:rFonts w:ascii="Arial" w:hAnsi="Arial" w:cs="Arial"/>
          <w:i/>
          <w:sz w:val="22"/>
          <w:szCs w:val="22"/>
        </w:rPr>
        <w:t>v </w:t>
      </w:r>
      <w:r w:rsidRPr="000D5EFD">
        <w:rPr>
          <w:rFonts w:ascii="Arial" w:hAnsi="Arial" w:cs="Arial"/>
          <w:i/>
          <w:sz w:val="22"/>
          <w:szCs w:val="22"/>
        </w:rPr>
        <w:t xml:space="preserve">úhrnné nominální hodnotě 4 431 792 989 Kč. Celková kupní cena uvedeného 34% majetkového podílu </w:t>
      </w:r>
      <w:r w:rsidR="009F047D">
        <w:rPr>
          <w:rFonts w:ascii="Arial" w:hAnsi="Arial" w:cs="Arial"/>
          <w:i/>
          <w:sz w:val="22"/>
          <w:szCs w:val="22"/>
        </w:rPr>
        <w:t>v </w:t>
      </w:r>
      <w:r w:rsidRPr="000D5EFD">
        <w:rPr>
          <w:rFonts w:ascii="Arial" w:hAnsi="Arial" w:cs="Arial"/>
          <w:i/>
          <w:sz w:val="22"/>
          <w:szCs w:val="22"/>
        </w:rPr>
        <w:t>a.s. ČEPS byla stanovena znaleckým posudkem ve výši 7 087 421 000 Kč</w:t>
      </w:r>
      <w:r w:rsidR="00260B0C">
        <w:rPr>
          <w:rFonts w:ascii="Arial" w:hAnsi="Arial" w:cs="Arial"/>
          <w:i/>
          <w:sz w:val="22"/>
          <w:szCs w:val="22"/>
        </w:rPr>
        <w:t xml:space="preserve"> </w:t>
      </w:r>
      <w:r>
        <w:rPr>
          <w:rFonts w:ascii="Arial" w:hAnsi="Arial" w:cs="Arial"/>
          <w:i/>
          <w:sz w:val="22"/>
          <w:szCs w:val="22"/>
        </w:rPr>
        <w:t>…</w:t>
      </w:r>
      <w:r w:rsidRPr="0010140F">
        <w:rPr>
          <w:rFonts w:ascii="Arial" w:hAnsi="Arial" w:cs="Arial"/>
          <w:sz w:val="22"/>
          <w:szCs w:val="22"/>
        </w:rPr>
        <w:t>“</w:t>
      </w:r>
      <w:r w:rsidR="0010140F">
        <w:rPr>
          <w:rStyle w:val="Znakapoznpodarou"/>
          <w:rFonts w:ascii="Arial" w:hAnsi="Arial" w:cs="Arial"/>
          <w:sz w:val="22"/>
          <w:szCs w:val="22"/>
        </w:rPr>
        <w:footnoteReference w:id="15"/>
      </w:r>
      <w:r w:rsidRPr="000D5EFD">
        <w:rPr>
          <w:rFonts w:ascii="Arial" w:hAnsi="Arial" w:cs="Arial"/>
          <w:sz w:val="22"/>
          <w:szCs w:val="22"/>
        </w:rPr>
        <w:t xml:space="preserve"> Z</w:t>
      </w:r>
      <w:r w:rsidR="00081642">
        <w:rPr>
          <w:rFonts w:ascii="Arial" w:hAnsi="Arial" w:cs="Arial"/>
          <w:sz w:val="22"/>
          <w:szCs w:val="22"/>
        </w:rPr>
        <w:t> toho je zřejmé</w:t>
      </w:r>
      <w:r w:rsidRPr="000D5EFD">
        <w:rPr>
          <w:rFonts w:ascii="Arial" w:hAnsi="Arial" w:cs="Arial"/>
          <w:sz w:val="22"/>
          <w:szCs w:val="22"/>
        </w:rPr>
        <w:t>, že MF tyto akcie ve jmenovité hodnotě 4</w:t>
      </w:r>
      <w:r w:rsidR="00D660F6">
        <w:rPr>
          <w:rFonts w:ascii="Arial" w:hAnsi="Arial" w:cs="Arial"/>
          <w:sz w:val="22"/>
          <w:szCs w:val="22"/>
        </w:rPr>
        <w:t> </w:t>
      </w:r>
      <w:r w:rsidRPr="000D5EFD">
        <w:rPr>
          <w:rFonts w:ascii="Arial" w:hAnsi="Arial" w:cs="Arial"/>
          <w:sz w:val="22"/>
          <w:szCs w:val="22"/>
        </w:rPr>
        <w:t>431</w:t>
      </w:r>
      <w:r w:rsidR="00D660F6">
        <w:rPr>
          <w:rFonts w:ascii="Arial" w:hAnsi="Arial" w:cs="Arial"/>
          <w:sz w:val="22"/>
          <w:szCs w:val="22"/>
        </w:rPr>
        <w:t> </w:t>
      </w:r>
      <w:r w:rsidRPr="000D5EFD">
        <w:rPr>
          <w:rFonts w:ascii="Arial" w:hAnsi="Arial" w:cs="Arial"/>
          <w:sz w:val="22"/>
          <w:szCs w:val="22"/>
        </w:rPr>
        <w:t>792 989 Kč pořídilo</w:t>
      </w:r>
      <w:r w:rsidRPr="000D5EFD">
        <w:rPr>
          <w:rFonts w:ascii="Arial" w:hAnsi="Arial" w:cs="Arial"/>
          <w:i/>
          <w:sz w:val="22"/>
          <w:szCs w:val="22"/>
        </w:rPr>
        <w:t xml:space="preserve"> </w:t>
      </w:r>
      <w:r w:rsidRPr="000D5EFD">
        <w:rPr>
          <w:rFonts w:ascii="Arial" w:hAnsi="Arial" w:cs="Arial"/>
          <w:sz w:val="22"/>
          <w:szCs w:val="22"/>
        </w:rPr>
        <w:t>v roce 2004 za kupní cenu 7 087 421</w:t>
      </w:r>
      <w:r w:rsidR="00724F3E">
        <w:rPr>
          <w:rFonts w:ascii="Arial" w:hAnsi="Arial" w:cs="Arial"/>
          <w:sz w:val="22"/>
          <w:szCs w:val="22"/>
        </w:rPr>
        <w:t> </w:t>
      </w:r>
      <w:r w:rsidRPr="000D5EFD">
        <w:rPr>
          <w:rFonts w:ascii="Arial" w:hAnsi="Arial" w:cs="Arial"/>
          <w:sz w:val="22"/>
          <w:szCs w:val="22"/>
        </w:rPr>
        <w:t>000</w:t>
      </w:r>
      <w:r w:rsidR="00724F3E">
        <w:rPr>
          <w:rFonts w:ascii="Arial" w:hAnsi="Arial" w:cs="Arial"/>
          <w:sz w:val="22"/>
          <w:szCs w:val="22"/>
        </w:rPr>
        <w:t> </w:t>
      </w:r>
      <w:r w:rsidRPr="000D5EFD">
        <w:rPr>
          <w:rFonts w:ascii="Arial" w:hAnsi="Arial" w:cs="Arial"/>
          <w:sz w:val="22"/>
          <w:szCs w:val="22"/>
        </w:rPr>
        <w:t>Kč</w:t>
      </w:r>
      <w:r w:rsidR="0037605A">
        <w:rPr>
          <w:rFonts w:ascii="Arial" w:hAnsi="Arial" w:cs="Arial"/>
          <w:sz w:val="22"/>
          <w:szCs w:val="22"/>
        </w:rPr>
        <w:t>.</w:t>
      </w:r>
      <w:r w:rsidR="00081642">
        <w:rPr>
          <w:rStyle w:val="Znakapoznpodarou"/>
          <w:rFonts w:ascii="Arial" w:hAnsi="Arial" w:cs="Arial"/>
          <w:sz w:val="22"/>
          <w:szCs w:val="22"/>
        </w:rPr>
        <w:footnoteReference w:id="16"/>
      </w:r>
      <w:r w:rsidRPr="000D5EFD">
        <w:rPr>
          <w:rFonts w:ascii="Arial" w:hAnsi="Arial" w:cs="Arial"/>
          <w:sz w:val="22"/>
          <w:szCs w:val="22"/>
        </w:rPr>
        <w:t xml:space="preserve"> </w:t>
      </w:r>
    </w:p>
    <w:p w14:paraId="00D9187E" w14:textId="77777777" w:rsidR="00F76359" w:rsidRDefault="00F76359" w:rsidP="00E00DF2">
      <w:pPr>
        <w:pStyle w:val="Default"/>
        <w:jc w:val="both"/>
        <w:rPr>
          <w:sz w:val="22"/>
          <w:szCs w:val="22"/>
        </w:rPr>
      </w:pPr>
    </w:p>
    <w:p w14:paraId="00D9187F" w14:textId="77777777" w:rsidR="00081642" w:rsidRDefault="00E00DF2" w:rsidP="00E00DF2">
      <w:pPr>
        <w:pStyle w:val="Default"/>
        <w:jc w:val="both"/>
        <w:rPr>
          <w:sz w:val="22"/>
          <w:szCs w:val="22"/>
        </w:rPr>
      </w:pPr>
      <w:r w:rsidRPr="000D5EFD">
        <w:rPr>
          <w:sz w:val="22"/>
          <w:szCs w:val="22"/>
        </w:rPr>
        <w:t xml:space="preserve">Zákon o účetnictví vyžaduje, aby účetní jednotka (včetně OSS) při úplatném pořízení majetku použila pro jeho ocenění pořizovací cenu. </w:t>
      </w:r>
    </w:p>
    <w:p w14:paraId="00D91880" w14:textId="77777777" w:rsidR="00081642" w:rsidRDefault="00081642" w:rsidP="00E00DF2">
      <w:pPr>
        <w:pStyle w:val="Default"/>
        <w:jc w:val="both"/>
        <w:rPr>
          <w:sz w:val="22"/>
          <w:szCs w:val="22"/>
        </w:rPr>
      </w:pPr>
    </w:p>
    <w:p w14:paraId="00D91881" w14:textId="77777777" w:rsidR="00E00DF2" w:rsidRPr="000D5EFD" w:rsidRDefault="00081642" w:rsidP="00E00DF2">
      <w:pPr>
        <w:pStyle w:val="Default"/>
        <w:jc w:val="both"/>
        <w:rPr>
          <w:sz w:val="22"/>
          <w:szCs w:val="22"/>
        </w:rPr>
      </w:pPr>
      <w:r>
        <w:rPr>
          <w:sz w:val="22"/>
          <w:szCs w:val="22"/>
        </w:rPr>
        <w:t>V případě 34% podílu</w:t>
      </w:r>
      <w:r w:rsidR="00344858">
        <w:rPr>
          <w:sz w:val="22"/>
          <w:szCs w:val="22"/>
        </w:rPr>
        <w:t xml:space="preserve"> státu</w:t>
      </w:r>
      <w:r>
        <w:rPr>
          <w:sz w:val="22"/>
          <w:szCs w:val="22"/>
        </w:rPr>
        <w:t xml:space="preserve"> </w:t>
      </w:r>
      <w:r w:rsidR="009F047D">
        <w:rPr>
          <w:sz w:val="22"/>
          <w:szCs w:val="22"/>
        </w:rPr>
        <w:t>v</w:t>
      </w:r>
      <w:r w:rsidR="00F76359">
        <w:rPr>
          <w:sz w:val="22"/>
          <w:szCs w:val="22"/>
        </w:rPr>
        <w:t> </w:t>
      </w:r>
      <w:r w:rsidR="00344858">
        <w:rPr>
          <w:sz w:val="22"/>
          <w:szCs w:val="22"/>
        </w:rPr>
        <w:t>dané</w:t>
      </w:r>
      <w:r w:rsidR="00F76359">
        <w:rPr>
          <w:sz w:val="22"/>
          <w:szCs w:val="22"/>
        </w:rPr>
        <w:t xml:space="preserve"> </w:t>
      </w:r>
      <w:r>
        <w:rPr>
          <w:sz w:val="22"/>
          <w:szCs w:val="22"/>
        </w:rPr>
        <w:t>obchodní společnosti vyplývá z veřejně dostupných informací, že</w:t>
      </w:r>
      <w:r w:rsidR="00344858">
        <w:rPr>
          <w:sz w:val="22"/>
          <w:szCs w:val="22"/>
        </w:rPr>
        <w:t xml:space="preserve"> </w:t>
      </w:r>
      <w:r w:rsidR="00E00DF2" w:rsidRPr="000D5EFD">
        <w:rPr>
          <w:sz w:val="22"/>
          <w:szCs w:val="22"/>
        </w:rPr>
        <w:t xml:space="preserve">byl pořízen Českou republikou prostřednictvím MF za 7 087 421 000 Kč, tj. lze předpokládat, že tato výše ocenění měla být </w:t>
      </w:r>
      <w:r w:rsidR="00E00DF2">
        <w:rPr>
          <w:sz w:val="22"/>
          <w:szCs w:val="22"/>
        </w:rPr>
        <w:t xml:space="preserve">MF </w:t>
      </w:r>
      <w:r w:rsidR="00E00DF2" w:rsidRPr="000D5EFD">
        <w:rPr>
          <w:sz w:val="22"/>
          <w:szCs w:val="22"/>
        </w:rPr>
        <w:t>použita pro ocenění majetku v</w:t>
      </w:r>
      <w:r w:rsidR="00724F3E">
        <w:rPr>
          <w:sz w:val="22"/>
          <w:szCs w:val="22"/>
        </w:rPr>
        <w:t> </w:t>
      </w:r>
      <w:r w:rsidR="00E00DF2">
        <w:rPr>
          <w:sz w:val="22"/>
          <w:szCs w:val="22"/>
        </w:rPr>
        <w:t>jeho</w:t>
      </w:r>
      <w:r w:rsidR="00E00DF2" w:rsidRPr="000D5EFD">
        <w:rPr>
          <w:sz w:val="22"/>
          <w:szCs w:val="22"/>
        </w:rPr>
        <w:t> účetnictví. MF však v</w:t>
      </w:r>
      <w:r w:rsidR="00245C09">
        <w:rPr>
          <w:sz w:val="22"/>
          <w:szCs w:val="22"/>
        </w:rPr>
        <w:t> </w:t>
      </w:r>
      <w:r w:rsidR="00E00DF2" w:rsidRPr="000D5EFD">
        <w:rPr>
          <w:sz w:val="22"/>
          <w:szCs w:val="22"/>
        </w:rPr>
        <w:t>zápis</w:t>
      </w:r>
      <w:r w:rsidR="00245C09">
        <w:rPr>
          <w:sz w:val="22"/>
          <w:szCs w:val="22"/>
        </w:rPr>
        <w:t>e o změně příslušnosti hospodařit s majetkem státu</w:t>
      </w:r>
      <w:r w:rsidR="00E00DF2" w:rsidRPr="000D5EFD">
        <w:rPr>
          <w:sz w:val="22"/>
          <w:szCs w:val="22"/>
        </w:rPr>
        <w:t xml:space="preserve"> předaném</w:t>
      </w:r>
      <w:r w:rsidR="00E60F36">
        <w:rPr>
          <w:sz w:val="22"/>
          <w:szCs w:val="22"/>
        </w:rPr>
        <w:t xml:space="preserve"> </w:t>
      </w:r>
      <w:r w:rsidR="00F76359">
        <w:rPr>
          <w:sz w:val="22"/>
          <w:szCs w:val="22"/>
        </w:rPr>
        <w:t>Ministerstvu průmyslu a obchodu</w:t>
      </w:r>
      <w:r w:rsidR="00E00DF2" w:rsidRPr="000D5EFD">
        <w:rPr>
          <w:sz w:val="22"/>
          <w:szCs w:val="22"/>
        </w:rPr>
        <w:t xml:space="preserve"> v roce 2009 uvedlo, že v účetnictví vede tyto akcie v hodnotě 3 581 860</w:t>
      </w:r>
      <w:r w:rsidR="00724F3E">
        <w:rPr>
          <w:sz w:val="22"/>
          <w:szCs w:val="22"/>
        </w:rPr>
        <w:t> </w:t>
      </w:r>
      <w:r w:rsidR="00E00DF2" w:rsidRPr="000D5EFD">
        <w:rPr>
          <w:sz w:val="22"/>
          <w:szCs w:val="22"/>
        </w:rPr>
        <w:t>087</w:t>
      </w:r>
      <w:r w:rsidR="00724F3E">
        <w:rPr>
          <w:sz w:val="22"/>
          <w:szCs w:val="22"/>
        </w:rPr>
        <w:t> </w:t>
      </w:r>
      <w:r w:rsidR="00E00DF2" w:rsidRPr="000D5EFD">
        <w:rPr>
          <w:sz w:val="22"/>
          <w:szCs w:val="22"/>
        </w:rPr>
        <w:t xml:space="preserve">Kč, což odpovídá jejich jmenovité hodnotě. Jmenovitá hodnota </w:t>
      </w:r>
      <w:r w:rsidR="00F76359" w:rsidRPr="000D5EFD">
        <w:rPr>
          <w:sz w:val="22"/>
          <w:szCs w:val="22"/>
        </w:rPr>
        <w:t xml:space="preserve">je </w:t>
      </w:r>
      <w:r w:rsidR="00E00DF2" w:rsidRPr="000D5EFD">
        <w:rPr>
          <w:sz w:val="22"/>
          <w:szCs w:val="22"/>
        </w:rPr>
        <w:t>pro úplatně pořízené akcie nepřípustným způsobem ocenění majetku</w:t>
      </w:r>
      <w:r w:rsidR="0098655E">
        <w:rPr>
          <w:sz w:val="22"/>
          <w:szCs w:val="22"/>
        </w:rPr>
        <w:t xml:space="preserve">. </w:t>
      </w:r>
      <w:r w:rsidR="00E00DF2" w:rsidRPr="000D5EFD">
        <w:rPr>
          <w:sz w:val="22"/>
          <w:szCs w:val="22"/>
        </w:rPr>
        <w:t>Rozdíl mezi jmenovitou hodnotou a uváděnou kupní c</w:t>
      </w:r>
      <w:r w:rsidR="00B818C6">
        <w:rPr>
          <w:sz w:val="22"/>
          <w:szCs w:val="22"/>
        </w:rPr>
        <w:t xml:space="preserve">enou činí více než 3,5 mld. Kč. </w:t>
      </w:r>
    </w:p>
    <w:p w14:paraId="00D91882" w14:textId="77777777" w:rsidR="00E00DF2" w:rsidRPr="000D5EFD" w:rsidRDefault="00E00DF2" w:rsidP="00E00DF2">
      <w:pPr>
        <w:widowControl w:val="0"/>
        <w:shd w:val="clear" w:color="auto" w:fill="FFFFFF"/>
        <w:autoSpaceDE w:val="0"/>
        <w:autoSpaceDN w:val="0"/>
        <w:adjustRightInd w:val="0"/>
        <w:ind w:left="46" w:right="29"/>
        <w:jc w:val="both"/>
        <w:rPr>
          <w:rFonts w:ascii="Arial" w:hAnsi="Arial" w:cs="Arial"/>
          <w:sz w:val="22"/>
          <w:szCs w:val="22"/>
        </w:rPr>
      </w:pPr>
    </w:p>
    <w:p w14:paraId="00D91883" w14:textId="77777777" w:rsidR="00E00DF2" w:rsidRPr="000D5EFD" w:rsidRDefault="00E00DF2" w:rsidP="00E00DF2">
      <w:pPr>
        <w:pStyle w:val="Default"/>
        <w:jc w:val="both"/>
        <w:rPr>
          <w:sz w:val="22"/>
          <w:szCs w:val="22"/>
        </w:rPr>
      </w:pPr>
      <w:r w:rsidRPr="000C32B5">
        <w:rPr>
          <w:sz w:val="22"/>
          <w:szCs w:val="22"/>
        </w:rPr>
        <w:t>V</w:t>
      </w:r>
      <w:r w:rsidR="00081642">
        <w:rPr>
          <w:sz w:val="22"/>
          <w:szCs w:val="22"/>
        </w:rPr>
        <w:t> </w:t>
      </w:r>
      <w:r w:rsidRPr="000C32B5">
        <w:rPr>
          <w:sz w:val="22"/>
          <w:szCs w:val="22"/>
        </w:rPr>
        <w:t>případě</w:t>
      </w:r>
      <w:r w:rsidR="00081642">
        <w:rPr>
          <w:sz w:val="22"/>
          <w:szCs w:val="22"/>
        </w:rPr>
        <w:t xml:space="preserve"> přev</w:t>
      </w:r>
      <w:r w:rsidR="00245C09">
        <w:rPr>
          <w:sz w:val="22"/>
          <w:szCs w:val="22"/>
        </w:rPr>
        <w:t>zetí</w:t>
      </w:r>
      <w:r w:rsidRPr="000C32B5">
        <w:rPr>
          <w:sz w:val="22"/>
          <w:szCs w:val="22"/>
        </w:rPr>
        <w:t xml:space="preserve"> 15% </w:t>
      </w:r>
      <w:r w:rsidR="00081642">
        <w:rPr>
          <w:sz w:val="22"/>
          <w:szCs w:val="22"/>
        </w:rPr>
        <w:t>podílu</w:t>
      </w:r>
      <w:r w:rsidR="00344858">
        <w:rPr>
          <w:sz w:val="22"/>
          <w:szCs w:val="22"/>
        </w:rPr>
        <w:t xml:space="preserve"> státu</w:t>
      </w:r>
      <w:r w:rsidR="00081642">
        <w:rPr>
          <w:sz w:val="22"/>
          <w:szCs w:val="22"/>
        </w:rPr>
        <w:t xml:space="preserve"> v</w:t>
      </w:r>
      <w:r w:rsidR="00245C09">
        <w:rPr>
          <w:sz w:val="22"/>
          <w:szCs w:val="22"/>
        </w:rPr>
        <w:t> </w:t>
      </w:r>
      <w:r>
        <w:rPr>
          <w:sz w:val="22"/>
          <w:szCs w:val="22"/>
        </w:rPr>
        <w:t>této</w:t>
      </w:r>
      <w:r w:rsidR="00245C09">
        <w:rPr>
          <w:sz w:val="22"/>
          <w:szCs w:val="22"/>
        </w:rPr>
        <w:t xml:space="preserve"> obchodní</w:t>
      </w:r>
      <w:r>
        <w:rPr>
          <w:sz w:val="22"/>
          <w:szCs w:val="22"/>
        </w:rPr>
        <w:t xml:space="preserve"> společnosti </w:t>
      </w:r>
      <w:r w:rsidR="00F76359">
        <w:rPr>
          <w:sz w:val="22"/>
          <w:szCs w:val="22"/>
        </w:rPr>
        <w:t xml:space="preserve">od </w:t>
      </w:r>
      <w:r>
        <w:rPr>
          <w:sz w:val="22"/>
          <w:szCs w:val="22"/>
        </w:rPr>
        <w:t>MPSV</w:t>
      </w:r>
      <w:r w:rsidR="00245C09">
        <w:rPr>
          <w:sz w:val="22"/>
          <w:szCs w:val="22"/>
        </w:rPr>
        <w:t xml:space="preserve"> na základě zápisu o změně příslušnosti hospodařit s majetkem státu</w:t>
      </w:r>
      <w:r w:rsidR="00D31409">
        <w:rPr>
          <w:sz w:val="22"/>
          <w:szCs w:val="22"/>
        </w:rPr>
        <w:t xml:space="preserve"> </w:t>
      </w:r>
      <w:r>
        <w:rPr>
          <w:sz w:val="22"/>
          <w:szCs w:val="22"/>
        </w:rPr>
        <w:t>prokázal</w:t>
      </w:r>
      <w:r w:rsidR="00B006FD">
        <w:rPr>
          <w:sz w:val="22"/>
          <w:szCs w:val="22"/>
        </w:rPr>
        <w:t xml:space="preserve"> NKÚ v </w:t>
      </w:r>
      <w:r w:rsidRPr="000C32B5">
        <w:rPr>
          <w:sz w:val="22"/>
          <w:szCs w:val="22"/>
        </w:rPr>
        <w:t>kontrolní akc</w:t>
      </w:r>
      <w:r>
        <w:rPr>
          <w:sz w:val="22"/>
          <w:szCs w:val="22"/>
        </w:rPr>
        <w:t>i č.</w:t>
      </w:r>
      <w:r w:rsidRPr="000C32B5">
        <w:rPr>
          <w:sz w:val="22"/>
          <w:szCs w:val="22"/>
        </w:rPr>
        <w:t xml:space="preserve"> 12/28</w:t>
      </w:r>
      <w:r w:rsidRPr="000C32B5">
        <w:rPr>
          <w:rStyle w:val="Znakapoznpodarou"/>
          <w:sz w:val="22"/>
          <w:szCs w:val="22"/>
        </w:rPr>
        <w:footnoteReference w:id="17"/>
      </w:r>
      <w:r w:rsidRPr="000C32B5">
        <w:rPr>
          <w:sz w:val="22"/>
          <w:szCs w:val="22"/>
        </w:rPr>
        <w:t xml:space="preserve">, že údaje poskytnuté v roce 2012 ze strany MPSV </w:t>
      </w:r>
      <w:r w:rsidR="00D31409">
        <w:rPr>
          <w:sz w:val="22"/>
          <w:szCs w:val="22"/>
        </w:rPr>
        <w:t>ne</w:t>
      </w:r>
      <w:r w:rsidRPr="000C32B5">
        <w:rPr>
          <w:sz w:val="22"/>
          <w:szCs w:val="22"/>
        </w:rPr>
        <w:t>byly správné</w:t>
      </w:r>
      <w:r w:rsidRPr="000C32B5">
        <w:rPr>
          <w:rStyle w:val="Znakapoznpodarou"/>
          <w:sz w:val="22"/>
          <w:szCs w:val="22"/>
        </w:rPr>
        <w:footnoteReference w:id="18"/>
      </w:r>
      <w:r w:rsidRPr="000C32B5">
        <w:rPr>
          <w:sz w:val="22"/>
          <w:szCs w:val="22"/>
        </w:rPr>
        <w:t xml:space="preserve">. Vzhledem k tomu, že MPO k datu 31. prosince 2012 vedlo v účetnictví a v PAP tuto majetkovou účast státu v obchodní společnosti v ocenění podle informace MPSV, došlo </w:t>
      </w:r>
      <w:r w:rsidR="00086850">
        <w:rPr>
          <w:sz w:val="22"/>
          <w:szCs w:val="22"/>
        </w:rPr>
        <w:t xml:space="preserve">jen </w:t>
      </w:r>
      <w:r w:rsidRPr="000C32B5">
        <w:rPr>
          <w:sz w:val="22"/>
          <w:szCs w:val="22"/>
        </w:rPr>
        <w:t xml:space="preserve">v důsledku tohoto převodu </w:t>
      </w:r>
      <w:r w:rsidR="009F047D">
        <w:rPr>
          <w:sz w:val="22"/>
          <w:szCs w:val="22"/>
        </w:rPr>
        <w:t>k </w:t>
      </w:r>
      <w:r w:rsidRPr="000C32B5">
        <w:rPr>
          <w:sz w:val="22"/>
          <w:szCs w:val="22"/>
        </w:rPr>
        <w:t>poklesu hodnoty majetku České r</w:t>
      </w:r>
      <w:r>
        <w:rPr>
          <w:sz w:val="22"/>
          <w:szCs w:val="22"/>
        </w:rPr>
        <w:t>epubliky o částku 1,</w:t>
      </w:r>
      <w:r w:rsidR="00B006FD">
        <w:rPr>
          <w:sz w:val="22"/>
          <w:szCs w:val="22"/>
        </w:rPr>
        <w:t>56 </w:t>
      </w:r>
      <w:r>
        <w:rPr>
          <w:sz w:val="22"/>
          <w:szCs w:val="22"/>
        </w:rPr>
        <w:t xml:space="preserve">mld. Kč. </w:t>
      </w:r>
      <w:r w:rsidRPr="00394D22">
        <w:rPr>
          <w:sz w:val="22"/>
          <w:szCs w:val="22"/>
        </w:rPr>
        <w:t>V souladu se zákonem o účetnictví mohlo mít MPO k 31. prosinci 2012 t</w:t>
      </w:r>
      <w:r w:rsidR="00D31409">
        <w:rPr>
          <w:sz w:val="22"/>
          <w:szCs w:val="22"/>
        </w:rPr>
        <w:t>ento 15% podíl</w:t>
      </w:r>
      <w:r w:rsidRPr="00394D22">
        <w:rPr>
          <w:sz w:val="22"/>
          <w:szCs w:val="22"/>
        </w:rPr>
        <w:t xml:space="preserve"> </w:t>
      </w:r>
      <w:r w:rsidR="00D31409">
        <w:rPr>
          <w:sz w:val="22"/>
          <w:szCs w:val="22"/>
        </w:rPr>
        <w:t xml:space="preserve">státu v obchodní společnosti </w:t>
      </w:r>
      <w:r w:rsidRPr="00394D22">
        <w:rPr>
          <w:sz w:val="22"/>
          <w:szCs w:val="22"/>
        </w:rPr>
        <w:t>oceněn</w:t>
      </w:r>
      <w:r w:rsidR="00D31409">
        <w:rPr>
          <w:sz w:val="22"/>
          <w:szCs w:val="22"/>
        </w:rPr>
        <w:t>ý</w:t>
      </w:r>
      <w:r w:rsidRPr="00394D22">
        <w:rPr>
          <w:sz w:val="22"/>
          <w:szCs w:val="22"/>
        </w:rPr>
        <w:t xml:space="preserve"> v uveden</w:t>
      </w:r>
      <w:r w:rsidR="00D31409">
        <w:rPr>
          <w:sz w:val="22"/>
          <w:szCs w:val="22"/>
        </w:rPr>
        <w:t>é</w:t>
      </w:r>
      <w:r w:rsidRPr="00394D22">
        <w:rPr>
          <w:sz w:val="22"/>
          <w:szCs w:val="22"/>
        </w:rPr>
        <w:t xml:space="preserve"> část</w:t>
      </w:r>
      <w:r w:rsidR="00D31409">
        <w:rPr>
          <w:sz w:val="22"/>
          <w:szCs w:val="22"/>
        </w:rPr>
        <w:t>ce,</w:t>
      </w:r>
      <w:r w:rsidRPr="00394D22">
        <w:rPr>
          <w:sz w:val="22"/>
          <w:szCs w:val="22"/>
        </w:rPr>
        <w:t xml:space="preserve"> tj. ve výši navazující na ocenění majetku v účetnictví účetní jednotky, která o tomto majetku naposledy účtovala</w:t>
      </w:r>
      <w:r>
        <w:rPr>
          <w:sz w:val="22"/>
          <w:szCs w:val="22"/>
        </w:rPr>
        <w:t xml:space="preserve">. </w:t>
      </w:r>
      <w:r w:rsidRPr="000D5EFD">
        <w:rPr>
          <w:sz w:val="22"/>
          <w:szCs w:val="22"/>
        </w:rPr>
        <w:t xml:space="preserve">Z důvodu nesprávných údajů předaných </w:t>
      </w:r>
      <w:r w:rsidR="00F76359">
        <w:rPr>
          <w:sz w:val="22"/>
          <w:szCs w:val="22"/>
        </w:rPr>
        <w:t>Ministerstvu průmyslu a obchodu</w:t>
      </w:r>
      <w:r w:rsidRPr="000D5EFD">
        <w:rPr>
          <w:sz w:val="22"/>
          <w:szCs w:val="22"/>
        </w:rPr>
        <w:t xml:space="preserve"> z</w:t>
      </w:r>
      <w:r>
        <w:rPr>
          <w:sz w:val="22"/>
          <w:szCs w:val="22"/>
        </w:rPr>
        <w:t> </w:t>
      </w:r>
      <w:r w:rsidRPr="000D5EFD">
        <w:rPr>
          <w:sz w:val="22"/>
          <w:szCs w:val="22"/>
        </w:rPr>
        <w:t>MPSV</w:t>
      </w:r>
      <w:r>
        <w:rPr>
          <w:sz w:val="22"/>
          <w:szCs w:val="22"/>
        </w:rPr>
        <w:t xml:space="preserve"> </w:t>
      </w:r>
      <w:r w:rsidRPr="000D5EFD">
        <w:rPr>
          <w:sz w:val="22"/>
          <w:szCs w:val="22"/>
        </w:rPr>
        <w:t xml:space="preserve">došlo </w:t>
      </w:r>
      <w:r w:rsidR="009F047D">
        <w:rPr>
          <w:sz w:val="22"/>
          <w:szCs w:val="22"/>
        </w:rPr>
        <w:t>v </w:t>
      </w:r>
      <w:r w:rsidR="00D31409">
        <w:rPr>
          <w:sz w:val="22"/>
          <w:szCs w:val="22"/>
        </w:rPr>
        <w:t>tomto</w:t>
      </w:r>
      <w:r w:rsidRPr="000D5EFD">
        <w:rPr>
          <w:sz w:val="22"/>
          <w:szCs w:val="22"/>
        </w:rPr>
        <w:t xml:space="preserve"> případě k podhodnocení ocenění tohoto majetku oproti stavu podle právních předpisů o 1,56 mld. Kč. </w:t>
      </w:r>
    </w:p>
    <w:p w14:paraId="00D91884" w14:textId="77777777" w:rsidR="00E00DF2" w:rsidRPr="000D5EFD" w:rsidRDefault="00E00DF2" w:rsidP="00E00DF2">
      <w:pPr>
        <w:widowControl w:val="0"/>
        <w:shd w:val="clear" w:color="auto" w:fill="FFFFFF"/>
        <w:autoSpaceDE w:val="0"/>
        <w:autoSpaceDN w:val="0"/>
        <w:adjustRightInd w:val="0"/>
        <w:ind w:left="46" w:right="29"/>
        <w:jc w:val="both"/>
        <w:rPr>
          <w:rFonts w:ascii="Arial" w:hAnsi="Arial" w:cs="Arial"/>
          <w:sz w:val="22"/>
          <w:szCs w:val="22"/>
        </w:rPr>
      </w:pPr>
    </w:p>
    <w:p w14:paraId="00D91885" w14:textId="77777777" w:rsidR="00E00DF2" w:rsidRPr="00010E37" w:rsidRDefault="00C8744D" w:rsidP="00724F3E">
      <w:pPr>
        <w:widowControl w:val="0"/>
        <w:shd w:val="clear" w:color="auto" w:fill="FFFFFF"/>
        <w:autoSpaceDE w:val="0"/>
        <w:autoSpaceDN w:val="0"/>
        <w:adjustRightInd w:val="0"/>
        <w:ind w:right="29"/>
        <w:jc w:val="both"/>
        <w:rPr>
          <w:rFonts w:ascii="Arial" w:hAnsi="Arial" w:cs="Arial"/>
          <w:b/>
          <w:sz w:val="22"/>
          <w:szCs w:val="22"/>
        </w:rPr>
      </w:pPr>
      <w:r>
        <w:rPr>
          <w:rFonts w:ascii="Arial" w:hAnsi="Arial" w:cs="Arial"/>
          <w:b/>
          <w:sz w:val="22"/>
          <w:szCs w:val="22"/>
        </w:rPr>
        <w:t>Účetní hodnota majetkových účastí</w:t>
      </w:r>
      <w:r w:rsidR="001B63C9">
        <w:rPr>
          <w:rFonts w:ascii="Arial" w:hAnsi="Arial" w:cs="Arial"/>
          <w:b/>
          <w:sz w:val="22"/>
          <w:szCs w:val="22"/>
        </w:rPr>
        <w:t xml:space="preserve"> státu v obchodních společnostech</w:t>
      </w:r>
      <w:r>
        <w:rPr>
          <w:rFonts w:ascii="Arial" w:hAnsi="Arial" w:cs="Arial"/>
          <w:b/>
          <w:sz w:val="22"/>
          <w:szCs w:val="22"/>
        </w:rPr>
        <w:t xml:space="preserve"> je součástí údajů uváděných</w:t>
      </w:r>
      <w:r w:rsidR="00E00DF2" w:rsidRPr="00010E37">
        <w:rPr>
          <w:rFonts w:ascii="Arial" w:hAnsi="Arial" w:cs="Arial"/>
          <w:b/>
          <w:sz w:val="22"/>
          <w:szCs w:val="22"/>
        </w:rPr>
        <w:t xml:space="preserve"> v</w:t>
      </w:r>
      <w:r>
        <w:rPr>
          <w:rFonts w:ascii="Arial" w:hAnsi="Arial" w:cs="Arial"/>
          <w:b/>
          <w:sz w:val="22"/>
          <w:szCs w:val="22"/>
        </w:rPr>
        <w:t> </w:t>
      </w:r>
      <w:r w:rsidR="00E00DF2" w:rsidRPr="00010E37">
        <w:rPr>
          <w:rFonts w:ascii="Arial" w:hAnsi="Arial" w:cs="Arial"/>
          <w:b/>
          <w:sz w:val="22"/>
          <w:szCs w:val="22"/>
        </w:rPr>
        <w:t>PAP</w:t>
      </w:r>
      <w:r>
        <w:rPr>
          <w:rFonts w:ascii="Arial" w:hAnsi="Arial" w:cs="Arial"/>
          <w:b/>
          <w:sz w:val="22"/>
          <w:szCs w:val="22"/>
        </w:rPr>
        <w:t>. U MPO existuje</w:t>
      </w:r>
      <w:r w:rsidR="00245C09">
        <w:rPr>
          <w:rFonts w:ascii="Arial" w:hAnsi="Arial" w:cs="Arial"/>
          <w:b/>
          <w:sz w:val="22"/>
          <w:szCs w:val="22"/>
        </w:rPr>
        <w:t xml:space="preserve"> důvodná pochybnost o správnosti jejich </w:t>
      </w:r>
      <w:r w:rsidR="00245C09">
        <w:rPr>
          <w:rFonts w:ascii="Arial" w:hAnsi="Arial" w:cs="Arial"/>
          <w:b/>
          <w:sz w:val="22"/>
          <w:szCs w:val="22"/>
        </w:rPr>
        <w:lastRenderedPageBreak/>
        <w:t xml:space="preserve">ocenění </w:t>
      </w:r>
      <w:r w:rsidR="009F047D">
        <w:rPr>
          <w:rFonts w:ascii="Arial" w:hAnsi="Arial" w:cs="Arial"/>
          <w:b/>
          <w:sz w:val="22"/>
          <w:szCs w:val="22"/>
        </w:rPr>
        <w:t>v</w:t>
      </w:r>
      <w:r w:rsidR="00F76359">
        <w:rPr>
          <w:rFonts w:ascii="Arial" w:hAnsi="Arial" w:cs="Arial"/>
          <w:b/>
          <w:sz w:val="22"/>
          <w:szCs w:val="22"/>
        </w:rPr>
        <w:t> </w:t>
      </w:r>
      <w:r w:rsidR="00245C09">
        <w:rPr>
          <w:rFonts w:ascii="Arial" w:hAnsi="Arial" w:cs="Arial"/>
          <w:b/>
          <w:sz w:val="22"/>
          <w:szCs w:val="22"/>
        </w:rPr>
        <w:t>účetnictví</w:t>
      </w:r>
      <w:r w:rsidR="00F76359">
        <w:rPr>
          <w:rFonts w:ascii="Arial" w:hAnsi="Arial" w:cs="Arial"/>
          <w:b/>
          <w:sz w:val="22"/>
          <w:szCs w:val="22"/>
        </w:rPr>
        <w:t>,</w:t>
      </w:r>
      <w:r w:rsidR="00E00DF2" w:rsidRPr="00010E37">
        <w:rPr>
          <w:rFonts w:ascii="Arial" w:hAnsi="Arial" w:cs="Arial"/>
          <w:b/>
          <w:sz w:val="22"/>
          <w:szCs w:val="22"/>
        </w:rPr>
        <w:t xml:space="preserve"> a to nikoliv z důvodu pochybení ze strany MPO</w:t>
      </w:r>
      <w:r w:rsidR="00245C09">
        <w:rPr>
          <w:rFonts w:ascii="Arial" w:hAnsi="Arial" w:cs="Arial"/>
          <w:b/>
          <w:sz w:val="22"/>
          <w:szCs w:val="22"/>
        </w:rPr>
        <w:t>. V</w:t>
      </w:r>
      <w:r w:rsidR="00086850">
        <w:rPr>
          <w:rFonts w:ascii="Arial" w:hAnsi="Arial" w:cs="Arial"/>
          <w:b/>
          <w:sz w:val="22"/>
          <w:szCs w:val="22"/>
        </w:rPr>
        <w:t xml:space="preserve"> tomto konkrétním případě </w:t>
      </w:r>
      <w:r w:rsidR="00245C09">
        <w:rPr>
          <w:rFonts w:ascii="Arial" w:hAnsi="Arial" w:cs="Arial"/>
          <w:b/>
          <w:sz w:val="22"/>
          <w:szCs w:val="22"/>
        </w:rPr>
        <w:t xml:space="preserve">mohou být údaje </w:t>
      </w:r>
      <w:r w:rsidR="00E00DF2" w:rsidRPr="00010E37">
        <w:rPr>
          <w:rFonts w:ascii="Arial" w:hAnsi="Arial" w:cs="Arial"/>
          <w:b/>
          <w:sz w:val="22"/>
          <w:szCs w:val="22"/>
        </w:rPr>
        <w:t xml:space="preserve">podhodnoceny o více než 5 mld. Kč. </w:t>
      </w:r>
    </w:p>
    <w:p w14:paraId="00D91886" w14:textId="77777777" w:rsidR="003678EE" w:rsidRDefault="003678EE" w:rsidP="00E00DF2">
      <w:pPr>
        <w:jc w:val="both"/>
        <w:rPr>
          <w:rFonts w:ascii="Arial" w:hAnsi="Arial" w:cs="Arial"/>
          <w:b/>
          <w:bCs/>
          <w:iCs/>
          <w:sz w:val="22"/>
          <w:szCs w:val="22"/>
          <w:highlight w:val="yellow"/>
        </w:rPr>
      </w:pPr>
    </w:p>
    <w:p w14:paraId="00D91887" w14:textId="77777777" w:rsidR="003678EE" w:rsidRPr="00260B0C" w:rsidRDefault="00086A10" w:rsidP="00E00DF2">
      <w:pPr>
        <w:jc w:val="both"/>
        <w:rPr>
          <w:rFonts w:ascii="Arial" w:hAnsi="Arial" w:cs="Arial"/>
          <w:b/>
          <w:bCs/>
          <w:iCs/>
          <w:sz w:val="22"/>
          <w:szCs w:val="22"/>
        </w:rPr>
      </w:pPr>
      <w:r w:rsidRPr="00260B0C">
        <w:rPr>
          <w:rFonts w:ascii="Arial" w:hAnsi="Arial" w:cs="Arial"/>
          <w:b/>
          <w:bCs/>
          <w:iCs/>
          <w:sz w:val="22"/>
          <w:szCs w:val="22"/>
        </w:rPr>
        <w:t xml:space="preserve">5.2 </w:t>
      </w:r>
      <w:r w:rsidR="003678EE" w:rsidRPr="00260B0C">
        <w:rPr>
          <w:rFonts w:ascii="Arial" w:hAnsi="Arial" w:cs="Arial"/>
          <w:b/>
          <w:bCs/>
          <w:iCs/>
          <w:sz w:val="22"/>
          <w:szCs w:val="22"/>
        </w:rPr>
        <w:t>Majetek České republiky, o kterém MPO neúčt</w:t>
      </w:r>
      <w:r w:rsidR="00E4581B" w:rsidRPr="00260B0C">
        <w:rPr>
          <w:rFonts w:ascii="Arial" w:hAnsi="Arial" w:cs="Arial"/>
          <w:b/>
          <w:bCs/>
          <w:iCs/>
          <w:sz w:val="22"/>
          <w:szCs w:val="22"/>
        </w:rPr>
        <w:t>ovalo</w:t>
      </w:r>
    </w:p>
    <w:p w14:paraId="00D91888" w14:textId="77777777" w:rsidR="003678EE" w:rsidRDefault="003678EE" w:rsidP="00E00DF2">
      <w:pPr>
        <w:jc w:val="both"/>
        <w:rPr>
          <w:rFonts w:ascii="Arial" w:hAnsi="Arial" w:cs="Arial"/>
          <w:b/>
          <w:bCs/>
          <w:iCs/>
          <w:sz w:val="22"/>
          <w:szCs w:val="22"/>
          <w:highlight w:val="yellow"/>
        </w:rPr>
      </w:pPr>
    </w:p>
    <w:p w14:paraId="00D91889" w14:textId="77777777" w:rsidR="003678EE" w:rsidRPr="00801662" w:rsidRDefault="003678EE" w:rsidP="00260B0C">
      <w:pPr>
        <w:shd w:val="clear" w:color="auto" w:fill="FFFFFF"/>
        <w:autoSpaceDE w:val="0"/>
        <w:autoSpaceDN w:val="0"/>
        <w:adjustRightInd w:val="0"/>
        <w:ind w:right="28"/>
        <w:jc w:val="both"/>
        <w:rPr>
          <w:rFonts w:ascii="Arial" w:hAnsi="Arial" w:cs="Arial"/>
          <w:sz w:val="22"/>
          <w:szCs w:val="22"/>
        </w:rPr>
      </w:pPr>
      <w:r>
        <w:rPr>
          <w:rFonts w:ascii="Arial" w:hAnsi="Arial" w:cs="Arial"/>
          <w:sz w:val="22"/>
          <w:szCs w:val="22"/>
        </w:rPr>
        <w:t xml:space="preserve">Kontrolou bylo zjištěno, že MPO v roce 2012 neúčtovalo o hospodaření s peněžními prostředky, které </w:t>
      </w:r>
      <w:r w:rsidR="00DA7D84">
        <w:rPr>
          <w:rFonts w:ascii="Arial" w:hAnsi="Arial" w:cs="Arial"/>
          <w:sz w:val="22"/>
          <w:szCs w:val="22"/>
        </w:rPr>
        <w:t>byly</w:t>
      </w:r>
      <w:r>
        <w:rPr>
          <w:rFonts w:ascii="Arial" w:hAnsi="Arial" w:cs="Arial"/>
          <w:sz w:val="22"/>
          <w:szCs w:val="22"/>
        </w:rPr>
        <w:t xml:space="preserve"> majetkem České republiky a jejichž </w:t>
      </w:r>
      <w:r w:rsidR="00B006FD">
        <w:rPr>
          <w:rFonts w:ascii="Arial" w:hAnsi="Arial" w:cs="Arial"/>
          <w:sz w:val="22"/>
          <w:szCs w:val="22"/>
        </w:rPr>
        <w:t>konečný zůstatek k 31. prosinci </w:t>
      </w:r>
      <w:r>
        <w:rPr>
          <w:rFonts w:ascii="Arial" w:hAnsi="Arial" w:cs="Arial"/>
          <w:sz w:val="22"/>
          <w:szCs w:val="22"/>
        </w:rPr>
        <w:t xml:space="preserve">2012 byl ve výši 347 mil. Kč. </w:t>
      </w:r>
      <w:r w:rsidR="00DA7D84">
        <w:rPr>
          <w:rFonts w:ascii="Arial" w:hAnsi="Arial" w:cs="Arial"/>
          <w:sz w:val="22"/>
          <w:szCs w:val="22"/>
        </w:rPr>
        <w:t>Šlo</w:t>
      </w:r>
      <w:r>
        <w:rPr>
          <w:rFonts w:ascii="Arial" w:hAnsi="Arial" w:cs="Arial"/>
          <w:sz w:val="22"/>
          <w:szCs w:val="22"/>
        </w:rPr>
        <w:t xml:space="preserve"> o </w:t>
      </w:r>
      <w:r w:rsidR="00F76359">
        <w:rPr>
          <w:rFonts w:ascii="Arial" w:hAnsi="Arial" w:cs="Arial"/>
          <w:sz w:val="22"/>
          <w:szCs w:val="22"/>
        </w:rPr>
        <w:t>finanční</w:t>
      </w:r>
      <w:r>
        <w:rPr>
          <w:rFonts w:ascii="Arial" w:hAnsi="Arial" w:cs="Arial"/>
          <w:sz w:val="22"/>
          <w:szCs w:val="22"/>
        </w:rPr>
        <w:t xml:space="preserve"> zdroje pr</w:t>
      </w:r>
      <w:r w:rsidR="00B006FD">
        <w:rPr>
          <w:rFonts w:ascii="Arial" w:hAnsi="Arial" w:cs="Arial"/>
          <w:sz w:val="22"/>
          <w:szCs w:val="22"/>
        </w:rPr>
        <w:t xml:space="preserve">o </w:t>
      </w:r>
      <w:r w:rsidR="00B006FD" w:rsidRPr="00260B0C">
        <w:rPr>
          <w:rFonts w:ascii="Arial" w:hAnsi="Arial" w:cs="Arial"/>
          <w:i/>
          <w:sz w:val="22"/>
          <w:szCs w:val="22"/>
        </w:rPr>
        <w:t>Program energetických úspor</w:t>
      </w:r>
      <w:r w:rsidR="00B006FD">
        <w:rPr>
          <w:rFonts w:ascii="Arial" w:hAnsi="Arial" w:cs="Arial"/>
          <w:sz w:val="22"/>
          <w:szCs w:val="22"/>
        </w:rPr>
        <w:t xml:space="preserve"> a </w:t>
      </w:r>
      <w:r w:rsidR="00527554">
        <w:rPr>
          <w:rFonts w:ascii="Arial" w:hAnsi="Arial" w:cs="Arial"/>
          <w:sz w:val="22"/>
          <w:szCs w:val="22"/>
        </w:rPr>
        <w:t xml:space="preserve">pro </w:t>
      </w:r>
      <w:r>
        <w:rPr>
          <w:rFonts w:ascii="Arial" w:hAnsi="Arial" w:cs="Arial"/>
          <w:sz w:val="22"/>
          <w:szCs w:val="22"/>
        </w:rPr>
        <w:t xml:space="preserve">financování programů ZÁRUKA, START a PROGRES </w:t>
      </w:r>
      <w:r w:rsidR="00F76359">
        <w:rPr>
          <w:rFonts w:ascii="Arial" w:hAnsi="Arial" w:cs="Arial"/>
          <w:sz w:val="22"/>
          <w:szCs w:val="22"/>
        </w:rPr>
        <w:t>realizovaných</w:t>
      </w:r>
      <w:r>
        <w:rPr>
          <w:rFonts w:ascii="Arial" w:hAnsi="Arial" w:cs="Arial"/>
          <w:sz w:val="22"/>
          <w:szCs w:val="22"/>
        </w:rPr>
        <w:t xml:space="preserve"> v rámci </w:t>
      </w:r>
      <w:r w:rsidR="00F76359">
        <w:rPr>
          <w:rFonts w:ascii="Arial" w:hAnsi="Arial" w:cs="Arial"/>
          <w:sz w:val="22"/>
          <w:szCs w:val="22"/>
        </w:rPr>
        <w:t>o</w:t>
      </w:r>
      <w:r>
        <w:rPr>
          <w:rFonts w:ascii="Arial" w:hAnsi="Arial" w:cs="Arial"/>
          <w:sz w:val="22"/>
          <w:szCs w:val="22"/>
        </w:rPr>
        <w:t xml:space="preserve">peračního programu </w:t>
      </w:r>
      <w:r w:rsidR="00F76359" w:rsidRPr="00260B0C">
        <w:rPr>
          <w:rFonts w:ascii="Arial" w:hAnsi="Arial" w:cs="Arial"/>
          <w:i/>
          <w:sz w:val="22"/>
          <w:szCs w:val="22"/>
        </w:rPr>
        <w:t>P</w:t>
      </w:r>
      <w:r w:rsidRPr="00260B0C">
        <w:rPr>
          <w:rFonts w:ascii="Arial" w:hAnsi="Arial" w:cs="Arial"/>
          <w:i/>
          <w:sz w:val="22"/>
          <w:szCs w:val="22"/>
        </w:rPr>
        <w:t>odnikání a inovace</w:t>
      </w:r>
      <w:r>
        <w:rPr>
          <w:rFonts w:ascii="Arial" w:hAnsi="Arial" w:cs="Arial"/>
          <w:sz w:val="22"/>
          <w:szCs w:val="22"/>
        </w:rPr>
        <w:t>.</w:t>
      </w:r>
      <w:r w:rsidR="00C41F0C">
        <w:rPr>
          <w:rFonts w:ascii="Arial" w:hAnsi="Arial" w:cs="Arial"/>
          <w:sz w:val="22"/>
          <w:szCs w:val="22"/>
        </w:rPr>
        <w:t xml:space="preserve"> MPO o tě</w:t>
      </w:r>
      <w:r w:rsidR="00B006FD">
        <w:rPr>
          <w:rFonts w:ascii="Arial" w:hAnsi="Arial" w:cs="Arial"/>
          <w:sz w:val="22"/>
          <w:szCs w:val="22"/>
        </w:rPr>
        <w:t>chto skutečnostech neúčtovalo a </w:t>
      </w:r>
      <w:r w:rsidR="00C41F0C">
        <w:rPr>
          <w:rFonts w:ascii="Arial" w:hAnsi="Arial" w:cs="Arial"/>
          <w:sz w:val="22"/>
          <w:szCs w:val="22"/>
        </w:rPr>
        <w:t>neuvádělo je v údajích PAP.</w:t>
      </w:r>
    </w:p>
    <w:p w14:paraId="00D9188A" w14:textId="77777777" w:rsidR="0098655E" w:rsidRDefault="0098655E" w:rsidP="00E00DF2">
      <w:pPr>
        <w:jc w:val="both"/>
        <w:rPr>
          <w:rFonts w:ascii="Arial" w:hAnsi="Arial" w:cs="Arial"/>
          <w:b/>
          <w:bCs/>
          <w:iCs/>
          <w:sz w:val="22"/>
          <w:szCs w:val="22"/>
          <w:highlight w:val="yellow"/>
        </w:rPr>
      </w:pPr>
    </w:p>
    <w:p w14:paraId="00D9188B" w14:textId="77777777" w:rsidR="00E00DF2" w:rsidRPr="00B73BBD" w:rsidRDefault="00E00DF2" w:rsidP="00E00DF2">
      <w:pPr>
        <w:jc w:val="both"/>
        <w:rPr>
          <w:rFonts w:ascii="Arial" w:hAnsi="Arial" w:cs="Arial"/>
          <w:b/>
          <w:bCs/>
          <w:iCs/>
          <w:sz w:val="22"/>
          <w:szCs w:val="22"/>
          <w:highlight w:val="yellow"/>
        </w:rPr>
      </w:pPr>
    </w:p>
    <w:p w14:paraId="00D9188C" w14:textId="77777777" w:rsidR="00DA7D84" w:rsidRDefault="00E00DF2" w:rsidP="00724F3E">
      <w:pPr>
        <w:jc w:val="center"/>
        <w:rPr>
          <w:rFonts w:ascii="Arial" w:hAnsi="Arial" w:cs="Arial"/>
          <w:b/>
        </w:rPr>
      </w:pPr>
      <w:r w:rsidRPr="00EA3367">
        <w:rPr>
          <w:rFonts w:ascii="Arial" w:hAnsi="Arial" w:cs="Arial"/>
          <w:b/>
        </w:rPr>
        <w:t>III. Shrnutí</w:t>
      </w:r>
    </w:p>
    <w:p w14:paraId="00D9188D" w14:textId="77777777" w:rsidR="00DA7D84" w:rsidRDefault="00DA7D84" w:rsidP="00E00DF2">
      <w:pPr>
        <w:jc w:val="both"/>
        <w:rPr>
          <w:rFonts w:ascii="Arial" w:hAnsi="Arial" w:cs="Arial"/>
          <w:b/>
        </w:rPr>
      </w:pPr>
    </w:p>
    <w:p w14:paraId="00D9188E" w14:textId="77777777" w:rsidR="00E00DF2" w:rsidRPr="00DA7D84" w:rsidRDefault="00E00DF2" w:rsidP="00E00DF2">
      <w:pPr>
        <w:jc w:val="both"/>
        <w:rPr>
          <w:rFonts w:ascii="Arial" w:hAnsi="Arial" w:cs="Arial"/>
          <w:sz w:val="22"/>
          <w:szCs w:val="22"/>
        </w:rPr>
      </w:pPr>
      <w:r>
        <w:rPr>
          <w:rFonts w:ascii="Arial" w:hAnsi="Arial" w:cs="Arial"/>
          <w:sz w:val="22"/>
          <w:szCs w:val="22"/>
        </w:rPr>
        <w:t xml:space="preserve">Cílem kontroly bylo </w:t>
      </w:r>
      <w:r w:rsidRPr="00752BA3">
        <w:rPr>
          <w:rFonts w:ascii="Arial" w:hAnsi="Arial" w:cs="Arial"/>
          <w:sz w:val="22"/>
          <w:szCs w:val="22"/>
        </w:rPr>
        <w:t xml:space="preserve">prověřit, zda Ministerstvo průmyslu a obchodu při sestavení </w:t>
      </w:r>
      <w:r>
        <w:rPr>
          <w:rFonts w:ascii="Arial" w:hAnsi="Arial" w:cs="Arial"/>
          <w:sz w:val="22"/>
          <w:szCs w:val="22"/>
        </w:rPr>
        <w:t>PAP</w:t>
      </w:r>
      <w:r w:rsidRPr="00752BA3">
        <w:rPr>
          <w:rFonts w:ascii="Arial" w:hAnsi="Arial" w:cs="Arial"/>
          <w:sz w:val="22"/>
          <w:szCs w:val="22"/>
        </w:rPr>
        <w:t xml:space="preserve"> a při vedení účetnictví a souvisejících zdrojů dat postupovalo </w:t>
      </w:r>
      <w:r w:rsidR="009F047D">
        <w:rPr>
          <w:rFonts w:ascii="Arial" w:hAnsi="Arial" w:cs="Arial"/>
          <w:sz w:val="22"/>
          <w:szCs w:val="22"/>
        </w:rPr>
        <w:t>v </w:t>
      </w:r>
      <w:r w:rsidRPr="00752BA3">
        <w:rPr>
          <w:rFonts w:ascii="Arial" w:hAnsi="Arial" w:cs="Arial"/>
          <w:sz w:val="22"/>
          <w:szCs w:val="22"/>
        </w:rPr>
        <w:t xml:space="preserve">souladu </w:t>
      </w:r>
      <w:r w:rsidR="009F047D">
        <w:rPr>
          <w:rFonts w:ascii="Arial" w:hAnsi="Arial" w:cs="Arial"/>
          <w:sz w:val="22"/>
          <w:szCs w:val="22"/>
        </w:rPr>
        <w:t>s </w:t>
      </w:r>
      <w:r w:rsidR="00DA7D84">
        <w:rPr>
          <w:rFonts w:ascii="Arial" w:hAnsi="Arial" w:cs="Arial"/>
          <w:sz w:val="22"/>
          <w:szCs w:val="22"/>
        </w:rPr>
        <w:t>právními předpisy.</w:t>
      </w:r>
    </w:p>
    <w:p w14:paraId="00D9188F" w14:textId="77777777" w:rsidR="001A3700" w:rsidRPr="00DA7D84" w:rsidRDefault="001A3700" w:rsidP="00E00DF2">
      <w:pPr>
        <w:jc w:val="both"/>
        <w:rPr>
          <w:rFonts w:ascii="Arial" w:hAnsi="Arial" w:cs="Arial"/>
          <w:b/>
          <w:sz w:val="22"/>
          <w:szCs w:val="22"/>
        </w:rPr>
      </w:pPr>
    </w:p>
    <w:p w14:paraId="00D91890" w14:textId="77777777" w:rsidR="00DC618F" w:rsidRPr="003C7961" w:rsidRDefault="00E00DF2" w:rsidP="00DC618F">
      <w:pPr>
        <w:pStyle w:val="Textpoznpodarou"/>
        <w:jc w:val="both"/>
        <w:rPr>
          <w:rFonts w:ascii="Arial" w:hAnsi="Arial" w:cs="Arial"/>
          <w:sz w:val="22"/>
          <w:szCs w:val="22"/>
        </w:rPr>
      </w:pPr>
      <w:r w:rsidRPr="00DA7D84">
        <w:rPr>
          <w:rFonts w:ascii="Arial" w:hAnsi="Arial" w:cs="Arial"/>
          <w:b/>
          <w:sz w:val="22"/>
          <w:szCs w:val="22"/>
        </w:rPr>
        <w:t>Všechny skutečnosti souvisejí</w:t>
      </w:r>
      <w:r w:rsidR="001A3700">
        <w:rPr>
          <w:rFonts w:ascii="Arial" w:hAnsi="Arial" w:cs="Arial"/>
          <w:b/>
          <w:sz w:val="22"/>
          <w:szCs w:val="22"/>
        </w:rPr>
        <w:t>cí</w:t>
      </w:r>
      <w:r w:rsidRPr="00DA7D84">
        <w:rPr>
          <w:rFonts w:ascii="Arial" w:hAnsi="Arial" w:cs="Arial"/>
          <w:b/>
          <w:sz w:val="22"/>
          <w:szCs w:val="22"/>
        </w:rPr>
        <w:t xml:space="preserve"> </w:t>
      </w:r>
      <w:r w:rsidR="009F047D">
        <w:rPr>
          <w:rFonts w:ascii="Arial" w:hAnsi="Arial" w:cs="Arial"/>
          <w:b/>
          <w:sz w:val="22"/>
          <w:szCs w:val="22"/>
        </w:rPr>
        <w:t>s </w:t>
      </w:r>
      <w:r w:rsidRPr="00DA7D84">
        <w:rPr>
          <w:rFonts w:ascii="Arial" w:hAnsi="Arial" w:cs="Arial"/>
          <w:b/>
          <w:sz w:val="22"/>
          <w:szCs w:val="22"/>
        </w:rPr>
        <w:t>použitelností a vypovídací schopností údajů PAP určených pro monitorování a řízení veřejných financí</w:t>
      </w:r>
      <w:r w:rsidR="001A3700">
        <w:rPr>
          <w:rFonts w:ascii="Arial" w:hAnsi="Arial" w:cs="Arial"/>
          <w:b/>
          <w:sz w:val="22"/>
          <w:szCs w:val="22"/>
        </w:rPr>
        <w:t xml:space="preserve"> jsou uvedeny </w:t>
      </w:r>
      <w:r w:rsidRPr="00DA7D84">
        <w:rPr>
          <w:rFonts w:ascii="Arial" w:hAnsi="Arial" w:cs="Arial"/>
          <w:b/>
          <w:sz w:val="22"/>
          <w:szCs w:val="22"/>
        </w:rPr>
        <w:t>v tabulce č. 12</w:t>
      </w:r>
      <w:r w:rsidR="00AE4F91">
        <w:rPr>
          <w:rFonts w:ascii="Arial" w:hAnsi="Arial" w:cs="Arial"/>
          <w:b/>
          <w:sz w:val="22"/>
          <w:szCs w:val="22"/>
        </w:rPr>
        <w:t xml:space="preserve"> tak, jak byly kontrolou zjištěny</w:t>
      </w:r>
      <w:r w:rsidR="00161C3C">
        <w:rPr>
          <w:rFonts w:ascii="Arial" w:hAnsi="Arial" w:cs="Arial"/>
          <w:b/>
          <w:sz w:val="22"/>
          <w:szCs w:val="22"/>
        </w:rPr>
        <w:t>,</w:t>
      </w:r>
      <w:r w:rsidR="00DC618F">
        <w:rPr>
          <w:rFonts w:ascii="Arial" w:hAnsi="Arial" w:cs="Arial"/>
          <w:b/>
          <w:sz w:val="22"/>
          <w:szCs w:val="22"/>
        </w:rPr>
        <w:t xml:space="preserve"> </w:t>
      </w:r>
      <w:r w:rsidR="00DC618F" w:rsidRPr="00E60F36">
        <w:rPr>
          <w:rFonts w:ascii="Arial" w:hAnsi="Arial" w:cs="Arial"/>
          <w:sz w:val="22"/>
          <w:szCs w:val="22"/>
        </w:rPr>
        <w:t>a to včetně jejich podílu</w:t>
      </w:r>
      <w:r w:rsidR="00DC618F">
        <w:rPr>
          <w:rFonts w:ascii="Arial" w:hAnsi="Arial" w:cs="Arial"/>
          <w:b/>
          <w:sz w:val="22"/>
          <w:szCs w:val="22"/>
        </w:rPr>
        <w:t xml:space="preserve"> </w:t>
      </w:r>
      <w:r w:rsidR="00DC618F">
        <w:rPr>
          <w:rFonts w:ascii="Arial" w:hAnsi="Arial" w:cs="Arial"/>
          <w:sz w:val="22"/>
          <w:szCs w:val="22"/>
        </w:rPr>
        <w:t>na celkových údajích PAP</w:t>
      </w:r>
      <w:r w:rsidR="00AE4F91">
        <w:rPr>
          <w:rFonts w:ascii="Arial" w:hAnsi="Arial" w:cs="Arial"/>
          <w:sz w:val="22"/>
          <w:szCs w:val="22"/>
        </w:rPr>
        <w:t>.</w:t>
      </w:r>
      <w:r w:rsidR="00DC618F">
        <w:rPr>
          <w:rFonts w:ascii="Arial" w:hAnsi="Arial" w:cs="Arial"/>
          <w:sz w:val="22"/>
          <w:szCs w:val="22"/>
        </w:rPr>
        <w:t xml:space="preserve"> </w:t>
      </w:r>
    </w:p>
    <w:p w14:paraId="00D91891" w14:textId="77777777" w:rsidR="00E00DF2" w:rsidRPr="00DA7D84" w:rsidRDefault="00E00DF2" w:rsidP="00E00DF2">
      <w:pPr>
        <w:rPr>
          <w:rFonts w:ascii="Arial" w:hAnsi="Arial" w:cs="Arial"/>
          <w:b/>
          <w:sz w:val="22"/>
          <w:szCs w:val="22"/>
        </w:rPr>
      </w:pPr>
    </w:p>
    <w:p w14:paraId="00D91892" w14:textId="77777777" w:rsidR="00E00DF2" w:rsidRDefault="00E00DF2" w:rsidP="00260B0C">
      <w:pPr>
        <w:tabs>
          <w:tab w:val="right" w:pos="9072"/>
        </w:tabs>
        <w:spacing w:after="40"/>
        <w:ind w:left="1644" w:hanging="1644"/>
        <w:rPr>
          <w:rFonts w:ascii="Arial" w:hAnsi="Arial" w:cs="Arial"/>
          <w:b/>
          <w:sz w:val="22"/>
          <w:szCs w:val="22"/>
        </w:rPr>
      </w:pPr>
      <w:r w:rsidRPr="00405507">
        <w:rPr>
          <w:rFonts w:ascii="Arial" w:hAnsi="Arial" w:cs="Arial"/>
          <w:b/>
          <w:sz w:val="22"/>
          <w:szCs w:val="22"/>
        </w:rPr>
        <w:t>Tabulka</w:t>
      </w:r>
      <w:r w:rsidR="00EF79B9">
        <w:rPr>
          <w:rFonts w:ascii="Arial" w:hAnsi="Arial" w:cs="Arial"/>
          <w:b/>
          <w:sz w:val="22"/>
          <w:szCs w:val="22"/>
        </w:rPr>
        <w:t> </w:t>
      </w:r>
      <w:r>
        <w:rPr>
          <w:rFonts w:ascii="Arial" w:hAnsi="Arial" w:cs="Arial"/>
          <w:b/>
          <w:sz w:val="22"/>
          <w:szCs w:val="22"/>
        </w:rPr>
        <w:t>č.</w:t>
      </w:r>
      <w:r w:rsidR="00EF79B9">
        <w:rPr>
          <w:rFonts w:ascii="Arial" w:hAnsi="Arial" w:cs="Arial"/>
          <w:b/>
          <w:sz w:val="22"/>
          <w:szCs w:val="22"/>
        </w:rPr>
        <w:t> </w:t>
      </w:r>
      <w:r w:rsidRPr="00CE1A2C">
        <w:rPr>
          <w:rFonts w:ascii="Arial" w:hAnsi="Arial" w:cs="Arial"/>
          <w:b/>
          <w:sz w:val="22"/>
          <w:szCs w:val="22"/>
        </w:rPr>
        <w:t>1</w:t>
      </w:r>
      <w:r>
        <w:rPr>
          <w:rFonts w:ascii="Arial" w:hAnsi="Arial" w:cs="Arial"/>
          <w:b/>
          <w:sz w:val="22"/>
          <w:szCs w:val="22"/>
        </w:rPr>
        <w:t>2</w:t>
      </w:r>
      <w:r w:rsidR="00724F3E">
        <w:rPr>
          <w:rFonts w:ascii="Arial" w:hAnsi="Arial" w:cs="Arial"/>
          <w:b/>
          <w:sz w:val="22"/>
          <w:szCs w:val="22"/>
        </w:rPr>
        <w:t xml:space="preserve"> –</w:t>
      </w:r>
      <w:r w:rsidR="00161C3C">
        <w:rPr>
          <w:rFonts w:ascii="Arial" w:hAnsi="Arial" w:cs="Arial"/>
          <w:b/>
          <w:sz w:val="22"/>
          <w:szCs w:val="22"/>
        </w:rPr>
        <w:t xml:space="preserve"> </w:t>
      </w:r>
      <w:r>
        <w:rPr>
          <w:rFonts w:ascii="Arial" w:hAnsi="Arial" w:cs="Arial"/>
          <w:b/>
          <w:sz w:val="22"/>
          <w:szCs w:val="22"/>
        </w:rPr>
        <w:t>Celkový přehled skutečností zjištěných v údajích PAP</w:t>
      </w:r>
      <w:r w:rsidR="00EF79B9">
        <w:rPr>
          <w:rFonts w:ascii="Arial" w:hAnsi="Arial" w:cs="Arial"/>
          <w:b/>
          <w:sz w:val="22"/>
          <w:szCs w:val="22"/>
        </w:rPr>
        <w:t xml:space="preserve"> MPO k 31. </w:t>
      </w:r>
      <w:r>
        <w:rPr>
          <w:rFonts w:ascii="Arial" w:hAnsi="Arial" w:cs="Arial"/>
          <w:b/>
          <w:sz w:val="22"/>
          <w:szCs w:val="22"/>
        </w:rPr>
        <w:t>prosinci</w:t>
      </w:r>
      <w:r w:rsidRPr="00405507">
        <w:rPr>
          <w:rFonts w:ascii="Arial" w:hAnsi="Arial" w:cs="Arial"/>
          <w:b/>
          <w:sz w:val="22"/>
          <w:szCs w:val="22"/>
        </w:rPr>
        <w:t xml:space="preserve"> 2012 </w:t>
      </w:r>
      <w:r w:rsidR="009F047D">
        <w:rPr>
          <w:rFonts w:ascii="Arial" w:hAnsi="Arial" w:cs="Arial"/>
          <w:b/>
          <w:sz w:val="22"/>
          <w:szCs w:val="22"/>
        </w:rPr>
        <w:tab/>
      </w:r>
      <w:r w:rsidRPr="00405507">
        <w:rPr>
          <w:rFonts w:ascii="Arial" w:hAnsi="Arial" w:cs="Arial"/>
          <w:b/>
          <w:sz w:val="22"/>
          <w:szCs w:val="22"/>
        </w:rPr>
        <w:t>(v Kč)</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9"/>
        <w:gridCol w:w="1984"/>
        <w:gridCol w:w="1985"/>
        <w:gridCol w:w="1984"/>
        <w:gridCol w:w="1985"/>
      </w:tblGrid>
      <w:tr w:rsidR="00E00DF2" w:rsidRPr="00BD4E46" w14:paraId="00D91898" w14:textId="77777777" w:rsidTr="00260B0C">
        <w:trPr>
          <w:trHeight w:val="610"/>
          <w:tblHeader/>
        </w:trPr>
        <w:tc>
          <w:tcPr>
            <w:tcW w:w="1149" w:type="dxa"/>
            <w:shd w:val="clear" w:color="auto" w:fill="C6D9F1" w:themeFill="text2" w:themeFillTint="33"/>
            <w:noWrap/>
            <w:vAlign w:val="center"/>
          </w:tcPr>
          <w:p w14:paraId="00D91893"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Část PAP</w:t>
            </w:r>
          </w:p>
        </w:tc>
        <w:tc>
          <w:tcPr>
            <w:tcW w:w="1984" w:type="dxa"/>
            <w:shd w:val="clear" w:color="auto" w:fill="C6D9F1" w:themeFill="text2" w:themeFillTint="33"/>
            <w:vAlign w:val="center"/>
          </w:tcPr>
          <w:p w14:paraId="00D91894" w14:textId="77777777" w:rsidR="00E00DF2" w:rsidRPr="00BD4E46" w:rsidRDefault="00E00DF2" w:rsidP="00260B0C">
            <w:pPr>
              <w:ind w:left="-70" w:right="-71"/>
              <w:jc w:val="center"/>
              <w:rPr>
                <w:rFonts w:ascii="Arial" w:hAnsi="Arial" w:cs="Arial"/>
                <w:b/>
                <w:color w:val="000000"/>
                <w:sz w:val="16"/>
                <w:szCs w:val="16"/>
                <w:lang w:eastAsia="cs-CZ"/>
              </w:rPr>
            </w:pPr>
            <w:r w:rsidRPr="00BD4E46">
              <w:rPr>
                <w:rFonts w:ascii="Arial" w:hAnsi="Arial" w:cs="Arial"/>
                <w:b/>
                <w:color w:val="000000"/>
                <w:sz w:val="16"/>
                <w:szCs w:val="16"/>
                <w:lang w:eastAsia="cs-CZ"/>
              </w:rPr>
              <w:t xml:space="preserve">Údaje </w:t>
            </w:r>
            <w:r>
              <w:rPr>
                <w:rFonts w:ascii="Arial" w:hAnsi="Arial" w:cs="Arial"/>
                <w:b/>
                <w:color w:val="000000"/>
                <w:sz w:val="16"/>
                <w:szCs w:val="16"/>
                <w:lang w:eastAsia="cs-CZ"/>
              </w:rPr>
              <w:t>nevyhodnoc</w:t>
            </w:r>
            <w:r w:rsidR="007A24C1">
              <w:rPr>
                <w:rFonts w:ascii="Arial" w:hAnsi="Arial" w:cs="Arial"/>
                <w:b/>
                <w:color w:val="000000"/>
                <w:sz w:val="16"/>
                <w:szCs w:val="16"/>
                <w:lang w:eastAsia="cs-CZ"/>
              </w:rPr>
              <w:t>e</w:t>
            </w:r>
            <w:r>
              <w:rPr>
                <w:rFonts w:ascii="Arial" w:hAnsi="Arial" w:cs="Arial"/>
                <w:b/>
                <w:color w:val="000000"/>
                <w:sz w:val="16"/>
                <w:szCs w:val="16"/>
                <w:lang w:eastAsia="cs-CZ"/>
              </w:rPr>
              <w:t xml:space="preserve">né </w:t>
            </w:r>
            <w:r w:rsidR="007A24C1" w:rsidRPr="00DA7D84">
              <w:rPr>
                <w:rFonts w:ascii="Arial" w:hAnsi="Arial" w:cs="Arial"/>
                <w:b/>
                <w:sz w:val="16"/>
                <w:szCs w:val="16"/>
              </w:rPr>
              <w:t>z hlediska souladu</w:t>
            </w:r>
            <w:r w:rsidR="005F5A89">
              <w:rPr>
                <w:rFonts w:ascii="Arial" w:hAnsi="Arial" w:cs="Arial"/>
                <w:b/>
                <w:sz w:val="16"/>
                <w:szCs w:val="16"/>
              </w:rPr>
              <w:t xml:space="preserve"> s</w:t>
            </w:r>
            <w:r w:rsidRPr="007A24C1">
              <w:rPr>
                <w:rFonts w:ascii="Arial" w:hAnsi="Arial" w:cs="Arial"/>
                <w:b/>
                <w:color w:val="000000"/>
                <w:sz w:val="16"/>
                <w:szCs w:val="16"/>
                <w:lang w:eastAsia="cs-CZ"/>
              </w:rPr>
              <w:t> ú</w:t>
            </w:r>
            <w:r>
              <w:rPr>
                <w:rFonts w:ascii="Arial" w:hAnsi="Arial" w:cs="Arial"/>
                <w:b/>
                <w:color w:val="000000"/>
                <w:sz w:val="16"/>
                <w:szCs w:val="16"/>
                <w:lang w:eastAsia="cs-CZ"/>
              </w:rPr>
              <w:t>četní regulací</w:t>
            </w:r>
            <w:r w:rsidRPr="00BD4E46">
              <w:rPr>
                <w:rFonts w:ascii="Arial" w:hAnsi="Arial" w:cs="Arial"/>
                <w:b/>
                <w:color w:val="000000"/>
                <w:sz w:val="16"/>
                <w:szCs w:val="16"/>
                <w:lang w:eastAsia="cs-CZ"/>
              </w:rPr>
              <w:t xml:space="preserve"> </w:t>
            </w:r>
          </w:p>
        </w:tc>
        <w:tc>
          <w:tcPr>
            <w:tcW w:w="1985" w:type="dxa"/>
            <w:shd w:val="clear" w:color="auto" w:fill="C6D9F1" w:themeFill="text2" w:themeFillTint="33"/>
            <w:noWrap/>
            <w:vAlign w:val="center"/>
          </w:tcPr>
          <w:p w14:paraId="00D91895" w14:textId="77777777" w:rsidR="00E00DF2" w:rsidRPr="00BD4E46" w:rsidRDefault="00E00DF2" w:rsidP="007C7817">
            <w:pPr>
              <w:jc w:val="center"/>
              <w:rPr>
                <w:rFonts w:ascii="Arial" w:hAnsi="Arial" w:cs="Arial"/>
                <w:b/>
                <w:color w:val="000000"/>
                <w:sz w:val="16"/>
                <w:szCs w:val="16"/>
                <w:lang w:eastAsia="cs-CZ"/>
              </w:rPr>
            </w:pPr>
            <w:r w:rsidRPr="00BD4E46">
              <w:rPr>
                <w:rFonts w:ascii="Arial" w:hAnsi="Arial" w:cs="Arial"/>
                <w:b/>
                <w:color w:val="000000"/>
                <w:sz w:val="16"/>
                <w:szCs w:val="16"/>
                <w:lang w:eastAsia="cs-CZ"/>
              </w:rPr>
              <w:t xml:space="preserve">Nesprávnosti přenesené do PAP z chyb vzniklých při vedení účetnictví </w:t>
            </w:r>
          </w:p>
        </w:tc>
        <w:tc>
          <w:tcPr>
            <w:tcW w:w="1984" w:type="dxa"/>
            <w:shd w:val="clear" w:color="auto" w:fill="C6D9F1" w:themeFill="text2" w:themeFillTint="33"/>
            <w:vAlign w:val="center"/>
          </w:tcPr>
          <w:p w14:paraId="00D91896" w14:textId="77777777" w:rsidR="00E00DF2" w:rsidRPr="00BD4E46" w:rsidRDefault="00E00DF2" w:rsidP="00161C3C">
            <w:pPr>
              <w:jc w:val="center"/>
              <w:rPr>
                <w:rFonts w:ascii="Arial" w:hAnsi="Arial" w:cs="Arial"/>
                <w:b/>
                <w:color w:val="000000"/>
                <w:sz w:val="16"/>
                <w:szCs w:val="16"/>
                <w:lang w:eastAsia="cs-CZ"/>
              </w:rPr>
            </w:pPr>
            <w:r w:rsidRPr="00BD4E46">
              <w:rPr>
                <w:rFonts w:ascii="Arial" w:hAnsi="Arial" w:cs="Arial"/>
                <w:b/>
                <w:color w:val="000000"/>
                <w:sz w:val="16"/>
                <w:szCs w:val="16"/>
                <w:lang w:eastAsia="cs-CZ"/>
              </w:rPr>
              <w:t>Nesprávnosti v důsledku nedodržení požadavků vyhlášky č.</w:t>
            </w:r>
            <w:r w:rsidR="00161C3C">
              <w:rPr>
                <w:rFonts w:ascii="Arial" w:hAnsi="Arial" w:cs="Arial"/>
                <w:b/>
                <w:color w:val="000000"/>
                <w:sz w:val="16"/>
                <w:szCs w:val="16"/>
                <w:lang w:eastAsia="cs-CZ"/>
              </w:rPr>
              <w:t> </w:t>
            </w:r>
            <w:r w:rsidRPr="00BD4E46">
              <w:rPr>
                <w:rFonts w:ascii="Arial" w:hAnsi="Arial" w:cs="Arial"/>
                <w:b/>
                <w:color w:val="000000"/>
                <w:sz w:val="16"/>
                <w:szCs w:val="16"/>
                <w:lang w:eastAsia="cs-CZ"/>
              </w:rPr>
              <w:t xml:space="preserve">383/2009 Sb. </w:t>
            </w:r>
          </w:p>
        </w:tc>
        <w:tc>
          <w:tcPr>
            <w:tcW w:w="1985" w:type="dxa"/>
            <w:shd w:val="clear" w:color="auto" w:fill="C6D9F1" w:themeFill="text2" w:themeFillTint="33"/>
            <w:noWrap/>
            <w:vAlign w:val="center"/>
          </w:tcPr>
          <w:p w14:paraId="00D91897" w14:textId="77777777" w:rsidR="00E00DF2" w:rsidRPr="00BD4E46" w:rsidRDefault="00E00DF2" w:rsidP="0044492B">
            <w:pPr>
              <w:jc w:val="center"/>
              <w:rPr>
                <w:rFonts w:ascii="Arial" w:hAnsi="Arial" w:cs="Arial"/>
                <w:b/>
                <w:color w:val="000000"/>
                <w:sz w:val="16"/>
                <w:szCs w:val="16"/>
                <w:lang w:eastAsia="cs-CZ"/>
              </w:rPr>
            </w:pPr>
            <w:r w:rsidRPr="00BD4E46">
              <w:rPr>
                <w:rFonts w:ascii="Arial" w:hAnsi="Arial" w:cs="Arial"/>
                <w:b/>
                <w:color w:val="000000"/>
                <w:sz w:val="16"/>
                <w:szCs w:val="16"/>
                <w:lang w:eastAsia="cs-CZ"/>
              </w:rPr>
              <w:t>Údaje v nesouladu s </w:t>
            </w:r>
            <w:r w:rsidRPr="00260B0C">
              <w:rPr>
                <w:rFonts w:ascii="Arial" w:hAnsi="Arial" w:cs="Arial"/>
                <w:b/>
                <w:i/>
                <w:color w:val="000000"/>
                <w:sz w:val="16"/>
                <w:szCs w:val="16"/>
                <w:lang w:eastAsia="cs-CZ"/>
              </w:rPr>
              <w:t>Metodikou tvorby PAP</w:t>
            </w:r>
            <w:r w:rsidRPr="00BD4E46">
              <w:rPr>
                <w:rFonts w:ascii="Arial" w:hAnsi="Arial" w:cs="Arial"/>
                <w:b/>
                <w:color w:val="000000"/>
                <w:sz w:val="16"/>
                <w:szCs w:val="16"/>
                <w:lang w:eastAsia="cs-CZ"/>
              </w:rPr>
              <w:t xml:space="preserve"> </w:t>
            </w:r>
          </w:p>
        </w:tc>
      </w:tr>
      <w:tr w:rsidR="00E00DF2" w:rsidRPr="00BD4E46" w14:paraId="00D9189E" w14:textId="77777777" w:rsidTr="00724F3E">
        <w:trPr>
          <w:trHeight w:val="133"/>
        </w:trPr>
        <w:tc>
          <w:tcPr>
            <w:tcW w:w="1149" w:type="dxa"/>
            <w:shd w:val="clear" w:color="auto" w:fill="auto"/>
            <w:noWrap/>
            <w:vAlign w:val="center"/>
            <w:hideMark/>
          </w:tcPr>
          <w:p w14:paraId="00D91899"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I</w:t>
            </w:r>
          </w:p>
        </w:tc>
        <w:tc>
          <w:tcPr>
            <w:tcW w:w="1984" w:type="dxa"/>
            <w:vAlign w:val="center"/>
          </w:tcPr>
          <w:p w14:paraId="00D9189A"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rPr>
              <w:t>59 222 251 206,16</w:t>
            </w:r>
          </w:p>
        </w:tc>
        <w:tc>
          <w:tcPr>
            <w:tcW w:w="1985" w:type="dxa"/>
            <w:shd w:val="clear" w:color="auto" w:fill="auto"/>
            <w:noWrap/>
            <w:vAlign w:val="center"/>
          </w:tcPr>
          <w:p w14:paraId="00D9189B"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32 375 988 968,69</w:t>
            </w:r>
          </w:p>
        </w:tc>
        <w:tc>
          <w:tcPr>
            <w:tcW w:w="1984" w:type="dxa"/>
            <w:shd w:val="clear" w:color="auto" w:fill="auto"/>
            <w:noWrap/>
            <w:vAlign w:val="center"/>
          </w:tcPr>
          <w:p w14:paraId="00D9189C"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9D"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A4" w14:textId="77777777" w:rsidTr="00724F3E">
        <w:trPr>
          <w:trHeight w:val="80"/>
        </w:trPr>
        <w:tc>
          <w:tcPr>
            <w:tcW w:w="1149" w:type="dxa"/>
            <w:shd w:val="clear" w:color="auto" w:fill="auto"/>
            <w:noWrap/>
            <w:vAlign w:val="center"/>
            <w:hideMark/>
          </w:tcPr>
          <w:p w14:paraId="00D9189F"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II</w:t>
            </w:r>
          </w:p>
        </w:tc>
        <w:tc>
          <w:tcPr>
            <w:tcW w:w="1984" w:type="dxa"/>
            <w:vAlign w:val="center"/>
          </w:tcPr>
          <w:p w14:paraId="00D918A0"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24 817 631 370,50</w:t>
            </w:r>
          </w:p>
        </w:tc>
        <w:tc>
          <w:tcPr>
            <w:tcW w:w="1985" w:type="dxa"/>
            <w:shd w:val="clear" w:color="auto" w:fill="auto"/>
            <w:noWrap/>
            <w:vAlign w:val="center"/>
          </w:tcPr>
          <w:p w14:paraId="00D918A1"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151 588,00</w:t>
            </w:r>
          </w:p>
        </w:tc>
        <w:tc>
          <w:tcPr>
            <w:tcW w:w="1984" w:type="dxa"/>
            <w:shd w:val="clear" w:color="auto" w:fill="auto"/>
            <w:noWrap/>
            <w:vAlign w:val="center"/>
          </w:tcPr>
          <w:p w14:paraId="00D918A2"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A3"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AA" w14:textId="77777777" w:rsidTr="00724F3E">
        <w:trPr>
          <w:trHeight w:val="97"/>
        </w:trPr>
        <w:tc>
          <w:tcPr>
            <w:tcW w:w="1149" w:type="dxa"/>
            <w:shd w:val="clear" w:color="auto" w:fill="auto"/>
            <w:noWrap/>
            <w:vAlign w:val="center"/>
            <w:hideMark/>
          </w:tcPr>
          <w:p w14:paraId="00D918A5"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III</w:t>
            </w:r>
          </w:p>
        </w:tc>
        <w:tc>
          <w:tcPr>
            <w:tcW w:w="1984" w:type="dxa"/>
            <w:vAlign w:val="center"/>
          </w:tcPr>
          <w:p w14:paraId="00D918A6"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25 109 321 084,00</w:t>
            </w:r>
          </w:p>
        </w:tc>
        <w:tc>
          <w:tcPr>
            <w:tcW w:w="1985" w:type="dxa"/>
            <w:shd w:val="clear" w:color="auto" w:fill="auto"/>
            <w:noWrap/>
            <w:vAlign w:val="center"/>
          </w:tcPr>
          <w:p w14:paraId="00D918A7"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376 432,80</w:t>
            </w:r>
          </w:p>
        </w:tc>
        <w:tc>
          <w:tcPr>
            <w:tcW w:w="1984" w:type="dxa"/>
            <w:shd w:val="clear" w:color="auto" w:fill="auto"/>
            <w:noWrap/>
            <w:vAlign w:val="center"/>
          </w:tcPr>
          <w:p w14:paraId="00D918A8"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9 084 213 237,00</w:t>
            </w:r>
          </w:p>
        </w:tc>
        <w:tc>
          <w:tcPr>
            <w:tcW w:w="1985" w:type="dxa"/>
            <w:shd w:val="clear" w:color="auto" w:fill="auto"/>
            <w:noWrap/>
            <w:vAlign w:val="center"/>
          </w:tcPr>
          <w:p w14:paraId="00D918A9"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B0" w14:textId="77777777" w:rsidTr="00724F3E">
        <w:trPr>
          <w:trHeight w:val="129"/>
        </w:trPr>
        <w:tc>
          <w:tcPr>
            <w:tcW w:w="1149" w:type="dxa"/>
            <w:shd w:val="clear" w:color="auto" w:fill="auto"/>
            <w:noWrap/>
            <w:vAlign w:val="center"/>
          </w:tcPr>
          <w:p w14:paraId="00D918AB"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IV</w:t>
            </w:r>
          </w:p>
        </w:tc>
        <w:tc>
          <w:tcPr>
            <w:tcW w:w="1984" w:type="dxa"/>
            <w:vAlign w:val="center"/>
          </w:tcPr>
          <w:p w14:paraId="00D918AC"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AD" w14:textId="77777777" w:rsidR="00E00DF2" w:rsidRPr="00BD4E46" w:rsidRDefault="00E00DF2" w:rsidP="007C7817">
            <w:pPr>
              <w:jc w:val="right"/>
              <w:rPr>
                <w:rFonts w:ascii="Arial" w:hAnsi="Arial" w:cs="Arial"/>
                <w:color w:val="000000"/>
                <w:sz w:val="16"/>
                <w:szCs w:val="16"/>
                <w:lang w:eastAsia="cs-CZ"/>
              </w:rPr>
            </w:pPr>
          </w:p>
        </w:tc>
        <w:tc>
          <w:tcPr>
            <w:tcW w:w="1984" w:type="dxa"/>
            <w:shd w:val="clear" w:color="auto" w:fill="auto"/>
            <w:noWrap/>
            <w:vAlign w:val="center"/>
          </w:tcPr>
          <w:p w14:paraId="00D918AE"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1 519 251,58</w:t>
            </w:r>
          </w:p>
        </w:tc>
        <w:tc>
          <w:tcPr>
            <w:tcW w:w="1985" w:type="dxa"/>
            <w:shd w:val="clear" w:color="auto" w:fill="auto"/>
            <w:noWrap/>
            <w:vAlign w:val="center"/>
          </w:tcPr>
          <w:p w14:paraId="00D918AF"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B6" w14:textId="77777777" w:rsidTr="00724F3E">
        <w:trPr>
          <w:trHeight w:val="60"/>
        </w:trPr>
        <w:tc>
          <w:tcPr>
            <w:tcW w:w="1149" w:type="dxa"/>
            <w:shd w:val="clear" w:color="auto" w:fill="auto"/>
            <w:noWrap/>
            <w:vAlign w:val="center"/>
            <w:hideMark/>
          </w:tcPr>
          <w:p w14:paraId="00D918B1"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VI</w:t>
            </w:r>
          </w:p>
        </w:tc>
        <w:tc>
          <w:tcPr>
            <w:tcW w:w="1984" w:type="dxa"/>
            <w:vAlign w:val="center"/>
          </w:tcPr>
          <w:p w14:paraId="00D918B2"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B3"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30 075 271 182,00</w:t>
            </w:r>
          </w:p>
        </w:tc>
        <w:tc>
          <w:tcPr>
            <w:tcW w:w="1984" w:type="dxa"/>
            <w:shd w:val="clear" w:color="auto" w:fill="auto"/>
            <w:noWrap/>
            <w:vAlign w:val="center"/>
          </w:tcPr>
          <w:p w14:paraId="00D918B4"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563 548,78</w:t>
            </w:r>
          </w:p>
        </w:tc>
        <w:tc>
          <w:tcPr>
            <w:tcW w:w="1985" w:type="dxa"/>
            <w:shd w:val="clear" w:color="auto" w:fill="auto"/>
            <w:noWrap/>
            <w:vAlign w:val="center"/>
          </w:tcPr>
          <w:p w14:paraId="00D918B5"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BC" w14:textId="77777777" w:rsidTr="00724F3E">
        <w:trPr>
          <w:trHeight w:val="147"/>
        </w:trPr>
        <w:tc>
          <w:tcPr>
            <w:tcW w:w="1149" w:type="dxa"/>
            <w:shd w:val="clear" w:color="auto" w:fill="auto"/>
            <w:noWrap/>
            <w:vAlign w:val="center"/>
            <w:hideMark/>
          </w:tcPr>
          <w:p w14:paraId="00D918B7"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VII</w:t>
            </w:r>
          </w:p>
        </w:tc>
        <w:tc>
          <w:tcPr>
            <w:tcW w:w="1984" w:type="dxa"/>
            <w:vAlign w:val="center"/>
          </w:tcPr>
          <w:p w14:paraId="00D918B8"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B9"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2 143 367 853,90</w:t>
            </w:r>
          </w:p>
        </w:tc>
        <w:tc>
          <w:tcPr>
            <w:tcW w:w="1984" w:type="dxa"/>
            <w:shd w:val="clear" w:color="auto" w:fill="auto"/>
            <w:noWrap/>
            <w:vAlign w:val="center"/>
          </w:tcPr>
          <w:p w14:paraId="00D918BA"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187 115,98</w:t>
            </w:r>
          </w:p>
        </w:tc>
        <w:tc>
          <w:tcPr>
            <w:tcW w:w="1985" w:type="dxa"/>
            <w:shd w:val="clear" w:color="auto" w:fill="auto"/>
            <w:noWrap/>
            <w:vAlign w:val="center"/>
          </w:tcPr>
          <w:p w14:paraId="00D918BB"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C2" w14:textId="77777777" w:rsidTr="00724F3E">
        <w:trPr>
          <w:trHeight w:val="93"/>
        </w:trPr>
        <w:tc>
          <w:tcPr>
            <w:tcW w:w="1149" w:type="dxa"/>
            <w:shd w:val="clear" w:color="auto" w:fill="auto"/>
            <w:noWrap/>
            <w:vAlign w:val="center"/>
          </w:tcPr>
          <w:p w14:paraId="00D918BD"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VIII</w:t>
            </w:r>
          </w:p>
        </w:tc>
        <w:tc>
          <w:tcPr>
            <w:tcW w:w="1984" w:type="dxa"/>
            <w:vAlign w:val="center"/>
          </w:tcPr>
          <w:p w14:paraId="00D918BE"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3 160 464 800,00</w:t>
            </w:r>
          </w:p>
        </w:tc>
        <w:tc>
          <w:tcPr>
            <w:tcW w:w="1985" w:type="dxa"/>
            <w:shd w:val="clear" w:color="auto" w:fill="auto"/>
            <w:noWrap/>
            <w:vAlign w:val="center"/>
          </w:tcPr>
          <w:p w14:paraId="00D918BF" w14:textId="77777777" w:rsidR="00E00DF2" w:rsidRPr="00BD4E46" w:rsidRDefault="00E00DF2" w:rsidP="007C7817">
            <w:pPr>
              <w:jc w:val="right"/>
              <w:rPr>
                <w:rFonts w:ascii="Arial" w:hAnsi="Arial" w:cs="Arial"/>
                <w:color w:val="000000"/>
                <w:sz w:val="16"/>
                <w:szCs w:val="16"/>
                <w:lang w:eastAsia="cs-CZ"/>
              </w:rPr>
            </w:pPr>
          </w:p>
        </w:tc>
        <w:tc>
          <w:tcPr>
            <w:tcW w:w="1984" w:type="dxa"/>
            <w:shd w:val="clear" w:color="auto" w:fill="auto"/>
            <w:noWrap/>
            <w:vAlign w:val="center"/>
          </w:tcPr>
          <w:p w14:paraId="00D918C0"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309 831,00</w:t>
            </w:r>
          </w:p>
        </w:tc>
        <w:tc>
          <w:tcPr>
            <w:tcW w:w="1985" w:type="dxa"/>
            <w:shd w:val="clear" w:color="auto" w:fill="auto"/>
            <w:noWrap/>
            <w:vAlign w:val="center"/>
          </w:tcPr>
          <w:p w14:paraId="00D918C1"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C8" w14:textId="77777777" w:rsidTr="00724F3E">
        <w:trPr>
          <w:trHeight w:val="181"/>
        </w:trPr>
        <w:tc>
          <w:tcPr>
            <w:tcW w:w="1149" w:type="dxa"/>
            <w:shd w:val="clear" w:color="auto" w:fill="auto"/>
            <w:noWrap/>
            <w:vAlign w:val="center"/>
            <w:hideMark/>
          </w:tcPr>
          <w:p w14:paraId="00D918C3"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IX</w:t>
            </w:r>
          </w:p>
        </w:tc>
        <w:tc>
          <w:tcPr>
            <w:tcW w:w="1984" w:type="dxa"/>
            <w:vAlign w:val="center"/>
          </w:tcPr>
          <w:p w14:paraId="00D918C4"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C5"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37 948,79</w:t>
            </w:r>
          </w:p>
        </w:tc>
        <w:tc>
          <w:tcPr>
            <w:tcW w:w="1984" w:type="dxa"/>
            <w:shd w:val="clear" w:color="auto" w:fill="auto"/>
            <w:noWrap/>
            <w:vAlign w:val="center"/>
          </w:tcPr>
          <w:p w14:paraId="00D918C6"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C7" w14:textId="77777777" w:rsidR="00E00DF2" w:rsidRPr="00BD4E46" w:rsidRDefault="00E00DF2" w:rsidP="007C7817">
            <w:pPr>
              <w:jc w:val="right"/>
              <w:rPr>
                <w:rFonts w:ascii="Arial" w:hAnsi="Arial" w:cs="Arial"/>
                <w:color w:val="000000"/>
                <w:sz w:val="16"/>
                <w:szCs w:val="16"/>
                <w:lang w:eastAsia="cs-CZ"/>
              </w:rPr>
            </w:pPr>
          </w:p>
        </w:tc>
      </w:tr>
      <w:tr w:rsidR="00E00DF2" w:rsidRPr="00BD4E46" w14:paraId="00D918CE" w14:textId="77777777" w:rsidTr="00724F3E">
        <w:trPr>
          <w:trHeight w:val="141"/>
        </w:trPr>
        <w:tc>
          <w:tcPr>
            <w:tcW w:w="1149" w:type="dxa"/>
            <w:shd w:val="clear" w:color="auto" w:fill="auto"/>
            <w:noWrap/>
            <w:vAlign w:val="center"/>
            <w:hideMark/>
          </w:tcPr>
          <w:p w14:paraId="00D918C9"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X</w:t>
            </w:r>
          </w:p>
        </w:tc>
        <w:tc>
          <w:tcPr>
            <w:tcW w:w="1984" w:type="dxa"/>
            <w:vAlign w:val="center"/>
          </w:tcPr>
          <w:p w14:paraId="00D918CA"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rPr>
              <w:t>29 611 125 603,08</w:t>
            </w:r>
          </w:p>
        </w:tc>
        <w:tc>
          <w:tcPr>
            <w:tcW w:w="1985" w:type="dxa"/>
            <w:shd w:val="clear" w:color="auto" w:fill="auto"/>
            <w:noWrap/>
            <w:vAlign w:val="center"/>
          </w:tcPr>
          <w:p w14:paraId="00D918CB"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6 309 263 156,45</w:t>
            </w:r>
          </w:p>
        </w:tc>
        <w:tc>
          <w:tcPr>
            <w:tcW w:w="1984" w:type="dxa"/>
            <w:shd w:val="clear" w:color="auto" w:fill="auto"/>
            <w:noWrap/>
            <w:vAlign w:val="center"/>
          </w:tcPr>
          <w:p w14:paraId="00D918CC"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CD"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1 920 000 000,00</w:t>
            </w:r>
          </w:p>
        </w:tc>
      </w:tr>
      <w:tr w:rsidR="00E00DF2" w:rsidRPr="00BD4E46" w14:paraId="00D918D4" w14:textId="77777777" w:rsidTr="00724F3E">
        <w:trPr>
          <w:trHeight w:val="229"/>
        </w:trPr>
        <w:tc>
          <w:tcPr>
            <w:tcW w:w="1149" w:type="dxa"/>
            <w:shd w:val="clear" w:color="auto" w:fill="auto"/>
            <w:noWrap/>
            <w:vAlign w:val="center"/>
            <w:hideMark/>
          </w:tcPr>
          <w:p w14:paraId="00D918CF"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XI</w:t>
            </w:r>
          </w:p>
        </w:tc>
        <w:tc>
          <w:tcPr>
            <w:tcW w:w="1984" w:type="dxa"/>
            <w:vAlign w:val="center"/>
          </w:tcPr>
          <w:p w14:paraId="00D918D0"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24 963 476 227,25</w:t>
            </w:r>
          </w:p>
        </w:tc>
        <w:tc>
          <w:tcPr>
            <w:tcW w:w="1985" w:type="dxa"/>
            <w:shd w:val="clear" w:color="auto" w:fill="auto"/>
            <w:noWrap/>
            <w:vAlign w:val="center"/>
          </w:tcPr>
          <w:p w14:paraId="00D918D1"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75 794,00</w:t>
            </w:r>
          </w:p>
        </w:tc>
        <w:tc>
          <w:tcPr>
            <w:tcW w:w="1984" w:type="dxa"/>
            <w:shd w:val="clear" w:color="auto" w:fill="auto"/>
            <w:noWrap/>
            <w:vAlign w:val="center"/>
          </w:tcPr>
          <w:p w14:paraId="00D918D2"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9 084 213 237,00</w:t>
            </w:r>
          </w:p>
        </w:tc>
        <w:tc>
          <w:tcPr>
            <w:tcW w:w="1985" w:type="dxa"/>
            <w:shd w:val="clear" w:color="auto" w:fill="auto"/>
            <w:noWrap/>
            <w:vAlign w:val="center"/>
          </w:tcPr>
          <w:p w14:paraId="00D918D3"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9 877 868 427,00</w:t>
            </w:r>
          </w:p>
        </w:tc>
      </w:tr>
      <w:tr w:rsidR="00E00DF2" w:rsidRPr="00BD4E46" w14:paraId="00D918DA" w14:textId="77777777" w:rsidTr="00724F3E">
        <w:trPr>
          <w:trHeight w:val="133"/>
        </w:trPr>
        <w:tc>
          <w:tcPr>
            <w:tcW w:w="1149" w:type="dxa"/>
            <w:shd w:val="clear" w:color="auto" w:fill="auto"/>
            <w:noWrap/>
            <w:vAlign w:val="center"/>
          </w:tcPr>
          <w:p w14:paraId="00D918D5"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XIII</w:t>
            </w:r>
          </w:p>
        </w:tc>
        <w:tc>
          <w:tcPr>
            <w:tcW w:w="1984" w:type="dxa"/>
            <w:vAlign w:val="center"/>
          </w:tcPr>
          <w:p w14:paraId="00D918D6"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1 580 232 400,00</w:t>
            </w:r>
          </w:p>
        </w:tc>
        <w:tc>
          <w:tcPr>
            <w:tcW w:w="1985" w:type="dxa"/>
            <w:shd w:val="clear" w:color="auto" w:fill="auto"/>
            <w:noWrap/>
            <w:vAlign w:val="center"/>
          </w:tcPr>
          <w:p w14:paraId="00D918D7" w14:textId="77777777" w:rsidR="00E00DF2" w:rsidRPr="00BD4E46" w:rsidRDefault="00E00DF2" w:rsidP="007C7817">
            <w:pPr>
              <w:jc w:val="right"/>
              <w:rPr>
                <w:rFonts w:ascii="Arial" w:hAnsi="Arial" w:cs="Arial"/>
                <w:color w:val="000000"/>
                <w:sz w:val="16"/>
                <w:szCs w:val="16"/>
                <w:lang w:eastAsia="cs-CZ"/>
              </w:rPr>
            </w:pPr>
          </w:p>
        </w:tc>
        <w:tc>
          <w:tcPr>
            <w:tcW w:w="1984" w:type="dxa"/>
            <w:shd w:val="clear" w:color="auto" w:fill="auto"/>
            <w:noWrap/>
            <w:vAlign w:val="center"/>
          </w:tcPr>
          <w:p w14:paraId="00D918D8" w14:textId="77777777" w:rsidR="00E00DF2" w:rsidRPr="00BD4E46" w:rsidRDefault="00E00DF2" w:rsidP="007C7817">
            <w:pPr>
              <w:jc w:val="right"/>
              <w:rPr>
                <w:rFonts w:ascii="Arial" w:hAnsi="Arial" w:cs="Arial"/>
                <w:color w:val="000000"/>
                <w:sz w:val="16"/>
                <w:szCs w:val="16"/>
                <w:lang w:eastAsia="cs-CZ"/>
              </w:rPr>
            </w:pPr>
          </w:p>
        </w:tc>
        <w:tc>
          <w:tcPr>
            <w:tcW w:w="1985" w:type="dxa"/>
            <w:shd w:val="clear" w:color="auto" w:fill="auto"/>
            <w:noWrap/>
            <w:vAlign w:val="center"/>
          </w:tcPr>
          <w:p w14:paraId="00D918D9" w14:textId="77777777" w:rsidR="00E00DF2" w:rsidRPr="00BD4E46" w:rsidRDefault="00E00DF2" w:rsidP="007C7817">
            <w:pPr>
              <w:jc w:val="right"/>
              <w:rPr>
                <w:rFonts w:ascii="Arial" w:hAnsi="Arial" w:cs="Arial"/>
                <w:color w:val="000000"/>
                <w:sz w:val="16"/>
                <w:szCs w:val="16"/>
                <w:lang w:eastAsia="cs-CZ"/>
              </w:rPr>
            </w:pPr>
            <w:r w:rsidRPr="00BD4E46">
              <w:rPr>
                <w:rFonts w:ascii="Arial" w:hAnsi="Arial" w:cs="Arial"/>
                <w:color w:val="000000"/>
                <w:sz w:val="16"/>
                <w:szCs w:val="16"/>
                <w:lang w:eastAsia="cs-CZ"/>
              </w:rPr>
              <w:t>1 580 232 400,00</w:t>
            </w:r>
          </w:p>
        </w:tc>
      </w:tr>
      <w:tr w:rsidR="00E00DF2" w:rsidRPr="00BD4E46" w14:paraId="00D918E0" w14:textId="77777777" w:rsidTr="00724F3E">
        <w:trPr>
          <w:trHeight w:val="221"/>
        </w:trPr>
        <w:tc>
          <w:tcPr>
            <w:tcW w:w="1149" w:type="dxa"/>
            <w:shd w:val="clear" w:color="auto" w:fill="D9D9D9" w:themeFill="background1" w:themeFillShade="D9"/>
            <w:noWrap/>
            <w:vAlign w:val="center"/>
            <w:hideMark/>
          </w:tcPr>
          <w:p w14:paraId="00D918DB"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CELKEM</w:t>
            </w:r>
          </w:p>
        </w:tc>
        <w:tc>
          <w:tcPr>
            <w:tcW w:w="1984" w:type="dxa"/>
            <w:shd w:val="clear" w:color="auto" w:fill="D9D9D9" w:themeFill="background1" w:themeFillShade="D9"/>
            <w:vAlign w:val="center"/>
          </w:tcPr>
          <w:p w14:paraId="00D918DC"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168 464 502 690,99</w:t>
            </w:r>
          </w:p>
        </w:tc>
        <w:tc>
          <w:tcPr>
            <w:tcW w:w="1985" w:type="dxa"/>
            <w:shd w:val="clear" w:color="auto" w:fill="D9D9D9" w:themeFill="background1" w:themeFillShade="D9"/>
            <w:noWrap/>
            <w:vAlign w:val="center"/>
          </w:tcPr>
          <w:p w14:paraId="00D918DD"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70 904 532 924,63</w:t>
            </w:r>
          </w:p>
        </w:tc>
        <w:tc>
          <w:tcPr>
            <w:tcW w:w="1984" w:type="dxa"/>
            <w:shd w:val="clear" w:color="auto" w:fill="D9D9D9" w:themeFill="background1" w:themeFillShade="D9"/>
            <w:noWrap/>
            <w:vAlign w:val="center"/>
          </w:tcPr>
          <w:p w14:paraId="00D918DE"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18 171 006 221,34</w:t>
            </w:r>
          </w:p>
        </w:tc>
        <w:tc>
          <w:tcPr>
            <w:tcW w:w="1985" w:type="dxa"/>
            <w:shd w:val="clear" w:color="auto" w:fill="D9D9D9" w:themeFill="background1" w:themeFillShade="D9"/>
            <w:noWrap/>
            <w:vAlign w:val="center"/>
          </w:tcPr>
          <w:p w14:paraId="00D918DF"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13 378 100 827,00</w:t>
            </w:r>
          </w:p>
        </w:tc>
      </w:tr>
      <w:tr w:rsidR="00E00DF2" w:rsidRPr="00BD4E46" w14:paraId="00D918E6" w14:textId="77777777" w:rsidTr="00724F3E">
        <w:trPr>
          <w:trHeight w:val="409"/>
        </w:trPr>
        <w:tc>
          <w:tcPr>
            <w:tcW w:w="1149" w:type="dxa"/>
            <w:shd w:val="clear" w:color="auto" w:fill="D9D9D9" w:themeFill="background1" w:themeFillShade="D9"/>
            <w:noWrap/>
            <w:vAlign w:val="center"/>
          </w:tcPr>
          <w:p w14:paraId="00D918E1" w14:textId="77777777" w:rsidR="00E00DF2" w:rsidRPr="00BD4E46" w:rsidRDefault="00E00DF2" w:rsidP="007C7817">
            <w:pPr>
              <w:jc w:val="center"/>
              <w:rPr>
                <w:rFonts w:ascii="Arial" w:hAnsi="Arial" w:cs="Arial"/>
                <w:b/>
                <w:bCs/>
                <w:color w:val="000000"/>
                <w:sz w:val="16"/>
                <w:szCs w:val="16"/>
                <w:lang w:eastAsia="cs-CZ"/>
              </w:rPr>
            </w:pPr>
            <w:r w:rsidRPr="00BD4E46">
              <w:rPr>
                <w:rFonts w:ascii="Arial" w:hAnsi="Arial" w:cs="Arial"/>
                <w:b/>
                <w:bCs/>
                <w:color w:val="000000"/>
                <w:sz w:val="16"/>
                <w:szCs w:val="16"/>
                <w:lang w:eastAsia="cs-CZ"/>
              </w:rPr>
              <w:t>Podíl na celkových údajích</w:t>
            </w:r>
            <w:r w:rsidRPr="00980EAB">
              <w:rPr>
                <w:rFonts w:ascii="Arial" w:hAnsi="Arial" w:cs="Arial"/>
                <w:b/>
                <w:bCs/>
                <w:color w:val="000000"/>
                <w:sz w:val="18"/>
                <w:szCs w:val="18"/>
                <w:lang w:eastAsia="cs-CZ"/>
              </w:rPr>
              <w:t>*</w:t>
            </w:r>
            <w:r w:rsidRPr="00BD4E46">
              <w:rPr>
                <w:rFonts w:ascii="Arial" w:hAnsi="Arial" w:cs="Arial"/>
                <w:b/>
                <w:bCs/>
                <w:color w:val="000000"/>
                <w:sz w:val="16"/>
                <w:szCs w:val="16"/>
                <w:lang w:eastAsia="cs-CZ"/>
              </w:rPr>
              <w:t xml:space="preserve"> PAP</w:t>
            </w:r>
          </w:p>
        </w:tc>
        <w:tc>
          <w:tcPr>
            <w:tcW w:w="1984" w:type="dxa"/>
            <w:shd w:val="clear" w:color="auto" w:fill="D9D9D9" w:themeFill="background1" w:themeFillShade="D9"/>
            <w:vAlign w:val="center"/>
          </w:tcPr>
          <w:p w14:paraId="00D918E2"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25,00</w:t>
            </w:r>
            <w:r w:rsidR="001C4EE6">
              <w:rPr>
                <w:rFonts w:ascii="Arial" w:hAnsi="Arial" w:cs="Arial"/>
                <w:b/>
                <w:color w:val="000000"/>
                <w:sz w:val="16"/>
                <w:szCs w:val="16"/>
                <w:lang w:eastAsia="cs-CZ"/>
              </w:rPr>
              <w:t xml:space="preserve"> </w:t>
            </w:r>
            <w:r w:rsidRPr="00BD4E46">
              <w:rPr>
                <w:rFonts w:ascii="Arial" w:hAnsi="Arial" w:cs="Arial"/>
                <w:b/>
                <w:color w:val="000000"/>
                <w:sz w:val="16"/>
                <w:szCs w:val="16"/>
                <w:lang w:eastAsia="cs-CZ"/>
              </w:rPr>
              <w:t>%</w:t>
            </w:r>
          </w:p>
        </w:tc>
        <w:tc>
          <w:tcPr>
            <w:tcW w:w="1985" w:type="dxa"/>
            <w:shd w:val="clear" w:color="auto" w:fill="D9D9D9" w:themeFill="background1" w:themeFillShade="D9"/>
            <w:noWrap/>
            <w:vAlign w:val="center"/>
          </w:tcPr>
          <w:p w14:paraId="00D918E3"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10,52</w:t>
            </w:r>
            <w:r w:rsidR="001C4EE6">
              <w:rPr>
                <w:rFonts w:ascii="Arial" w:hAnsi="Arial" w:cs="Arial"/>
                <w:b/>
                <w:color w:val="000000"/>
                <w:sz w:val="16"/>
                <w:szCs w:val="16"/>
                <w:lang w:eastAsia="cs-CZ"/>
              </w:rPr>
              <w:t xml:space="preserve"> </w:t>
            </w:r>
            <w:r w:rsidRPr="00BD4E46">
              <w:rPr>
                <w:rFonts w:ascii="Arial" w:hAnsi="Arial" w:cs="Arial"/>
                <w:b/>
                <w:color w:val="000000"/>
                <w:sz w:val="16"/>
                <w:szCs w:val="16"/>
                <w:lang w:eastAsia="cs-CZ"/>
              </w:rPr>
              <w:t>%</w:t>
            </w:r>
          </w:p>
        </w:tc>
        <w:tc>
          <w:tcPr>
            <w:tcW w:w="1984" w:type="dxa"/>
            <w:shd w:val="clear" w:color="auto" w:fill="D9D9D9" w:themeFill="background1" w:themeFillShade="D9"/>
            <w:noWrap/>
            <w:vAlign w:val="center"/>
          </w:tcPr>
          <w:p w14:paraId="00D918E4"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2,70</w:t>
            </w:r>
            <w:r w:rsidR="001C4EE6">
              <w:rPr>
                <w:rFonts w:ascii="Arial" w:hAnsi="Arial" w:cs="Arial"/>
                <w:b/>
                <w:color w:val="000000"/>
                <w:sz w:val="16"/>
                <w:szCs w:val="16"/>
                <w:lang w:eastAsia="cs-CZ"/>
              </w:rPr>
              <w:t xml:space="preserve"> </w:t>
            </w:r>
            <w:r w:rsidRPr="00BD4E46">
              <w:rPr>
                <w:rFonts w:ascii="Arial" w:hAnsi="Arial" w:cs="Arial"/>
                <w:b/>
                <w:color w:val="000000"/>
                <w:sz w:val="16"/>
                <w:szCs w:val="16"/>
                <w:lang w:eastAsia="cs-CZ"/>
              </w:rPr>
              <w:t>%</w:t>
            </w:r>
          </w:p>
        </w:tc>
        <w:tc>
          <w:tcPr>
            <w:tcW w:w="1985" w:type="dxa"/>
            <w:shd w:val="clear" w:color="auto" w:fill="D9D9D9" w:themeFill="background1" w:themeFillShade="D9"/>
            <w:noWrap/>
            <w:vAlign w:val="center"/>
          </w:tcPr>
          <w:p w14:paraId="00D918E5" w14:textId="77777777" w:rsidR="00E00DF2" w:rsidRPr="00BD4E46" w:rsidRDefault="00E00DF2" w:rsidP="007C7817">
            <w:pPr>
              <w:jc w:val="right"/>
              <w:rPr>
                <w:rFonts w:ascii="Arial" w:hAnsi="Arial" w:cs="Arial"/>
                <w:b/>
                <w:color w:val="000000"/>
                <w:sz w:val="16"/>
                <w:szCs w:val="16"/>
                <w:lang w:eastAsia="cs-CZ"/>
              </w:rPr>
            </w:pPr>
            <w:r w:rsidRPr="00BD4E46">
              <w:rPr>
                <w:rFonts w:ascii="Arial" w:hAnsi="Arial" w:cs="Arial"/>
                <w:b/>
                <w:color w:val="000000"/>
                <w:sz w:val="16"/>
                <w:szCs w:val="16"/>
                <w:lang w:eastAsia="cs-CZ"/>
              </w:rPr>
              <w:t>1,99</w:t>
            </w:r>
            <w:r w:rsidR="001C4EE6">
              <w:rPr>
                <w:rFonts w:ascii="Arial" w:hAnsi="Arial" w:cs="Arial"/>
                <w:b/>
                <w:color w:val="000000"/>
                <w:sz w:val="16"/>
                <w:szCs w:val="16"/>
                <w:lang w:eastAsia="cs-CZ"/>
              </w:rPr>
              <w:t xml:space="preserve"> </w:t>
            </w:r>
            <w:r w:rsidRPr="00BD4E46">
              <w:rPr>
                <w:rFonts w:ascii="Arial" w:hAnsi="Arial" w:cs="Arial"/>
                <w:b/>
                <w:color w:val="000000"/>
                <w:sz w:val="16"/>
                <w:szCs w:val="16"/>
                <w:lang w:eastAsia="cs-CZ"/>
              </w:rPr>
              <w:t>%</w:t>
            </w:r>
          </w:p>
        </w:tc>
      </w:tr>
      <w:tr w:rsidR="00E00DF2" w:rsidRPr="00E163AD" w14:paraId="00D918EC" w14:textId="77777777" w:rsidTr="00724F3E">
        <w:trPr>
          <w:trHeight w:val="409"/>
        </w:trPr>
        <w:tc>
          <w:tcPr>
            <w:tcW w:w="1149" w:type="dxa"/>
            <w:shd w:val="clear" w:color="auto" w:fill="auto"/>
            <w:noWrap/>
            <w:vAlign w:val="center"/>
          </w:tcPr>
          <w:p w14:paraId="00D918E7" w14:textId="77777777" w:rsidR="00E00DF2" w:rsidRPr="00E163AD" w:rsidRDefault="00E00DF2" w:rsidP="007C7817">
            <w:pPr>
              <w:jc w:val="center"/>
              <w:rPr>
                <w:rFonts w:ascii="Arial" w:hAnsi="Arial" w:cs="Arial"/>
                <w:bCs/>
                <w:i/>
                <w:color w:val="000000"/>
                <w:sz w:val="16"/>
                <w:szCs w:val="16"/>
                <w:lang w:eastAsia="cs-CZ"/>
              </w:rPr>
            </w:pPr>
            <w:r w:rsidRPr="00E163AD">
              <w:rPr>
                <w:rFonts w:ascii="Arial" w:hAnsi="Arial" w:cs="Arial"/>
                <w:bCs/>
                <w:i/>
                <w:color w:val="000000"/>
                <w:sz w:val="16"/>
                <w:szCs w:val="16"/>
                <w:lang w:eastAsia="cs-CZ"/>
              </w:rPr>
              <w:t>CELKEM bez vlivu řetězení</w:t>
            </w:r>
          </w:p>
        </w:tc>
        <w:tc>
          <w:tcPr>
            <w:tcW w:w="1984" w:type="dxa"/>
            <w:vAlign w:val="center"/>
          </w:tcPr>
          <w:p w14:paraId="00D918E8" w14:textId="77777777" w:rsidR="00E00DF2" w:rsidRPr="00E163AD" w:rsidRDefault="00E00DF2" w:rsidP="007C7817">
            <w:pPr>
              <w:jc w:val="right"/>
              <w:rPr>
                <w:rFonts w:ascii="Arial" w:hAnsi="Arial" w:cs="Arial"/>
                <w:bCs/>
                <w:i/>
                <w:color w:val="000000"/>
                <w:sz w:val="16"/>
                <w:szCs w:val="16"/>
                <w:lang w:eastAsia="cs-CZ"/>
              </w:rPr>
            </w:pPr>
            <w:r w:rsidRPr="00E163AD">
              <w:rPr>
                <w:rFonts w:ascii="Arial" w:hAnsi="Arial" w:cs="Arial"/>
                <w:bCs/>
                <w:i/>
                <w:color w:val="000000"/>
                <w:sz w:val="16"/>
                <w:szCs w:val="16"/>
                <w:lang w:eastAsia="cs-CZ"/>
              </w:rPr>
              <w:t>54 574 601 830,33</w:t>
            </w:r>
          </w:p>
        </w:tc>
        <w:tc>
          <w:tcPr>
            <w:tcW w:w="1985" w:type="dxa"/>
            <w:shd w:val="clear" w:color="auto" w:fill="auto"/>
            <w:noWrap/>
            <w:vAlign w:val="center"/>
          </w:tcPr>
          <w:p w14:paraId="00D918E9" w14:textId="77777777" w:rsidR="00E00DF2" w:rsidRPr="00E163AD" w:rsidRDefault="00E00DF2" w:rsidP="007C7817">
            <w:pPr>
              <w:jc w:val="right"/>
              <w:rPr>
                <w:rFonts w:ascii="Arial" w:hAnsi="Arial" w:cs="Arial"/>
                <w:i/>
                <w:color w:val="000000"/>
                <w:sz w:val="16"/>
                <w:szCs w:val="16"/>
                <w:lang w:eastAsia="cs-CZ"/>
              </w:rPr>
            </w:pPr>
            <w:r w:rsidRPr="00E163AD">
              <w:rPr>
                <w:rFonts w:ascii="Arial" w:hAnsi="Arial" w:cs="Arial"/>
                <w:bCs/>
                <w:i/>
                <w:color w:val="000000"/>
                <w:sz w:val="16"/>
                <w:szCs w:val="16"/>
                <w:lang w:eastAsia="cs-CZ"/>
              </w:rPr>
              <w:t>26 066 708 962,64</w:t>
            </w:r>
          </w:p>
        </w:tc>
        <w:tc>
          <w:tcPr>
            <w:tcW w:w="1984" w:type="dxa"/>
            <w:shd w:val="clear" w:color="auto" w:fill="auto"/>
            <w:noWrap/>
            <w:vAlign w:val="center"/>
          </w:tcPr>
          <w:p w14:paraId="00D918EA" w14:textId="77777777" w:rsidR="00E00DF2" w:rsidRPr="00E163AD" w:rsidRDefault="00E00DF2" w:rsidP="007C7817">
            <w:pPr>
              <w:jc w:val="right"/>
              <w:rPr>
                <w:rFonts w:ascii="Arial" w:hAnsi="Arial" w:cs="Arial"/>
                <w:i/>
                <w:color w:val="000000"/>
                <w:sz w:val="16"/>
                <w:szCs w:val="16"/>
                <w:lang w:eastAsia="cs-CZ"/>
              </w:rPr>
            </w:pPr>
            <w:r w:rsidRPr="00E163AD">
              <w:rPr>
                <w:rFonts w:ascii="Arial" w:hAnsi="Arial" w:cs="Arial"/>
                <w:i/>
                <w:color w:val="000000"/>
                <w:sz w:val="16"/>
                <w:szCs w:val="16"/>
                <w:lang w:eastAsia="cs-CZ"/>
              </w:rPr>
              <w:t>9 085 845 142,15</w:t>
            </w:r>
          </w:p>
        </w:tc>
        <w:tc>
          <w:tcPr>
            <w:tcW w:w="1985" w:type="dxa"/>
            <w:shd w:val="clear" w:color="auto" w:fill="auto"/>
            <w:noWrap/>
            <w:vAlign w:val="center"/>
          </w:tcPr>
          <w:p w14:paraId="00D918EB" w14:textId="77777777" w:rsidR="00E00DF2" w:rsidRPr="00E163AD" w:rsidRDefault="00E00DF2" w:rsidP="007C7817">
            <w:pPr>
              <w:jc w:val="right"/>
              <w:rPr>
                <w:rFonts w:ascii="Arial" w:hAnsi="Arial" w:cs="Arial"/>
                <w:i/>
                <w:color w:val="000000"/>
                <w:sz w:val="16"/>
                <w:szCs w:val="16"/>
                <w:lang w:eastAsia="cs-CZ"/>
              </w:rPr>
            </w:pPr>
            <w:r w:rsidRPr="00E163AD">
              <w:rPr>
                <w:rFonts w:ascii="Arial" w:hAnsi="Arial" w:cs="Arial"/>
                <w:i/>
                <w:color w:val="000000"/>
                <w:sz w:val="16"/>
                <w:szCs w:val="16"/>
                <w:lang w:eastAsia="cs-CZ"/>
              </w:rPr>
              <w:t>13 378 100 827,00</w:t>
            </w:r>
          </w:p>
        </w:tc>
      </w:tr>
    </w:tbl>
    <w:p w14:paraId="00D918ED" w14:textId="77777777" w:rsidR="00E00DF2" w:rsidRDefault="00E00DF2" w:rsidP="000D46B4">
      <w:pPr>
        <w:spacing w:before="20"/>
        <w:jc w:val="both"/>
        <w:rPr>
          <w:rFonts w:ascii="Arial" w:hAnsi="Arial" w:cs="Arial"/>
          <w:sz w:val="18"/>
          <w:szCs w:val="18"/>
        </w:rPr>
      </w:pPr>
      <w:r w:rsidRPr="00807BF4">
        <w:rPr>
          <w:rFonts w:ascii="Arial" w:hAnsi="Arial" w:cs="Arial"/>
          <w:b/>
          <w:bCs/>
          <w:color w:val="000000"/>
          <w:sz w:val="18"/>
          <w:szCs w:val="18"/>
          <w:lang w:eastAsia="cs-CZ"/>
        </w:rPr>
        <w:t>*</w:t>
      </w:r>
      <w:r w:rsidRPr="00BD4E46">
        <w:rPr>
          <w:rFonts w:ascii="Arial" w:hAnsi="Arial" w:cs="Arial"/>
          <w:sz w:val="18"/>
          <w:szCs w:val="18"/>
        </w:rPr>
        <w:t xml:space="preserve"> </w:t>
      </w:r>
      <w:r>
        <w:rPr>
          <w:rFonts w:ascii="Arial" w:hAnsi="Arial" w:cs="Arial"/>
          <w:sz w:val="18"/>
          <w:szCs w:val="18"/>
        </w:rPr>
        <w:t>C</w:t>
      </w:r>
      <w:r w:rsidRPr="00BD4E46">
        <w:rPr>
          <w:rFonts w:ascii="Arial" w:hAnsi="Arial" w:cs="Arial"/>
          <w:sz w:val="18"/>
          <w:szCs w:val="18"/>
        </w:rPr>
        <w:t>elkové údaje zachycené v PAP jsou v</w:t>
      </w:r>
      <w:r>
        <w:rPr>
          <w:rFonts w:ascii="Arial" w:hAnsi="Arial" w:cs="Arial"/>
          <w:sz w:val="18"/>
          <w:szCs w:val="18"/>
        </w:rPr>
        <w:t> </w:t>
      </w:r>
      <w:r w:rsidRPr="00BD4E46">
        <w:rPr>
          <w:rFonts w:ascii="Arial" w:hAnsi="Arial" w:cs="Arial"/>
          <w:sz w:val="18"/>
          <w:szCs w:val="18"/>
        </w:rPr>
        <w:t>tabulce</w:t>
      </w:r>
      <w:r>
        <w:rPr>
          <w:rFonts w:ascii="Arial" w:hAnsi="Arial" w:cs="Arial"/>
          <w:sz w:val="18"/>
          <w:szCs w:val="18"/>
        </w:rPr>
        <w:t xml:space="preserve"> č</w:t>
      </w:r>
      <w:r w:rsidRPr="001A1612">
        <w:rPr>
          <w:rFonts w:ascii="Arial" w:hAnsi="Arial" w:cs="Arial"/>
          <w:sz w:val="18"/>
          <w:szCs w:val="18"/>
        </w:rPr>
        <w:t>. 2</w:t>
      </w:r>
      <w:r w:rsidRPr="00BD4E46">
        <w:rPr>
          <w:rFonts w:ascii="Arial" w:hAnsi="Arial" w:cs="Arial"/>
          <w:sz w:val="18"/>
          <w:szCs w:val="18"/>
        </w:rPr>
        <w:t xml:space="preserve"> vyčísleny ve výši 673 736 002 060,53 Kč</w:t>
      </w:r>
      <w:r>
        <w:rPr>
          <w:rFonts w:ascii="Arial" w:hAnsi="Arial" w:cs="Arial"/>
          <w:sz w:val="18"/>
          <w:szCs w:val="18"/>
        </w:rPr>
        <w:t xml:space="preserve">. </w:t>
      </w:r>
    </w:p>
    <w:p w14:paraId="00D918EE" w14:textId="77777777" w:rsidR="00BC1E55" w:rsidRDefault="00BC1E55" w:rsidP="003C7961">
      <w:pPr>
        <w:pStyle w:val="Textpoznpodarou"/>
        <w:jc w:val="both"/>
        <w:rPr>
          <w:rFonts w:ascii="Arial" w:hAnsi="Arial" w:cs="Arial"/>
          <w:b/>
          <w:sz w:val="22"/>
          <w:szCs w:val="22"/>
        </w:rPr>
      </w:pPr>
    </w:p>
    <w:p w14:paraId="00D918EF" w14:textId="77777777" w:rsidR="00BC1E55" w:rsidRDefault="00AE4F91" w:rsidP="00BC1E55">
      <w:pPr>
        <w:jc w:val="both"/>
        <w:rPr>
          <w:rFonts w:ascii="Arial" w:hAnsi="Arial" w:cs="Arial"/>
          <w:sz w:val="22"/>
          <w:szCs w:val="22"/>
        </w:rPr>
      </w:pPr>
      <w:r>
        <w:rPr>
          <w:rFonts w:ascii="Arial" w:hAnsi="Arial" w:cs="Arial"/>
          <w:sz w:val="22"/>
          <w:szCs w:val="22"/>
        </w:rPr>
        <w:t>V</w:t>
      </w:r>
      <w:r w:rsidR="00BC1E55">
        <w:rPr>
          <w:rFonts w:ascii="Arial" w:hAnsi="Arial" w:cs="Arial"/>
          <w:sz w:val="22"/>
          <w:szCs w:val="22"/>
        </w:rPr>
        <w:t> právní</w:t>
      </w:r>
      <w:r>
        <w:rPr>
          <w:rFonts w:ascii="Arial" w:hAnsi="Arial" w:cs="Arial"/>
          <w:sz w:val="22"/>
          <w:szCs w:val="22"/>
        </w:rPr>
        <w:t>ch</w:t>
      </w:r>
      <w:r w:rsidR="00BC1E55">
        <w:rPr>
          <w:rFonts w:ascii="Arial" w:hAnsi="Arial" w:cs="Arial"/>
          <w:sz w:val="22"/>
          <w:szCs w:val="22"/>
        </w:rPr>
        <w:t xml:space="preserve"> předpise</w:t>
      </w:r>
      <w:r>
        <w:rPr>
          <w:rFonts w:ascii="Arial" w:hAnsi="Arial" w:cs="Arial"/>
          <w:sz w:val="22"/>
          <w:szCs w:val="22"/>
        </w:rPr>
        <w:t>ch nejsou</w:t>
      </w:r>
      <w:r w:rsidR="00BC1E55">
        <w:rPr>
          <w:rFonts w:ascii="Arial" w:hAnsi="Arial" w:cs="Arial"/>
          <w:sz w:val="22"/>
          <w:szCs w:val="22"/>
        </w:rPr>
        <w:t xml:space="preserve"> stanovena kritéria pro hodnocení</w:t>
      </w:r>
      <w:r>
        <w:rPr>
          <w:rFonts w:ascii="Arial" w:hAnsi="Arial" w:cs="Arial"/>
          <w:sz w:val="22"/>
          <w:szCs w:val="22"/>
        </w:rPr>
        <w:t xml:space="preserve"> kvality údajů PAP</w:t>
      </w:r>
      <w:r w:rsidR="00BC1E55">
        <w:rPr>
          <w:rFonts w:ascii="Arial" w:hAnsi="Arial" w:cs="Arial"/>
          <w:sz w:val="22"/>
          <w:szCs w:val="22"/>
        </w:rPr>
        <w:t>, stejně tak jako pro hodnocení jejich významnosti</w:t>
      </w:r>
      <w:r w:rsidR="0098655E">
        <w:rPr>
          <w:rFonts w:ascii="Arial" w:hAnsi="Arial" w:cs="Arial"/>
          <w:sz w:val="22"/>
          <w:szCs w:val="22"/>
        </w:rPr>
        <w:t>. N</w:t>
      </w:r>
      <w:r w:rsidR="00BC1E55">
        <w:rPr>
          <w:rFonts w:ascii="Arial" w:hAnsi="Arial" w:cs="Arial"/>
          <w:sz w:val="22"/>
          <w:szCs w:val="22"/>
        </w:rPr>
        <w:t>ení</w:t>
      </w:r>
      <w:r w:rsidR="00E60F36">
        <w:rPr>
          <w:rFonts w:ascii="Arial" w:hAnsi="Arial" w:cs="Arial"/>
          <w:sz w:val="22"/>
          <w:szCs w:val="22"/>
        </w:rPr>
        <w:t xml:space="preserve"> ani</w:t>
      </w:r>
      <w:r w:rsidR="00BC1E55">
        <w:rPr>
          <w:rFonts w:ascii="Arial" w:hAnsi="Arial" w:cs="Arial"/>
          <w:sz w:val="22"/>
          <w:szCs w:val="22"/>
        </w:rPr>
        <w:t xml:space="preserve"> zřejmé, jaké </w:t>
      </w:r>
      <w:r w:rsidR="0098655E">
        <w:rPr>
          <w:rFonts w:ascii="Arial" w:hAnsi="Arial" w:cs="Arial"/>
          <w:sz w:val="22"/>
          <w:szCs w:val="22"/>
        </w:rPr>
        <w:t xml:space="preserve">konkrétní </w:t>
      </w:r>
      <w:r w:rsidR="00BC1E55">
        <w:rPr>
          <w:rFonts w:ascii="Arial" w:hAnsi="Arial" w:cs="Arial"/>
          <w:sz w:val="22"/>
          <w:szCs w:val="22"/>
        </w:rPr>
        <w:t xml:space="preserve">údaje </w:t>
      </w:r>
      <w:r w:rsidR="00161C3C">
        <w:rPr>
          <w:rFonts w:ascii="Arial" w:hAnsi="Arial" w:cs="Arial"/>
          <w:sz w:val="22"/>
          <w:szCs w:val="22"/>
        </w:rPr>
        <w:t xml:space="preserve">jsou </w:t>
      </w:r>
      <w:r w:rsidR="00BC1E55">
        <w:rPr>
          <w:rFonts w:ascii="Arial" w:hAnsi="Arial" w:cs="Arial"/>
          <w:sz w:val="22"/>
          <w:szCs w:val="22"/>
        </w:rPr>
        <w:t xml:space="preserve">pro </w:t>
      </w:r>
      <w:r w:rsidR="0098655E">
        <w:rPr>
          <w:rFonts w:ascii="Arial" w:hAnsi="Arial" w:cs="Arial"/>
          <w:sz w:val="22"/>
          <w:szCs w:val="22"/>
        </w:rPr>
        <w:t xml:space="preserve">které </w:t>
      </w:r>
      <w:r w:rsidR="00BC1E55">
        <w:rPr>
          <w:rFonts w:ascii="Arial" w:hAnsi="Arial" w:cs="Arial"/>
          <w:sz w:val="22"/>
          <w:szCs w:val="22"/>
        </w:rPr>
        <w:t xml:space="preserve">uživatele PAP významné. </w:t>
      </w:r>
    </w:p>
    <w:p w14:paraId="00D918F0" w14:textId="77777777" w:rsidR="00BC1E55" w:rsidRDefault="00BC1E55" w:rsidP="003C7961">
      <w:pPr>
        <w:pStyle w:val="Textpoznpodarou"/>
        <w:jc w:val="both"/>
        <w:rPr>
          <w:rFonts w:ascii="Arial" w:hAnsi="Arial" w:cs="Arial"/>
          <w:b/>
          <w:sz w:val="22"/>
          <w:szCs w:val="22"/>
        </w:rPr>
      </w:pPr>
    </w:p>
    <w:p w14:paraId="00D918F1" w14:textId="77777777" w:rsidR="003C7961" w:rsidRPr="00DA7D84" w:rsidRDefault="001A3700" w:rsidP="007C6D63">
      <w:pPr>
        <w:jc w:val="both"/>
        <w:rPr>
          <w:rFonts w:ascii="Arial" w:hAnsi="Arial" w:cs="Arial"/>
          <w:b/>
          <w:sz w:val="22"/>
          <w:szCs w:val="22"/>
        </w:rPr>
      </w:pPr>
      <w:r w:rsidRPr="00DA7D84">
        <w:rPr>
          <w:rFonts w:ascii="Arial" w:hAnsi="Arial" w:cs="Arial"/>
          <w:b/>
          <w:sz w:val="22"/>
          <w:szCs w:val="22"/>
        </w:rPr>
        <w:t>Ú</w:t>
      </w:r>
      <w:r w:rsidR="003C7961" w:rsidRPr="00DA7D84">
        <w:rPr>
          <w:rFonts w:ascii="Arial" w:hAnsi="Arial" w:cs="Arial"/>
          <w:b/>
          <w:sz w:val="22"/>
          <w:szCs w:val="22"/>
        </w:rPr>
        <w:t>daje</w:t>
      </w:r>
      <w:r w:rsidRPr="00DA7D84">
        <w:rPr>
          <w:rFonts w:ascii="Arial" w:hAnsi="Arial" w:cs="Arial"/>
          <w:b/>
          <w:sz w:val="22"/>
          <w:szCs w:val="22"/>
        </w:rPr>
        <w:t xml:space="preserve"> </w:t>
      </w:r>
      <w:r w:rsidR="00AE4F91">
        <w:rPr>
          <w:rFonts w:ascii="Arial" w:hAnsi="Arial" w:cs="Arial"/>
          <w:b/>
          <w:sz w:val="22"/>
          <w:szCs w:val="22"/>
        </w:rPr>
        <w:t>obsažené</w:t>
      </w:r>
      <w:r w:rsidRPr="00DA7D84">
        <w:rPr>
          <w:rFonts w:ascii="Arial" w:hAnsi="Arial" w:cs="Arial"/>
          <w:b/>
          <w:sz w:val="22"/>
          <w:szCs w:val="22"/>
        </w:rPr>
        <w:t xml:space="preserve"> v tabulce č. 12</w:t>
      </w:r>
      <w:r w:rsidR="00BC1E55">
        <w:rPr>
          <w:rFonts w:ascii="Arial" w:hAnsi="Arial" w:cs="Arial"/>
          <w:b/>
          <w:sz w:val="22"/>
          <w:szCs w:val="22"/>
        </w:rPr>
        <w:t xml:space="preserve"> jsou</w:t>
      </w:r>
      <w:r w:rsidR="00AE4F91">
        <w:rPr>
          <w:rFonts w:ascii="Arial" w:hAnsi="Arial" w:cs="Arial"/>
          <w:b/>
          <w:sz w:val="22"/>
          <w:szCs w:val="22"/>
        </w:rPr>
        <w:t xml:space="preserve"> vyčísleny</w:t>
      </w:r>
      <w:r w:rsidR="003C7961" w:rsidRPr="00DA7D84">
        <w:rPr>
          <w:rFonts w:ascii="Arial" w:hAnsi="Arial" w:cs="Arial"/>
          <w:b/>
          <w:sz w:val="22"/>
          <w:szCs w:val="22"/>
        </w:rPr>
        <w:t xml:space="preserve"> za jednotlivé kategorie skutečností</w:t>
      </w:r>
      <w:r w:rsidR="00E60F36">
        <w:rPr>
          <w:rFonts w:ascii="Arial" w:hAnsi="Arial" w:cs="Arial"/>
          <w:b/>
          <w:sz w:val="22"/>
          <w:szCs w:val="22"/>
        </w:rPr>
        <w:t>, které byly</w:t>
      </w:r>
      <w:r w:rsidR="00BC1E55">
        <w:rPr>
          <w:rFonts w:ascii="Arial" w:hAnsi="Arial" w:cs="Arial"/>
          <w:b/>
          <w:sz w:val="22"/>
          <w:szCs w:val="22"/>
        </w:rPr>
        <w:t xml:space="preserve"> v</w:t>
      </w:r>
      <w:r w:rsidR="00E60F36">
        <w:rPr>
          <w:rFonts w:ascii="Arial" w:hAnsi="Arial" w:cs="Arial"/>
          <w:b/>
          <w:sz w:val="22"/>
          <w:szCs w:val="22"/>
        </w:rPr>
        <w:t> </w:t>
      </w:r>
      <w:r w:rsidR="00BC1E55">
        <w:rPr>
          <w:rFonts w:ascii="Arial" w:hAnsi="Arial" w:cs="Arial"/>
          <w:b/>
          <w:sz w:val="22"/>
          <w:szCs w:val="22"/>
        </w:rPr>
        <w:t>kontrole</w:t>
      </w:r>
      <w:r w:rsidR="00E60F36">
        <w:rPr>
          <w:rFonts w:ascii="Arial" w:hAnsi="Arial" w:cs="Arial"/>
          <w:b/>
          <w:sz w:val="22"/>
          <w:szCs w:val="22"/>
        </w:rPr>
        <w:t xml:space="preserve"> </w:t>
      </w:r>
      <w:r w:rsidR="00AE4F91">
        <w:rPr>
          <w:rFonts w:ascii="Arial" w:hAnsi="Arial" w:cs="Arial"/>
          <w:b/>
          <w:sz w:val="22"/>
          <w:szCs w:val="22"/>
        </w:rPr>
        <w:t>sledovány</w:t>
      </w:r>
      <w:r w:rsidR="00E60F36">
        <w:rPr>
          <w:rFonts w:ascii="Arial" w:hAnsi="Arial" w:cs="Arial"/>
          <w:b/>
          <w:sz w:val="22"/>
          <w:szCs w:val="22"/>
        </w:rPr>
        <w:t>. Ty</w:t>
      </w:r>
      <w:r w:rsidR="003C7961" w:rsidRPr="00DA7D84">
        <w:rPr>
          <w:rFonts w:ascii="Arial" w:hAnsi="Arial" w:cs="Arial"/>
          <w:b/>
          <w:sz w:val="22"/>
          <w:szCs w:val="22"/>
        </w:rPr>
        <w:t xml:space="preserve"> je</w:t>
      </w:r>
      <w:r w:rsidR="00E60F36">
        <w:rPr>
          <w:rFonts w:ascii="Arial" w:hAnsi="Arial" w:cs="Arial"/>
          <w:b/>
          <w:sz w:val="22"/>
          <w:szCs w:val="22"/>
        </w:rPr>
        <w:t xml:space="preserve"> </w:t>
      </w:r>
      <w:r w:rsidR="003C7961" w:rsidRPr="00DA7D84">
        <w:rPr>
          <w:rFonts w:ascii="Arial" w:hAnsi="Arial" w:cs="Arial"/>
          <w:b/>
          <w:sz w:val="22"/>
          <w:szCs w:val="22"/>
        </w:rPr>
        <w:t>třeba</w:t>
      </w:r>
      <w:r w:rsidR="00E60F36">
        <w:rPr>
          <w:rFonts w:ascii="Arial" w:hAnsi="Arial" w:cs="Arial"/>
          <w:b/>
          <w:sz w:val="22"/>
          <w:szCs w:val="22"/>
        </w:rPr>
        <w:t xml:space="preserve"> vždy</w:t>
      </w:r>
      <w:r w:rsidR="00BC1E55">
        <w:rPr>
          <w:rFonts w:ascii="Arial" w:hAnsi="Arial" w:cs="Arial"/>
          <w:b/>
          <w:sz w:val="22"/>
          <w:szCs w:val="22"/>
        </w:rPr>
        <w:t xml:space="preserve"> </w:t>
      </w:r>
      <w:r w:rsidR="003C7961" w:rsidRPr="00DA7D84">
        <w:rPr>
          <w:rFonts w:ascii="Arial" w:hAnsi="Arial" w:cs="Arial"/>
          <w:b/>
          <w:sz w:val="22"/>
          <w:szCs w:val="22"/>
        </w:rPr>
        <w:t xml:space="preserve">posuzovat a hodnotit </w:t>
      </w:r>
      <w:r w:rsidR="00BC1E55">
        <w:rPr>
          <w:rFonts w:ascii="Arial" w:hAnsi="Arial" w:cs="Arial"/>
          <w:b/>
          <w:sz w:val="22"/>
          <w:szCs w:val="22"/>
        </w:rPr>
        <w:t>samostatně.</w:t>
      </w:r>
      <w:r w:rsidR="003C7961" w:rsidRPr="00DA7D84">
        <w:rPr>
          <w:rFonts w:ascii="Arial" w:hAnsi="Arial" w:cs="Arial"/>
          <w:b/>
          <w:sz w:val="22"/>
          <w:szCs w:val="22"/>
        </w:rPr>
        <w:t xml:space="preserve"> </w:t>
      </w:r>
      <w:r w:rsidR="00BC1E55">
        <w:rPr>
          <w:rFonts w:ascii="Arial" w:hAnsi="Arial" w:cs="Arial"/>
          <w:b/>
          <w:sz w:val="22"/>
          <w:szCs w:val="22"/>
        </w:rPr>
        <w:t>N</w:t>
      </w:r>
      <w:r w:rsidR="003C7961" w:rsidRPr="00DA7D84">
        <w:rPr>
          <w:rFonts w:ascii="Arial" w:hAnsi="Arial" w:cs="Arial"/>
          <w:b/>
          <w:sz w:val="22"/>
          <w:szCs w:val="22"/>
        </w:rPr>
        <w:t xml:space="preserve">elze je sečíst a vyjádřit jedním číslem dopadu na PAP. </w:t>
      </w:r>
      <w:r w:rsidR="00B5611C">
        <w:rPr>
          <w:rFonts w:ascii="Arial" w:hAnsi="Arial" w:cs="Arial"/>
          <w:b/>
          <w:sz w:val="22"/>
          <w:szCs w:val="22"/>
        </w:rPr>
        <w:t>V</w:t>
      </w:r>
      <w:r w:rsidR="00BC1E55" w:rsidRPr="00D21FA9">
        <w:rPr>
          <w:rFonts w:ascii="Arial" w:hAnsi="Arial" w:cs="Arial"/>
          <w:b/>
          <w:sz w:val="22"/>
          <w:szCs w:val="22"/>
        </w:rPr>
        <w:t xml:space="preserve"> důsledku provázanosti údajů jednotlivých částí PAP se </w:t>
      </w:r>
      <w:r w:rsidR="00BC1E55" w:rsidRPr="00BC1E55">
        <w:rPr>
          <w:rFonts w:ascii="Arial" w:hAnsi="Arial" w:cs="Arial"/>
          <w:b/>
          <w:bCs/>
          <w:iCs/>
          <w:sz w:val="22"/>
          <w:szCs w:val="22"/>
        </w:rPr>
        <w:t>případná chyba řetězí</w:t>
      </w:r>
      <w:r w:rsidR="00B5611C">
        <w:rPr>
          <w:rFonts w:ascii="Arial" w:hAnsi="Arial" w:cs="Arial"/>
          <w:b/>
          <w:bCs/>
          <w:iCs/>
          <w:sz w:val="22"/>
          <w:szCs w:val="22"/>
        </w:rPr>
        <w:t xml:space="preserve"> a</w:t>
      </w:r>
      <w:r w:rsidR="00BC1E55" w:rsidRPr="00BC1E55">
        <w:rPr>
          <w:rFonts w:ascii="Arial" w:hAnsi="Arial" w:cs="Arial"/>
          <w:b/>
          <w:bCs/>
          <w:iCs/>
          <w:sz w:val="22"/>
          <w:szCs w:val="22"/>
        </w:rPr>
        <w:t xml:space="preserve"> v řadě případů</w:t>
      </w:r>
      <w:r w:rsidR="00B5611C">
        <w:rPr>
          <w:rFonts w:ascii="Arial" w:hAnsi="Arial" w:cs="Arial"/>
          <w:b/>
          <w:bCs/>
          <w:iCs/>
          <w:sz w:val="22"/>
          <w:szCs w:val="22"/>
        </w:rPr>
        <w:t xml:space="preserve"> se</w:t>
      </w:r>
      <w:r w:rsidR="00BC1E55" w:rsidRPr="00BC1E55">
        <w:rPr>
          <w:rFonts w:ascii="Arial" w:hAnsi="Arial" w:cs="Arial"/>
          <w:b/>
          <w:bCs/>
          <w:iCs/>
          <w:sz w:val="22"/>
          <w:szCs w:val="22"/>
        </w:rPr>
        <w:t xml:space="preserve"> promítá do dalších částí PAP</w:t>
      </w:r>
      <w:r w:rsidR="00161C3C">
        <w:rPr>
          <w:rFonts w:ascii="Arial" w:hAnsi="Arial" w:cs="Arial"/>
          <w:b/>
          <w:bCs/>
          <w:iCs/>
          <w:sz w:val="22"/>
          <w:szCs w:val="22"/>
        </w:rPr>
        <w:t>,</w:t>
      </w:r>
      <w:r w:rsidR="00BC1E55" w:rsidRPr="00BC1E55">
        <w:rPr>
          <w:rFonts w:ascii="Arial" w:hAnsi="Arial" w:cs="Arial"/>
          <w:b/>
          <w:bCs/>
          <w:iCs/>
          <w:sz w:val="22"/>
          <w:szCs w:val="22"/>
        </w:rPr>
        <w:t xml:space="preserve"> a zatěžuje tak nesprávností i údaje v navazujících částech.</w:t>
      </w:r>
      <w:r w:rsidR="00BC1E55" w:rsidRPr="00D21FA9">
        <w:rPr>
          <w:rFonts w:ascii="Arial" w:hAnsi="Arial" w:cs="Arial"/>
          <w:b/>
          <w:sz w:val="22"/>
          <w:szCs w:val="22"/>
        </w:rPr>
        <w:t xml:space="preserve"> </w:t>
      </w:r>
      <w:r w:rsidR="003C7961" w:rsidRPr="00DA7D84">
        <w:rPr>
          <w:rFonts w:ascii="Arial" w:hAnsi="Arial" w:cs="Arial"/>
          <w:b/>
          <w:sz w:val="22"/>
          <w:szCs w:val="22"/>
        </w:rPr>
        <w:t>Z </w:t>
      </w:r>
      <w:r w:rsidR="00B5611C">
        <w:rPr>
          <w:rFonts w:ascii="Arial" w:hAnsi="Arial" w:cs="Arial"/>
          <w:b/>
          <w:sz w:val="22"/>
          <w:szCs w:val="22"/>
        </w:rPr>
        <w:t>tohoto důvodu tak může být</w:t>
      </w:r>
      <w:r w:rsidR="003C7961" w:rsidRPr="00DA7D84">
        <w:rPr>
          <w:rFonts w:ascii="Arial" w:hAnsi="Arial" w:cs="Arial"/>
          <w:b/>
          <w:sz w:val="22"/>
          <w:szCs w:val="22"/>
        </w:rPr>
        <w:t xml:space="preserve"> jeden údaj zatížen jak nedostatkem z</w:t>
      </w:r>
      <w:r w:rsidR="00F13B10">
        <w:rPr>
          <w:rFonts w:ascii="Arial" w:hAnsi="Arial" w:cs="Arial"/>
          <w:b/>
          <w:sz w:val="22"/>
          <w:szCs w:val="22"/>
        </w:rPr>
        <w:t> </w:t>
      </w:r>
      <w:r w:rsidR="003C7961" w:rsidRPr="00DA7D84">
        <w:rPr>
          <w:rFonts w:ascii="Arial" w:hAnsi="Arial" w:cs="Arial"/>
          <w:b/>
          <w:sz w:val="22"/>
          <w:szCs w:val="22"/>
        </w:rPr>
        <w:t>důvodu</w:t>
      </w:r>
      <w:r w:rsidR="00F13B10">
        <w:rPr>
          <w:rFonts w:ascii="Arial" w:hAnsi="Arial" w:cs="Arial"/>
          <w:b/>
          <w:sz w:val="22"/>
          <w:szCs w:val="22"/>
        </w:rPr>
        <w:t xml:space="preserve"> chyby přenesené z účetnictví, tak </w:t>
      </w:r>
      <w:r w:rsidR="009F047D">
        <w:rPr>
          <w:rFonts w:ascii="Arial" w:hAnsi="Arial" w:cs="Arial"/>
          <w:b/>
          <w:sz w:val="22"/>
          <w:szCs w:val="22"/>
        </w:rPr>
        <w:t>z </w:t>
      </w:r>
      <w:r w:rsidR="00F13B10">
        <w:rPr>
          <w:rFonts w:ascii="Arial" w:hAnsi="Arial" w:cs="Arial"/>
          <w:b/>
          <w:sz w:val="22"/>
          <w:szCs w:val="22"/>
        </w:rPr>
        <w:t>důvodu</w:t>
      </w:r>
      <w:r w:rsidR="003C7961" w:rsidRPr="00DA7D84">
        <w:rPr>
          <w:rFonts w:ascii="Arial" w:hAnsi="Arial" w:cs="Arial"/>
          <w:b/>
          <w:sz w:val="22"/>
          <w:szCs w:val="22"/>
        </w:rPr>
        <w:t xml:space="preserve"> nesprávně použit</w:t>
      </w:r>
      <w:r w:rsidR="00EF79B9" w:rsidRPr="00DA7D84">
        <w:rPr>
          <w:rFonts w:ascii="Arial" w:hAnsi="Arial" w:cs="Arial"/>
          <w:b/>
          <w:sz w:val="22"/>
          <w:szCs w:val="22"/>
        </w:rPr>
        <w:t xml:space="preserve">ého analytického členění, </w:t>
      </w:r>
      <w:r w:rsidR="00F13B10">
        <w:rPr>
          <w:rFonts w:ascii="Arial" w:hAnsi="Arial" w:cs="Arial"/>
          <w:b/>
          <w:sz w:val="22"/>
          <w:szCs w:val="22"/>
        </w:rPr>
        <w:t>příp.</w:t>
      </w:r>
      <w:r w:rsidR="00EF79B9" w:rsidRPr="00DA7D84">
        <w:rPr>
          <w:rFonts w:ascii="Arial" w:hAnsi="Arial" w:cs="Arial"/>
          <w:b/>
          <w:sz w:val="22"/>
          <w:szCs w:val="22"/>
        </w:rPr>
        <w:t xml:space="preserve"> i </w:t>
      </w:r>
      <w:r w:rsidR="003C7961" w:rsidRPr="00DA7D84">
        <w:rPr>
          <w:rFonts w:ascii="Arial" w:hAnsi="Arial" w:cs="Arial"/>
          <w:b/>
          <w:sz w:val="22"/>
          <w:szCs w:val="22"/>
        </w:rPr>
        <w:t xml:space="preserve">z důvodu </w:t>
      </w:r>
      <w:r w:rsidR="00F13B10">
        <w:rPr>
          <w:rFonts w:ascii="Arial" w:hAnsi="Arial" w:cs="Arial"/>
          <w:b/>
          <w:sz w:val="22"/>
          <w:szCs w:val="22"/>
        </w:rPr>
        <w:t>přiřazení jiného identifikátor</w:t>
      </w:r>
      <w:r w:rsidR="00161C3C">
        <w:rPr>
          <w:rFonts w:ascii="Arial" w:hAnsi="Arial" w:cs="Arial"/>
          <w:b/>
          <w:sz w:val="22"/>
          <w:szCs w:val="22"/>
        </w:rPr>
        <w:t>u</w:t>
      </w:r>
      <w:r w:rsidR="003C7961" w:rsidRPr="00DA7D84">
        <w:rPr>
          <w:rFonts w:ascii="Arial" w:hAnsi="Arial" w:cs="Arial"/>
          <w:b/>
          <w:sz w:val="22"/>
          <w:szCs w:val="22"/>
        </w:rPr>
        <w:t xml:space="preserve"> partner</w:t>
      </w:r>
      <w:r w:rsidR="00F13B10">
        <w:rPr>
          <w:rFonts w:ascii="Arial" w:hAnsi="Arial" w:cs="Arial"/>
          <w:b/>
          <w:sz w:val="22"/>
          <w:szCs w:val="22"/>
        </w:rPr>
        <w:t>a,</w:t>
      </w:r>
      <w:r w:rsidR="003C7961" w:rsidRPr="00DA7D84">
        <w:rPr>
          <w:rFonts w:ascii="Arial" w:hAnsi="Arial" w:cs="Arial"/>
          <w:b/>
          <w:sz w:val="22"/>
          <w:szCs w:val="22"/>
        </w:rPr>
        <w:t xml:space="preserve"> než </w:t>
      </w:r>
      <w:r w:rsidR="00161C3C">
        <w:rPr>
          <w:rFonts w:ascii="Arial" w:hAnsi="Arial" w:cs="Arial"/>
          <w:b/>
          <w:sz w:val="22"/>
          <w:szCs w:val="22"/>
        </w:rPr>
        <w:t xml:space="preserve">jaký </w:t>
      </w:r>
      <w:r w:rsidR="003C7961" w:rsidRPr="00DA7D84">
        <w:rPr>
          <w:rFonts w:ascii="Arial" w:hAnsi="Arial" w:cs="Arial"/>
          <w:b/>
          <w:sz w:val="22"/>
          <w:szCs w:val="22"/>
        </w:rPr>
        <w:t>vyplýval z </w:t>
      </w:r>
      <w:r w:rsidR="003C7961" w:rsidRPr="00260B0C">
        <w:rPr>
          <w:rFonts w:ascii="Arial" w:hAnsi="Arial" w:cs="Arial"/>
          <w:b/>
          <w:i/>
          <w:sz w:val="22"/>
          <w:szCs w:val="22"/>
        </w:rPr>
        <w:t>Metodiky tvorby PAP</w:t>
      </w:r>
      <w:r w:rsidR="003C7961" w:rsidRPr="00DA7D84">
        <w:rPr>
          <w:rFonts w:ascii="Arial" w:hAnsi="Arial" w:cs="Arial"/>
          <w:b/>
          <w:sz w:val="22"/>
          <w:szCs w:val="22"/>
        </w:rPr>
        <w:t xml:space="preserve">. </w:t>
      </w:r>
      <w:r w:rsidR="003C7961" w:rsidRPr="00DA7D84">
        <w:rPr>
          <w:rFonts w:ascii="Arial" w:hAnsi="Arial" w:cs="Arial"/>
          <w:b/>
          <w:sz w:val="22"/>
          <w:szCs w:val="22"/>
        </w:rPr>
        <w:lastRenderedPageBreak/>
        <w:t xml:space="preserve">Součet </w:t>
      </w:r>
      <w:r w:rsidR="00F13B10">
        <w:rPr>
          <w:rFonts w:ascii="Arial" w:hAnsi="Arial" w:cs="Arial"/>
          <w:b/>
          <w:sz w:val="22"/>
          <w:szCs w:val="22"/>
        </w:rPr>
        <w:t xml:space="preserve">za jednotlivé kategorie skutečností </w:t>
      </w:r>
      <w:r w:rsidR="00E60F36">
        <w:rPr>
          <w:rFonts w:ascii="Arial" w:hAnsi="Arial" w:cs="Arial"/>
          <w:b/>
          <w:sz w:val="22"/>
          <w:szCs w:val="22"/>
        </w:rPr>
        <w:t xml:space="preserve">zjišťovaných </w:t>
      </w:r>
      <w:r w:rsidR="009F047D">
        <w:rPr>
          <w:rFonts w:ascii="Arial" w:hAnsi="Arial" w:cs="Arial"/>
          <w:b/>
          <w:sz w:val="22"/>
          <w:szCs w:val="22"/>
        </w:rPr>
        <w:t>v </w:t>
      </w:r>
      <w:r w:rsidR="00F13B10">
        <w:rPr>
          <w:rFonts w:ascii="Arial" w:hAnsi="Arial" w:cs="Arial"/>
          <w:b/>
          <w:sz w:val="22"/>
          <w:szCs w:val="22"/>
        </w:rPr>
        <w:t xml:space="preserve">kontrole </w:t>
      </w:r>
      <w:r w:rsidR="003C7961" w:rsidRPr="00DA7D84">
        <w:rPr>
          <w:rFonts w:ascii="Arial" w:hAnsi="Arial" w:cs="Arial"/>
          <w:b/>
          <w:sz w:val="22"/>
          <w:szCs w:val="22"/>
        </w:rPr>
        <w:t>by proto vedl k duplicitnímu započtení.</w:t>
      </w:r>
    </w:p>
    <w:p w14:paraId="00D918F2" w14:textId="77777777" w:rsidR="00E00DF2" w:rsidRDefault="00E00DF2" w:rsidP="00E00DF2">
      <w:pPr>
        <w:jc w:val="both"/>
        <w:rPr>
          <w:rFonts w:ascii="Arial" w:hAnsi="Arial" w:cs="Arial"/>
          <w:sz w:val="22"/>
          <w:szCs w:val="22"/>
        </w:rPr>
      </w:pPr>
    </w:p>
    <w:p w14:paraId="00D918F3" w14:textId="77777777" w:rsidR="00B5611C" w:rsidRPr="00D21FA9" w:rsidRDefault="00E00DF2" w:rsidP="00B5611C">
      <w:pPr>
        <w:jc w:val="both"/>
        <w:rPr>
          <w:rFonts w:ascii="Arial" w:hAnsi="Arial" w:cs="Arial"/>
          <w:b/>
          <w:sz w:val="22"/>
          <w:szCs w:val="22"/>
        </w:rPr>
      </w:pPr>
      <w:r>
        <w:rPr>
          <w:rFonts w:ascii="Arial" w:hAnsi="Arial" w:cs="Arial"/>
          <w:sz w:val="22"/>
          <w:szCs w:val="22"/>
        </w:rPr>
        <w:t xml:space="preserve">Informace z tabulky č. 12 </w:t>
      </w:r>
      <w:r w:rsidR="00AD6B3D">
        <w:rPr>
          <w:rFonts w:ascii="Arial" w:hAnsi="Arial" w:cs="Arial"/>
          <w:sz w:val="22"/>
          <w:szCs w:val="22"/>
        </w:rPr>
        <w:t>v</w:t>
      </w:r>
      <w:r>
        <w:rPr>
          <w:rFonts w:ascii="Arial" w:hAnsi="Arial" w:cs="Arial"/>
          <w:sz w:val="22"/>
          <w:szCs w:val="22"/>
        </w:rPr>
        <w:t xml:space="preserve"> rozdělení na </w:t>
      </w:r>
      <w:r w:rsidR="00677487">
        <w:rPr>
          <w:rFonts w:ascii="Arial" w:hAnsi="Arial" w:cs="Arial"/>
          <w:sz w:val="22"/>
          <w:szCs w:val="22"/>
        </w:rPr>
        <w:t>část bez vlivu řetězení</w:t>
      </w:r>
      <w:r w:rsidR="00B228C9">
        <w:rPr>
          <w:rFonts w:ascii="Arial" w:hAnsi="Arial" w:cs="Arial"/>
          <w:sz w:val="22"/>
          <w:szCs w:val="22"/>
        </w:rPr>
        <w:t xml:space="preserve"> </w:t>
      </w:r>
      <w:r>
        <w:rPr>
          <w:rFonts w:ascii="Arial" w:hAnsi="Arial" w:cs="Arial"/>
          <w:sz w:val="22"/>
          <w:szCs w:val="22"/>
        </w:rPr>
        <w:t>a</w:t>
      </w:r>
      <w:r w:rsidR="00BC1E55">
        <w:rPr>
          <w:rFonts w:ascii="Arial" w:hAnsi="Arial" w:cs="Arial"/>
          <w:sz w:val="22"/>
          <w:szCs w:val="22"/>
        </w:rPr>
        <w:t xml:space="preserve"> </w:t>
      </w:r>
      <w:r w:rsidR="009F047D">
        <w:rPr>
          <w:rFonts w:ascii="Arial" w:hAnsi="Arial" w:cs="Arial"/>
          <w:sz w:val="22"/>
          <w:szCs w:val="22"/>
        </w:rPr>
        <w:t>s </w:t>
      </w:r>
      <w:r w:rsidR="00BC1E55">
        <w:rPr>
          <w:rFonts w:ascii="Arial" w:hAnsi="Arial" w:cs="Arial"/>
          <w:sz w:val="22"/>
          <w:szCs w:val="22"/>
        </w:rPr>
        <w:t>vlivem</w:t>
      </w:r>
      <w:r>
        <w:rPr>
          <w:rFonts w:ascii="Arial" w:hAnsi="Arial" w:cs="Arial"/>
          <w:sz w:val="22"/>
          <w:szCs w:val="22"/>
        </w:rPr>
        <w:t xml:space="preserve"> řetězení uvnitř PAP</w:t>
      </w:r>
      <w:r w:rsidR="006F2537">
        <w:rPr>
          <w:rFonts w:ascii="Arial" w:hAnsi="Arial" w:cs="Arial"/>
          <w:sz w:val="22"/>
          <w:szCs w:val="22"/>
        </w:rPr>
        <w:t xml:space="preserve"> </w:t>
      </w:r>
      <w:r w:rsidR="00BC1E55">
        <w:rPr>
          <w:rFonts w:ascii="Arial" w:hAnsi="Arial" w:cs="Arial"/>
          <w:sz w:val="22"/>
          <w:szCs w:val="22"/>
        </w:rPr>
        <w:t>zobrazuje graf č. 3</w:t>
      </w:r>
      <w:r>
        <w:rPr>
          <w:rFonts w:ascii="Arial" w:hAnsi="Arial" w:cs="Arial"/>
          <w:sz w:val="22"/>
          <w:szCs w:val="22"/>
        </w:rPr>
        <w:t>.</w:t>
      </w:r>
      <w:r w:rsidR="00B5611C" w:rsidRPr="00B5611C">
        <w:rPr>
          <w:rFonts w:ascii="Arial" w:hAnsi="Arial" w:cs="Arial"/>
          <w:b/>
          <w:sz w:val="22"/>
          <w:szCs w:val="22"/>
        </w:rPr>
        <w:t xml:space="preserve"> </w:t>
      </w:r>
      <w:r w:rsidR="00F13B10" w:rsidRPr="00E60F36">
        <w:rPr>
          <w:rFonts w:ascii="Arial" w:hAnsi="Arial" w:cs="Arial"/>
          <w:sz w:val="22"/>
          <w:szCs w:val="22"/>
        </w:rPr>
        <w:t>Z tohoto grafu</w:t>
      </w:r>
      <w:r w:rsidR="00F13B10">
        <w:rPr>
          <w:rFonts w:ascii="Arial" w:hAnsi="Arial" w:cs="Arial"/>
          <w:b/>
          <w:sz w:val="22"/>
          <w:szCs w:val="22"/>
        </w:rPr>
        <w:t xml:space="preserve"> </w:t>
      </w:r>
      <w:r w:rsidR="00F13B10" w:rsidRPr="00E60F36">
        <w:rPr>
          <w:rFonts w:ascii="Arial" w:hAnsi="Arial" w:cs="Arial"/>
          <w:sz w:val="22"/>
          <w:szCs w:val="22"/>
        </w:rPr>
        <w:t>je zřejmé, že</w:t>
      </w:r>
      <w:r w:rsidR="00F13B10">
        <w:rPr>
          <w:rFonts w:ascii="Arial" w:hAnsi="Arial" w:cs="Arial"/>
          <w:b/>
          <w:sz w:val="22"/>
          <w:szCs w:val="22"/>
        </w:rPr>
        <w:t xml:space="preserve"> ř</w:t>
      </w:r>
      <w:r w:rsidR="00B5611C" w:rsidRPr="00D21FA9">
        <w:rPr>
          <w:rFonts w:ascii="Arial" w:hAnsi="Arial" w:cs="Arial"/>
          <w:b/>
          <w:sz w:val="22"/>
          <w:szCs w:val="22"/>
        </w:rPr>
        <w:t>etězení údajů uvnitř PAP má významný vliv na výsledný celkový rozsah skutečností, které ovlivňují vypovídací schopnost údajů</w:t>
      </w:r>
      <w:r w:rsidR="00161C3C">
        <w:rPr>
          <w:rFonts w:ascii="Arial" w:hAnsi="Arial" w:cs="Arial"/>
          <w:b/>
          <w:sz w:val="22"/>
          <w:szCs w:val="22"/>
        </w:rPr>
        <w:t xml:space="preserve"> pomocného analytického přehledu</w:t>
      </w:r>
      <w:r w:rsidR="00B5611C" w:rsidRPr="00D21FA9">
        <w:rPr>
          <w:rFonts w:ascii="Arial" w:hAnsi="Arial" w:cs="Arial"/>
          <w:b/>
          <w:sz w:val="22"/>
          <w:szCs w:val="22"/>
        </w:rPr>
        <w:t>.</w:t>
      </w:r>
    </w:p>
    <w:p w14:paraId="00D918F4" w14:textId="77777777" w:rsidR="00724F3E" w:rsidRDefault="00724F3E" w:rsidP="00E00DF2">
      <w:pPr>
        <w:jc w:val="both"/>
        <w:rPr>
          <w:rFonts w:ascii="Arial" w:hAnsi="Arial" w:cs="Arial"/>
          <w:sz w:val="22"/>
          <w:szCs w:val="22"/>
        </w:rPr>
      </w:pPr>
    </w:p>
    <w:p w14:paraId="00D918F5" w14:textId="77777777" w:rsidR="00161C3C" w:rsidRDefault="00B201D4" w:rsidP="00260B0C">
      <w:pPr>
        <w:ind w:left="1134" w:hanging="1134"/>
        <w:rPr>
          <w:rFonts w:ascii="Arial" w:hAnsi="Arial" w:cs="Arial"/>
          <w:b/>
          <w:sz w:val="22"/>
          <w:szCs w:val="22"/>
        </w:rPr>
      </w:pPr>
      <w:r>
        <w:rPr>
          <w:rFonts w:ascii="Arial" w:hAnsi="Arial" w:cs="Arial"/>
          <w:b/>
          <w:sz w:val="22"/>
          <w:szCs w:val="22"/>
        </w:rPr>
        <w:t>Graf č. </w:t>
      </w:r>
      <w:r w:rsidR="00E00DF2" w:rsidRPr="00980EAB">
        <w:rPr>
          <w:rFonts w:ascii="Arial" w:hAnsi="Arial" w:cs="Arial"/>
          <w:b/>
          <w:sz w:val="22"/>
          <w:szCs w:val="22"/>
        </w:rPr>
        <w:t>3 –</w:t>
      </w:r>
      <w:r w:rsidR="00161C3C">
        <w:rPr>
          <w:rFonts w:ascii="Arial" w:hAnsi="Arial" w:cs="Arial"/>
          <w:b/>
          <w:sz w:val="22"/>
          <w:szCs w:val="22"/>
        </w:rPr>
        <w:t xml:space="preserve"> </w:t>
      </w:r>
      <w:r w:rsidR="00E00DF2">
        <w:rPr>
          <w:rFonts w:ascii="Arial" w:hAnsi="Arial" w:cs="Arial"/>
          <w:b/>
          <w:sz w:val="22"/>
          <w:szCs w:val="22"/>
        </w:rPr>
        <w:t>Celkový přehled skutečností zjištěných v údajích PAP</w:t>
      </w:r>
      <w:r w:rsidR="00E00DF2" w:rsidRPr="00405507">
        <w:rPr>
          <w:rFonts w:ascii="Arial" w:hAnsi="Arial" w:cs="Arial"/>
          <w:b/>
          <w:sz w:val="22"/>
          <w:szCs w:val="22"/>
        </w:rPr>
        <w:t xml:space="preserve"> MPO k 31.</w:t>
      </w:r>
      <w:r w:rsidR="00EF79B9">
        <w:rPr>
          <w:rFonts w:ascii="Arial" w:hAnsi="Arial" w:cs="Arial"/>
          <w:b/>
          <w:sz w:val="22"/>
          <w:szCs w:val="22"/>
        </w:rPr>
        <w:t> p</w:t>
      </w:r>
      <w:r w:rsidR="00E00DF2">
        <w:rPr>
          <w:rFonts w:ascii="Arial" w:hAnsi="Arial" w:cs="Arial"/>
          <w:b/>
          <w:sz w:val="22"/>
          <w:szCs w:val="22"/>
        </w:rPr>
        <w:t>rosinci</w:t>
      </w:r>
      <w:r w:rsidR="00EF79B9">
        <w:rPr>
          <w:rFonts w:ascii="Arial" w:hAnsi="Arial" w:cs="Arial"/>
          <w:b/>
          <w:sz w:val="22"/>
          <w:szCs w:val="22"/>
        </w:rPr>
        <w:t> </w:t>
      </w:r>
      <w:r w:rsidR="00E00DF2" w:rsidRPr="00405507">
        <w:rPr>
          <w:rFonts w:ascii="Arial" w:hAnsi="Arial" w:cs="Arial"/>
          <w:b/>
          <w:sz w:val="22"/>
          <w:szCs w:val="22"/>
        </w:rPr>
        <w:t xml:space="preserve">2012 </w:t>
      </w:r>
      <w:r w:rsidR="00E00DF2">
        <w:rPr>
          <w:rFonts w:ascii="Arial" w:hAnsi="Arial" w:cs="Arial"/>
          <w:b/>
          <w:sz w:val="22"/>
          <w:szCs w:val="22"/>
        </w:rPr>
        <w:t>dle</w:t>
      </w:r>
      <w:r w:rsidR="00C65C8C">
        <w:rPr>
          <w:rFonts w:ascii="Arial" w:hAnsi="Arial" w:cs="Arial"/>
          <w:b/>
          <w:sz w:val="22"/>
          <w:szCs w:val="22"/>
        </w:rPr>
        <w:t xml:space="preserve"> jejich</w:t>
      </w:r>
      <w:r w:rsidR="00E00DF2">
        <w:rPr>
          <w:rFonts w:ascii="Arial" w:hAnsi="Arial" w:cs="Arial"/>
          <w:b/>
          <w:sz w:val="22"/>
          <w:szCs w:val="22"/>
        </w:rPr>
        <w:t xml:space="preserve"> jednotlivých kategorií </w:t>
      </w:r>
      <w:r w:rsidR="00C65C8C">
        <w:rPr>
          <w:rFonts w:ascii="Arial" w:hAnsi="Arial" w:cs="Arial"/>
          <w:b/>
          <w:sz w:val="22"/>
          <w:szCs w:val="22"/>
        </w:rPr>
        <w:t>a v</w:t>
      </w:r>
      <w:r w:rsidR="00E00DF2">
        <w:rPr>
          <w:rFonts w:ascii="Arial" w:hAnsi="Arial" w:cs="Arial"/>
          <w:b/>
          <w:sz w:val="22"/>
          <w:szCs w:val="22"/>
        </w:rPr>
        <w:t xml:space="preserve"> rozdělení </w:t>
      </w:r>
    </w:p>
    <w:p w14:paraId="00D918F6" w14:textId="77777777" w:rsidR="00E00DF2" w:rsidRPr="00980EAB" w:rsidRDefault="00E00DF2" w:rsidP="00260B0C">
      <w:pPr>
        <w:tabs>
          <w:tab w:val="right" w:pos="9072"/>
        </w:tabs>
        <w:spacing w:after="40"/>
        <w:ind w:left="1134"/>
        <w:rPr>
          <w:rFonts w:ascii="Arial" w:hAnsi="Arial" w:cs="Arial"/>
          <w:b/>
          <w:sz w:val="22"/>
          <w:szCs w:val="22"/>
        </w:rPr>
      </w:pPr>
      <w:r>
        <w:rPr>
          <w:rFonts w:ascii="Arial" w:hAnsi="Arial" w:cs="Arial"/>
          <w:b/>
          <w:sz w:val="22"/>
          <w:szCs w:val="22"/>
        </w:rPr>
        <w:t xml:space="preserve">na část </w:t>
      </w:r>
      <w:r w:rsidR="006C6729">
        <w:rPr>
          <w:rFonts w:ascii="Arial" w:hAnsi="Arial" w:cs="Arial"/>
          <w:b/>
          <w:sz w:val="22"/>
          <w:szCs w:val="22"/>
        </w:rPr>
        <w:t xml:space="preserve">bez vlivu řetězení </w:t>
      </w:r>
      <w:r>
        <w:rPr>
          <w:rFonts w:ascii="Arial" w:hAnsi="Arial" w:cs="Arial"/>
          <w:b/>
          <w:sz w:val="22"/>
          <w:szCs w:val="22"/>
        </w:rPr>
        <w:t xml:space="preserve">a </w:t>
      </w:r>
      <w:r w:rsidR="00C93BC3">
        <w:rPr>
          <w:rFonts w:ascii="Arial" w:hAnsi="Arial" w:cs="Arial"/>
          <w:b/>
          <w:sz w:val="22"/>
          <w:szCs w:val="22"/>
        </w:rPr>
        <w:t xml:space="preserve">s vlivem řetězení </w:t>
      </w:r>
      <w:r>
        <w:rPr>
          <w:rFonts w:ascii="Arial" w:hAnsi="Arial" w:cs="Arial"/>
          <w:b/>
          <w:sz w:val="22"/>
          <w:szCs w:val="22"/>
        </w:rPr>
        <w:t xml:space="preserve">uvnitř PAP </w:t>
      </w:r>
      <w:r w:rsidR="00161C3C">
        <w:rPr>
          <w:rFonts w:ascii="Arial" w:hAnsi="Arial" w:cs="Arial"/>
          <w:b/>
          <w:sz w:val="22"/>
          <w:szCs w:val="22"/>
        </w:rPr>
        <w:tab/>
      </w:r>
      <w:r w:rsidRPr="00980EAB">
        <w:rPr>
          <w:rFonts w:ascii="Arial" w:hAnsi="Arial" w:cs="Arial"/>
          <w:b/>
          <w:sz w:val="22"/>
          <w:szCs w:val="22"/>
        </w:rPr>
        <w:t>(v mld. Kč)</w:t>
      </w:r>
    </w:p>
    <w:p w14:paraId="00D918F7" w14:textId="77777777" w:rsidR="00E60F36" w:rsidRDefault="006D12BB" w:rsidP="00E00DF2">
      <w:pPr>
        <w:tabs>
          <w:tab w:val="left" w:pos="720"/>
        </w:tabs>
        <w:autoSpaceDE w:val="0"/>
        <w:autoSpaceDN w:val="0"/>
        <w:adjustRightInd w:val="0"/>
        <w:jc w:val="both"/>
        <w:rPr>
          <w:rFonts w:ascii="Arial" w:hAnsi="Arial" w:cs="Arial"/>
          <w:sz w:val="22"/>
          <w:szCs w:val="22"/>
        </w:rPr>
      </w:pPr>
      <w:r w:rsidRPr="007D15A5">
        <w:rPr>
          <w:rFonts w:ascii="Arial" w:hAnsi="Arial" w:cs="Arial"/>
          <w:noProof/>
          <w:sz w:val="22"/>
          <w:szCs w:val="22"/>
          <w:lang w:eastAsia="cs-CZ"/>
        </w:rPr>
        <w:drawing>
          <wp:inline distT="0" distB="0" distL="0" distR="0" wp14:anchorId="00D91933" wp14:editId="00D91934">
            <wp:extent cx="5748793" cy="3505634"/>
            <wp:effectExtent l="0" t="0" r="444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260" cy="3505919"/>
                    </a:xfrm>
                    <a:prstGeom prst="rect">
                      <a:avLst/>
                    </a:prstGeom>
                    <a:noFill/>
                  </pic:spPr>
                </pic:pic>
              </a:graphicData>
            </a:graphic>
          </wp:inline>
        </w:drawing>
      </w:r>
    </w:p>
    <w:p w14:paraId="00D918F8" w14:textId="77777777" w:rsidR="006D12BB" w:rsidRDefault="006D12BB" w:rsidP="00E00DF2">
      <w:pPr>
        <w:tabs>
          <w:tab w:val="left" w:pos="720"/>
        </w:tabs>
        <w:autoSpaceDE w:val="0"/>
        <w:autoSpaceDN w:val="0"/>
        <w:adjustRightInd w:val="0"/>
        <w:jc w:val="both"/>
        <w:rPr>
          <w:rFonts w:ascii="Arial" w:hAnsi="Arial" w:cs="Arial"/>
          <w:sz w:val="22"/>
          <w:szCs w:val="22"/>
        </w:rPr>
      </w:pPr>
    </w:p>
    <w:p w14:paraId="00D918F9" w14:textId="77777777" w:rsidR="007C6D63" w:rsidRDefault="009F047D" w:rsidP="00E00DF2">
      <w:pPr>
        <w:tabs>
          <w:tab w:val="left" w:pos="720"/>
        </w:tabs>
        <w:autoSpaceDE w:val="0"/>
        <w:autoSpaceDN w:val="0"/>
        <w:adjustRightInd w:val="0"/>
        <w:jc w:val="both"/>
        <w:rPr>
          <w:rFonts w:ascii="Arial" w:hAnsi="Arial" w:cs="Arial"/>
          <w:sz w:val="22"/>
          <w:szCs w:val="22"/>
        </w:rPr>
      </w:pPr>
      <w:r>
        <w:rPr>
          <w:rFonts w:ascii="Arial" w:hAnsi="Arial" w:cs="Arial"/>
          <w:sz w:val="22"/>
          <w:szCs w:val="22"/>
        </w:rPr>
        <w:t>Z </w:t>
      </w:r>
      <w:r w:rsidR="00C65C8C" w:rsidRPr="00DA7D84">
        <w:rPr>
          <w:rFonts w:ascii="Arial" w:hAnsi="Arial" w:cs="Arial"/>
          <w:sz w:val="22"/>
          <w:szCs w:val="22"/>
        </w:rPr>
        <w:t>tabulky</w:t>
      </w:r>
      <w:r w:rsidR="00E00DF2" w:rsidRPr="00DA7D84">
        <w:rPr>
          <w:rFonts w:ascii="Arial" w:hAnsi="Arial" w:cs="Arial"/>
          <w:sz w:val="22"/>
          <w:szCs w:val="22"/>
        </w:rPr>
        <w:t xml:space="preserve"> č. 12</w:t>
      </w:r>
      <w:r w:rsidR="00C93BC3" w:rsidRPr="00DA7D84">
        <w:rPr>
          <w:rFonts w:ascii="Arial" w:hAnsi="Arial" w:cs="Arial"/>
          <w:sz w:val="22"/>
          <w:szCs w:val="22"/>
        </w:rPr>
        <w:t xml:space="preserve"> a grafu č. 3</w:t>
      </w:r>
      <w:r w:rsidR="00E00DF2" w:rsidRPr="00DA7D84">
        <w:rPr>
          <w:rFonts w:ascii="Arial" w:hAnsi="Arial" w:cs="Arial"/>
          <w:sz w:val="22"/>
          <w:szCs w:val="22"/>
        </w:rPr>
        <w:t xml:space="preserve"> </w:t>
      </w:r>
      <w:r w:rsidR="00B91079">
        <w:rPr>
          <w:rFonts w:ascii="Arial" w:hAnsi="Arial" w:cs="Arial"/>
          <w:sz w:val="22"/>
          <w:szCs w:val="22"/>
        </w:rPr>
        <w:t>jsou</w:t>
      </w:r>
      <w:r w:rsidR="00E00DF2" w:rsidRPr="00DA7D84">
        <w:rPr>
          <w:rFonts w:ascii="Arial" w:hAnsi="Arial" w:cs="Arial"/>
          <w:sz w:val="22"/>
          <w:szCs w:val="22"/>
        </w:rPr>
        <w:t xml:space="preserve"> zřejmé</w:t>
      </w:r>
      <w:r w:rsidR="00B91079">
        <w:rPr>
          <w:rFonts w:ascii="Arial" w:hAnsi="Arial" w:cs="Arial"/>
          <w:sz w:val="22"/>
          <w:szCs w:val="22"/>
        </w:rPr>
        <w:t xml:space="preserve"> tyto skutečnosti</w:t>
      </w:r>
      <w:r w:rsidR="007C6D63">
        <w:rPr>
          <w:rFonts w:ascii="Arial" w:hAnsi="Arial" w:cs="Arial"/>
          <w:sz w:val="22"/>
          <w:szCs w:val="22"/>
        </w:rPr>
        <w:t>:</w:t>
      </w:r>
    </w:p>
    <w:p w14:paraId="00D918FA" w14:textId="77777777" w:rsidR="00E00DF2" w:rsidRPr="007C6D63" w:rsidRDefault="007C6D63" w:rsidP="00D660F6">
      <w:pPr>
        <w:pStyle w:val="Odstavecseseznamem"/>
        <w:numPr>
          <w:ilvl w:val="0"/>
          <w:numId w:val="44"/>
        </w:numPr>
        <w:autoSpaceDE w:val="0"/>
        <w:autoSpaceDN w:val="0"/>
        <w:adjustRightInd w:val="0"/>
        <w:ind w:left="284" w:hanging="284"/>
        <w:jc w:val="both"/>
        <w:rPr>
          <w:rFonts w:ascii="Arial" w:hAnsi="Arial" w:cs="Arial"/>
          <w:b/>
          <w:sz w:val="22"/>
          <w:szCs w:val="22"/>
        </w:rPr>
      </w:pPr>
      <w:r>
        <w:rPr>
          <w:rFonts w:ascii="Arial" w:hAnsi="Arial" w:cs="Arial"/>
          <w:b/>
          <w:sz w:val="22"/>
          <w:szCs w:val="22"/>
        </w:rPr>
        <w:t>K</w:t>
      </w:r>
      <w:r w:rsidR="00E00DF2" w:rsidRPr="007C6D63">
        <w:rPr>
          <w:rFonts w:ascii="Arial" w:hAnsi="Arial" w:cs="Arial"/>
          <w:b/>
          <w:sz w:val="22"/>
          <w:szCs w:val="22"/>
        </w:rPr>
        <w:t>vantitativně největší vliv na vypovídací schopnost</w:t>
      </w:r>
      <w:r w:rsidR="00C65C8C" w:rsidRPr="007C6D63">
        <w:rPr>
          <w:rFonts w:ascii="Arial" w:hAnsi="Arial" w:cs="Arial"/>
          <w:b/>
          <w:sz w:val="22"/>
          <w:szCs w:val="22"/>
        </w:rPr>
        <w:t xml:space="preserve"> údajů PAP </w:t>
      </w:r>
      <w:r w:rsidR="000A2E71">
        <w:rPr>
          <w:rFonts w:ascii="Arial" w:hAnsi="Arial" w:cs="Arial"/>
          <w:b/>
          <w:sz w:val="22"/>
          <w:szCs w:val="22"/>
        </w:rPr>
        <w:t>měly</w:t>
      </w:r>
      <w:r w:rsidR="00C65C8C" w:rsidRPr="007C6D63">
        <w:rPr>
          <w:rFonts w:ascii="Arial" w:hAnsi="Arial" w:cs="Arial"/>
          <w:b/>
          <w:sz w:val="22"/>
          <w:szCs w:val="22"/>
        </w:rPr>
        <w:t xml:space="preserve"> skutečnosti, </w:t>
      </w:r>
      <w:r w:rsidR="00E00DF2" w:rsidRPr="007C6D63">
        <w:rPr>
          <w:rFonts w:ascii="Arial" w:hAnsi="Arial" w:cs="Arial"/>
          <w:b/>
          <w:sz w:val="22"/>
          <w:szCs w:val="22"/>
        </w:rPr>
        <w:t xml:space="preserve">které nebyly </w:t>
      </w:r>
      <w:r w:rsidR="00C65C8C" w:rsidRPr="007C6D63">
        <w:rPr>
          <w:rFonts w:ascii="Arial" w:hAnsi="Arial" w:cs="Arial"/>
          <w:b/>
          <w:sz w:val="22"/>
          <w:szCs w:val="22"/>
        </w:rPr>
        <w:t xml:space="preserve">NKÚ </w:t>
      </w:r>
      <w:r w:rsidR="007A24C1" w:rsidRPr="007C6D63">
        <w:rPr>
          <w:rFonts w:ascii="Arial" w:hAnsi="Arial" w:cs="Arial"/>
          <w:b/>
          <w:sz w:val="22"/>
          <w:szCs w:val="22"/>
        </w:rPr>
        <w:t>vy</w:t>
      </w:r>
      <w:r w:rsidR="00E00DF2" w:rsidRPr="007C6D63">
        <w:rPr>
          <w:rFonts w:ascii="Arial" w:hAnsi="Arial" w:cs="Arial"/>
          <w:b/>
          <w:sz w:val="22"/>
          <w:szCs w:val="22"/>
        </w:rPr>
        <w:t>hodnoceny</w:t>
      </w:r>
      <w:r w:rsidR="007A24C1" w:rsidRPr="007C6D63">
        <w:rPr>
          <w:rFonts w:ascii="Arial" w:hAnsi="Arial" w:cs="Arial"/>
          <w:b/>
          <w:sz w:val="22"/>
          <w:szCs w:val="22"/>
        </w:rPr>
        <w:t xml:space="preserve"> z hlediska souladu</w:t>
      </w:r>
      <w:r w:rsidR="00E00DF2" w:rsidRPr="007C6D63">
        <w:rPr>
          <w:rFonts w:ascii="Arial" w:hAnsi="Arial" w:cs="Arial"/>
          <w:b/>
          <w:sz w:val="22"/>
          <w:szCs w:val="22"/>
        </w:rPr>
        <w:t xml:space="preserve"> s účetní regulací</w:t>
      </w:r>
      <w:r w:rsidR="000A2E71">
        <w:rPr>
          <w:rFonts w:ascii="Arial" w:hAnsi="Arial" w:cs="Arial"/>
          <w:b/>
          <w:sz w:val="22"/>
          <w:szCs w:val="22"/>
        </w:rPr>
        <w:t xml:space="preserve">. </w:t>
      </w:r>
      <w:r w:rsidR="000B060F">
        <w:rPr>
          <w:rFonts w:ascii="Arial" w:hAnsi="Arial" w:cs="Arial"/>
          <w:b/>
          <w:sz w:val="22"/>
          <w:szCs w:val="22"/>
        </w:rPr>
        <w:t>U MPO byly</w:t>
      </w:r>
      <w:r w:rsidR="000A2E71">
        <w:rPr>
          <w:rFonts w:ascii="Arial" w:hAnsi="Arial" w:cs="Arial"/>
          <w:b/>
          <w:sz w:val="22"/>
          <w:szCs w:val="22"/>
        </w:rPr>
        <w:t xml:space="preserve"> vyčíslen</w:t>
      </w:r>
      <w:r w:rsidR="000B060F">
        <w:rPr>
          <w:rFonts w:ascii="Arial" w:hAnsi="Arial" w:cs="Arial"/>
          <w:b/>
          <w:sz w:val="22"/>
          <w:szCs w:val="22"/>
        </w:rPr>
        <w:t>y</w:t>
      </w:r>
      <w:r w:rsidR="000A2E71">
        <w:rPr>
          <w:rFonts w:ascii="Arial" w:hAnsi="Arial" w:cs="Arial"/>
          <w:b/>
          <w:sz w:val="22"/>
          <w:szCs w:val="22"/>
        </w:rPr>
        <w:t xml:space="preserve"> ve výši</w:t>
      </w:r>
      <w:r w:rsidR="00C65C8C" w:rsidRPr="007C6D63">
        <w:rPr>
          <w:rFonts w:ascii="Arial" w:hAnsi="Arial" w:cs="Arial"/>
          <w:b/>
          <w:sz w:val="22"/>
          <w:szCs w:val="22"/>
        </w:rPr>
        <w:t xml:space="preserve"> 168 mld. Kč</w:t>
      </w:r>
      <w:r w:rsidR="00E60F36" w:rsidRPr="007C6D63">
        <w:rPr>
          <w:rFonts w:ascii="Arial" w:hAnsi="Arial" w:cs="Arial"/>
          <w:b/>
          <w:sz w:val="22"/>
          <w:szCs w:val="22"/>
        </w:rPr>
        <w:t>, což je více než 25 % hodnoty celkových údajů PAP.</w:t>
      </w:r>
      <w:r w:rsidRPr="007C6D63">
        <w:rPr>
          <w:rFonts w:ascii="Arial" w:hAnsi="Arial" w:cs="Arial"/>
          <w:b/>
          <w:sz w:val="22"/>
          <w:szCs w:val="22"/>
        </w:rPr>
        <w:t xml:space="preserve"> </w:t>
      </w:r>
      <w:r w:rsidR="000A2E71" w:rsidRPr="000A2E71">
        <w:rPr>
          <w:rFonts w:ascii="Arial" w:hAnsi="Arial" w:cs="Arial"/>
          <w:sz w:val="22"/>
          <w:szCs w:val="22"/>
        </w:rPr>
        <w:t>Šlo</w:t>
      </w:r>
      <w:r w:rsidR="00E00DF2" w:rsidRPr="000A2E71">
        <w:rPr>
          <w:rFonts w:ascii="Arial" w:hAnsi="Arial" w:cs="Arial"/>
          <w:bCs/>
          <w:iCs/>
          <w:sz w:val="22"/>
          <w:szCs w:val="22"/>
        </w:rPr>
        <w:t xml:space="preserve"> o případy, vedené v účetnictví MPO a přen</w:t>
      </w:r>
      <w:r w:rsidR="000A2E71" w:rsidRPr="000A2E71">
        <w:rPr>
          <w:rFonts w:ascii="Arial" w:hAnsi="Arial" w:cs="Arial"/>
          <w:bCs/>
          <w:iCs/>
          <w:sz w:val="22"/>
          <w:szCs w:val="22"/>
        </w:rPr>
        <w:t>esené</w:t>
      </w:r>
      <w:r w:rsidR="00E00DF2" w:rsidRPr="000A2E71">
        <w:rPr>
          <w:rFonts w:ascii="Arial" w:hAnsi="Arial" w:cs="Arial"/>
          <w:bCs/>
          <w:iCs/>
          <w:sz w:val="22"/>
          <w:szCs w:val="22"/>
        </w:rPr>
        <w:t xml:space="preserve"> do</w:t>
      </w:r>
      <w:r w:rsidR="00F36DA2" w:rsidRPr="000A2E71">
        <w:rPr>
          <w:rFonts w:ascii="Arial" w:hAnsi="Arial" w:cs="Arial"/>
          <w:bCs/>
          <w:iCs/>
          <w:sz w:val="22"/>
          <w:szCs w:val="22"/>
        </w:rPr>
        <w:t xml:space="preserve"> údajů</w:t>
      </w:r>
      <w:r w:rsidR="00E00DF2" w:rsidRPr="000A2E71">
        <w:rPr>
          <w:rFonts w:ascii="Arial" w:hAnsi="Arial" w:cs="Arial"/>
          <w:bCs/>
          <w:iCs/>
          <w:sz w:val="22"/>
          <w:szCs w:val="22"/>
        </w:rPr>
        <w:t xml:space="preserve"> PAP, týkající se </w:t>
      </w:r>
      <w:r w:rsidR="00E00DF2" w:rsidRPr="000A2E71">
        <w:rPr>
          <w:rFonts w:ascii="Arial" w:hAnsi="Arial" w:cs="Arial"/>
          <w:sz w:val="22"/>
          <w:szCs w:val="22"/>
        </w:rPr>
        <w:t xml:space="preserve">peněžních prostředků státního rozpočtu určených na předfinancování výdajů, které </w:t>
      </w:r>
      <w:r w:rsidR="00E4581B" w:rsidRPr="000A2E71">
        <w:rPr>
          <w:rFonts w:ascii="Arial" w:hAnsi="Arial" w:cs="Arial"/>
          <w:sz w:val="22"/>
          <w:szCs w:val="22"/>
        </w:rPr>
        <w:t>jsou</w:t>
      </w:r>
      <w:r w:rsidR="00E00DF2" w:rsidRPr="000A2E71">
        <w:rPr>
          <w:rFonts w:ascii="Arial" w:hAnsi="Arial" w:cs="Arial"/>
          <w:sz w:val="22"/>
          <w:szCs w:val="22"/>
        </w:rPr>
        <w:t xml:space="preserve"> následně kryty prostředky </w:t>
      </w:r>
      <w:r w:rsidR="009F047D">
        <w:rPr>
          <w:rFonts w:ascii="Arial" w:hAnsi="Arial" w:cs="Arial"/>
          <w:sz w:val="22"/>
          <w:szCs w:val="22"/>
        </w:rPr>
        <w:t>z </w:t>
      </w:r>
      <w:r w:rsidR="00E00DF2" w:rsidRPr="000A2E71">
        <w:rPr>
          <w:rFonts w:ascii="Arial" w:hAnsi="Arial" w:cs="Arial"/>
          <w:sz w:val="22"/>
          <w:szCs w:val="22"/>
        </w:rPr>
        <w:t>rozpočtu EU prostřednictvím Národního fondu, a</w:t>
      </w:r>
      <w:r w:rsidR="00B201D4" w:rsidRPr="000A2E71">
        <w:rPr>
          <w:rFonts w:ascii="Arial" w:hAnsi="Arial" w:cs="Arial"/>
          <w:bCs/>
          <w:iCs/>
          <w:sz w:val="22"/>
          <w:szCs w:val="22"/>
        </w:rPr>
        <w:t> </w:t>
      </w:r>
      <w:r w:rsidR="00E00DF2" w:rsidRPr="000A2E71">
        <w:rPr>
          <w:rFonts w:ascii="Arial" w:hAnsi="Arial" w:cs="Arial"/>
          <w:sz w:val="22"/>
          <w:szCs w:val="22"/>
        </w:rPr>
        <w:t>majetkových účastí státu v obchodních společnostech vykazovaných u OSS.</w:t>
      </w:r>
      <w:r w:rsidRPr="000A2E71">
        <w:rPr>
          <w:rFonts w:ascii="Arial" w:hAnsi="Arial" w:cs="Arial"/>
          <w:sz w:val="22"/>
          <w:szCs w:val="22"/>
        </w:rPr>
        <w:t xml:space="preserve"> </w:t>
      </w:r>
      <w:r w:rsidR="004D1028" w:rsidRPr="000A2E71">
        <w:rPr>
          <w:rFonts w:ascii="Arial" w:hAnsi="Arial" w:cs="Arial"/>
          <w:bCs/>
          <w:iCs/>
          <w:sz w:val="22"/>
          <w:szCs w:val="22"/>
        </w:rPr>
        <w:t>V kontrole nebyly</w:t>
      </w:r>
      <w:r w:rsidR="00E00DF2" w:rsidRPr="000A2E71">
        <w:rPr>
          <w:rFonts w:ascii="Arial" w:hAnsi="Arial" w:cs="Arial"/>
          <w:bCs/>
          <w:iCs/>
          <w:sz w:val="22"/>
          <w:szCs w:val="22"/>
        </w:rPr>
        <w:t xml:space="preserve"> hodnocen</w:t>
      </w:r>
      <w:r w:rsidR="00E4581B" w:rsidRPr="000A2E71">
        <w:rPr>
          <w:rFonts w:ascii="Arial" w:hAnsi="Arial" w:cs="Arial"/>
          <w:bCs/>
          <w:iCs/>
          <w:sz w:val="22"/>
          <w:szCs w:val="22"/>
        </w:rPr>
        <w:t>y</w:t>
      </w:r>
      <w:r w:rsidR="00E00DF2" w:rsidRPr="000A2E71">
        <w:rPr>
          <w:rFonts w:ascii="Arial" w:hAnsi="Arial" w:cs="Arial"/>
          <w:bCs/>
          <w:iCs/>
          <w:sz w:val="22"/>
          <w:szCs w:val="22"/>
        </w:rPr>
        <w:t xml:space="preserve"> jako pochybení MPO</w:t>
      </w:r>
      <w:r w:rsidR="0082668B" w:rsidRPr="000A2E71">
        <w:rPr>
          <w:rFonts w:ascii="Arial" w:hAnsi="Arial" w:cs="Arial"/>
          <w:bCs/>
          <w:iCs/>
          <w:sz w:val="22"/>
          <w:szCs w:val="22"/>
        </w:rPr>
        <w:t>, neboť j</w:t>
      </w:r>
      <w:r w:rsidR="00E4581B" w:rsidRPr="000A2E71">
        <w:rPr>
          <w:rFonts w:ascii="Arial" w:hAnsi="Arial" w:cs="Arial"/>
          <w:bCs/>
          <w:iCs/>
          <w:sz w:val="22"/>
          <w:szCs w:val="22"/>
        </w:rPr>
        <w:t>ejich dopad</w:t>
      </w:r>
      <w:r w:rsidR="00E00DF2" w:rsidRPr="000A2E71">
        <w:rPr>
          <w:rFonts w:ascii="Arial" w:hAnsi="Arial" w:cs="Arial"/>
          <w:sz w:val="22"/>
          <w:szCs w:val="22"/>
        </w:rPr>
        <w:t xml:space="preserve"> na údaje PAP</w:t>
      </w:r>
      <w:r w:rsidR="00E00DF2" w:rsidRPr="007C6D63">
        <w:rPr>
          <w:rFonts w:ascii="Arial" w:hAnsi="Arial" w:cs="Arial"/>
          <w:sz w:val="22"/>
          <w:szCs w:val="22"/>
        </w:rPr>
        <w:t xml:space="preserve"> je mimo vliv MPO</w:t>
      </w:r>
      <w:r w:rsidR="006F2537">
        <w:rPr>
          <w:rFonts w:ascii="Arial" w:hAnsi="Arial" w:cs="Arial"/>
          <w:sz w:val="22"/>
          <w:szCs w:val="22"/>
        </w:rPr>
        <w:t>.</w:t>
      </w:r>
      <w:r w:rsidR="00E00DF2" w:rsidRPr="007C6D63">
        <w:rPr>
          <w:rFonts w:ascii="Arial" w:hAnsi="Arial" w:cs="Arial"/>
          <w:sz w:val="22"/>
          <w:szCs w:val="22"/>
        </w:rPr>
        <w:t xml:space="preserve"> </w:t>
      </w:r>
    </w:p>
    <w:p w14:paraId="00D918FB" w14:textId="77777777" w:rsidR="00E00DF2" w:rsidRPr="007C6D63" w:rsidRDefault="0082668B" w:rsidP="00D660F6">
      <w:pPr>
        <w:pStyle w:val="Odstavecseseznamem"/>
        <w:numPr>
          <w:ilvl w:val="0"/>
          <w:numId w:val="44"/>
        </w:numPr>
        <w:autoSpaceDE w:val="0"/>
        <w:autoSpaceDN w:val="0"/>
        <w:adjustRightInd w:val="0"/>
        <w:ind w:left="284" w:hanging="284"/>
        <w:jc w:val="both"/>
        <w:rPr>
          <w:rFonts w:ascii="Arial" w:hAnsi="Arial" w:cs="Arial"/>
          <w:b/>
          <w:sz w:val="22"/>
          <w:szCs w:val="22"/>
        </w:rPr>
      </w:pPr>
      <w:r w:rsidRPr="007C6D63">
        <w:rPr>
          <w:rFonts w:ascii="Arial" w:hAnsi="Arial" w:cs="Arial"/>
          <w:b/>
          <w:sz w:val="22"/>
          <w:szCs w:val="22"/>
        </w:rPr>
        <w:t xml:space="preserve">Vliv na vypovídací schopnost údajů PAP </w:t>
      </w:r>
      <w:r w:rsidR="000A2E71">
        <w:rPr>
          <w:rFonts w:ascii="Arial" w:hAnsi="Arial" w:cs="Arial"/>
          <w:b/>
          <w:sz w:val="22"/>
          <w:szCs w:val="22"/>
        </w:rPr>
        <w:t>měly</w:t>
      </w:r>
      <w:r w:rsidRPr="007C6D63">
        <w:rPr>
          <w:rFonts w:ascii="Arial" w:hAnsi="Arial" w:cs="Arial"/>
          <w:b/>
          <w:color w:val="000000"/>
          <w:sz w:val="22"/>
          <w:szCs w:val="22"/>
          <w:lang w:eastAsia="cs-CZ"/>
        </w:rPr>
        <w:t xml:space="preserve"> také c</w:t>
      </w:r>
      <w:r w:rsidR="00E00DF2" w:rsidRPr="007C6D63">
        <w:rPr>
          <w:rFonts w:ascii="Arial" w:hAnsi="Arial" w:cs="Arial"/>
          <w:b/>
          <w:color w:val="000000"/>
          <w:sz w:val="22"/>
          <w:szCs w:val="22"/>
          <w:lang w:eastAsia="cs-CZ"/>
        </w:rPr>
        <w:t>hyb</w:t>
      </w:r>
      <w:r w:rsidRPr="007C6D63">
        <w:rPr>
          <w:rFonts w:ascii="Arial" w:hAnsi="Arial" w:cs="Arial"/>
          <w:b/>
          <w:color w:val="000000"/>
          <w:sz w:val="22"/>
          <w:szCs w:val="22"/>
          <w:lang w:eastAsia="cs-CZ"/>
        </w:rPr>
        <w:t>y</w:t>
      </w:r>
      <w:r w:rsidR="00B91079">
        <w:rPr>
          <w:rFonts w:ascii="Arial" w:hAnsi="Arial" w:cs="Arial"/>
          <w:b/>
          <w:color w:val="000000"/>
          <w:sz w:val="22"/>
          <w:szCs w:val="22"/>
          <w:lang w:eastAsia="cs-CZ"/>
        </w:rPr>
        <w:t>, které</w:t>
      </w:r>
      <w:r w:rsidR="00E00DF2" w:rsidRPr="007C6D63">
        <w:rPr>
          <w:rFonts w:ascii="Arial" w:hAnsi="Arial" w:cs="Arial"/>
          <w:b/>
          <w:color w:val="000000"/>
          <w:sz w:val="22"/>
          <w:szCs w:val="22"/>
          <w:lang w:eastAsia="cs-CZ"/>
        </w:rPr>
        <w:t xml:space="preserve"> vznikl</w:t>
      </w:r>
      <w:r w:rsidR="00B91079">
        <w:rPr>
          <w:rFonts w:ascii="Arial" w:hAnsi="Arial" w:cs="Arial"/>
          <w:b/>
          <w:color w:val="000000"/>
          <w:sz w:val="22"/>
          <w:szCs w:val="22"/>
          <w:lang w:eastAsia="cs-CZ"/>
        </w:rPr>
        <w:t>y</w:t>
      </w:r>
      <w:r w:rsidR="00E00DF2" w:rsidRPr="007C6D63">
        <w:rPr>
          <w:rFonts w:ascii="Arial" w:hAnsi="Arial" w:cs="Arial"/>
          <w:b/>
          <w:color w:val="000000"/>
          <w:sz w:val="22"/>
          <w:szCs w:val="22"/>
          <w:lang w:eastAsia="cs-CZ"/>
        </w:rPr>
        <w:t xml:space="preserve"> při vedení účetnictví a </w:t>
      </w:r>
      <w:r w:rsidR="00B91079">
        <w:rPr>
          <w:rFonts w:ascii="Arial" w:hAnsi="Arial" w:cs="Arial"/>
          <w:b/>
          <w:color w:val="000000"/>
          <w:sz w:val="22"/>
          <w:szCs w:val="22"/>
          <w:lang w:eastAsia="cs-CZ"/>
        </w:rPr>
        <w:t xml:space="preserve">byly </w:t>
      </w:r>
      <w:r w:rsidR="00E00DF2" w:rsidRPr="007C6D63">
        <w:rPr>
          <w:rFonts w:ascii="Arial" w:hAnsi="Arial" w:cs="Arial"/>
          <w:b/>
          <w:color w:val="000000"/>
          <w:sz w:val="22"/>
          <w:szCs w:val="22"/>
          <w:lang w:eastAsia="cs-CZ"/>
        </w:rPr>
        <w:t>následně přenesen</w:t>
      </w:r>
      <w:r w:rsidR="00B91079">
        <w:rPr>
          <w:rFonts w:ascii="Arial" w:hAnsi="Arial" w:cs="Arial"/>
          <w:b/>
          <w:color w:val="000000"/>
          <w:sz w:val="22"/>
          <w:szCs w:val="22"/>
          <w:lang w:eastAsia="cs-CZ"/>
        </w:rPr>
        <w:t>y</w:t>
      </w:r>
      <w:r w:rsidR="00E00DF2" w:rsidRPr="007C6D63">
        <w:rPr>
          <w:rFonts w:ascii="Arial" w:hAnsi="Arial" w:cs="Arial"/>
          <w:b/>
          <w:color w:val="000000"/>
          <w:sz w:val="22"/>
          <w:szCs w:val="22"/>
          <w:lang w:eastAsia="cs-CZ"/>
        </w:rPr>
        <w:t xml:space="preserve"> do PAP</w:t>
      </w:r>
      <w:r w:rsidRPr="007C6D63">
        <w:rPr>
          <w:rFonts w:ascii="Arial" w:hAnsi="Arial" w:cs="Arial"/>
          <w:b/>
          <w:color w:val="000000"/>
          <w:sz w:val="22"/>
          <w:szCs w:val="22"/>
          <w:lang w:eastAsia="cs-CZ"/>
        </w:rPr>
        <w:t>. U MPO byly</w:t>
      </w:r>
      <w:r w:rsidR="00E00DF2" w:rsidRPr="007C6D63">
        <w:rPr>
          <w:rFonts w:ascii="Arial" w:hAnsi="Arial" w:cs="Arial"/>
          <w:b/>
          <w:color w:val="000000"/>
          <w:sz w:val="22"/>
          <w:szCs w:val="22"/>
          <w:lang w:eastAsia="cs-CZ"/>
        </w:rPr>
        <w:t xml:space="preserve"> vyčísleny ve výši</w:t>
      </w:r>
      <w:r w:rsidR="00E00DF2" w:rsidRPr="007C6D63">
        <w:rPr>
          <w:rFonts w:ascii="Arial" w:hAnsi="Arial" w:cs="Arial"/>
          <w:b/>
          <w:sz w:val="22"/>
          <w:szCs w:val="22"/>
        </w:rPr>
        <w:t xml:space="preserve"> více než 70</w:t>
      </w:r>
      <w:r w:rsidR="00D660F6">
        <w:rPr>
          <w:rFonts w:ascii="Arial" w:hAnsi="Arial" w:cs="Arial"/>
          <w:b/>
          <w:sz w:val="22"/>
          <w:szCs w:val="22"/>
        </w:rPr>
        <w:t> </w:t>
      </w:r>
      <w:r w:rsidR="00E00DF2" w:rsidRPr="007C6D63">
        <w:rPr>
          <w:rFonts w:ascii="Arial" w:hAnsi="Arial" w:cs="Arial"/>
          <w:b/>
          <w:sz w:val="22"/>
          <w:szCs w:val="22"/>
        </w:rPr>
        <w:t>mld. Kč</w:t>
      </w:r>
      <w:r w:rsidRPr="007C6D63">
        <w:rPr>
          <w:rFonts w:ascii="Arial" w:hAnsi="Arial" w:cs="Arial"/>
          <w:b/>
          <w:sz w:val="22"/>
          <w:szCs w:val="22"/>
        </w:rPr>
        <w:t>, což je více než 10 % hodnoty celkových údajů PAP.</w:t>
      </w:r>
      <w:r w:rsidR="00DA7D84" w:rsidRPr="007C6D63">
        <w:rPr>
          <w:rFonts w:ascii="Arial" w:hAnsi="Arial" w:cs="Arial"/>
          <w:b/>
          <w:sz w:val="22"/>
          <w:szCs w:val="22"/>
        </w:rPr>
        <w:t xml:space="preserve"> </w:t>
      </w:r>
      <w:r w:rsidR="00E00DF2" w:rsidRPr="007C6D63">
        <w:rPr>
          <w:rFonts w:ascii="Arial" w:hAnsi="Arial" w:cs="Arial"/>
          <w:sz w:val="22"/>
          <w:szCs w:val="22"/>
        </w:rPr>
        <w:t>Hlavními příčinami vzniku těchto přenesených nesprávností bylo neúčtování o zálohách na transfery</w:t>
      </w:r>
      <w:r w:rsidR="00A63887" w:rsidRPr="007C6D63">
        <w:rPr>
          <w:rFonts w:ascii="Arial" w:hAnsi="Arial" w:cs="Arial"/>
          <w:sz w:val="22"/>
          <w:szCs w:val="22"/>
        </w:rPr>
        <w:t>, používání nesprávn</w:t>
      </w:r>
      <w:r w:rsidR="00F13B10" w:rsidRPr="007C6D63">
        <w:rPr>
          <w:rFonts w:ascii="Arial" w:hAnsi="Arial" w:cs="Arial"/>
          <w:sz w:val="22"/>
          <w:szCs w:val="22"/>
        </w:rPr>
        <w:t>ých</w:t>
      </w:r>
      <w:r w:rsidR="00A63887" w:rsidRPr="007C6D63">
        <w:rPr>
          <w:rFonts w:ascii="Arial" w:hAnsi="Arial" w:cs="Arial"/>
          <w:sz w:val="22"/>
          <w:szCs w:val="22"/>
        </w:rPr>
        <w:t xml:space="preserve"> syntetick</w:t>
      </w:r>
      <w:r w:rsidR="00F13B10" w:rsidRPr="007C6D63">
        <w:rPr>
          <w:rFonts w:ascii="Arial" w:hAnsi="Arial" w:cs="Arial"/>
          <w:sz w:val="22"/>
          <w:szCs w:val="22"/>
        </w:rPr>
        <w:t>ých</w:t>
      </w:r>
      <w:r w:rsidR="00A63887" w:rsidRPr="007C6D63">
        <w:rPr>
          <w:rFonts w:ascii="Arial" w:hAnsi="Arial" w:cs="Arial"/>
          <w:sz w:val="22"/>
          <w:szCs w:val="22"/>
        </w:rPr>
        <w:t xml:space="preserve"> účt</w:t>
      </w:r>
      <w:r w:rsidR="00F13B10" w:rsidRPr="007C6D63">
        <w:rPr>
          <w:rFonts w:ascii="Arial" w:hAnsi="Arial" w:cs="Arial"/>
          <w:sz w:val="22"/>
          <w:szCs w:val="22"/>
        </w:rPr>
        <w:t>ů</w:t>
      </w:r>
      <w:r w:rsidR="006129F3" w:rsidRPr="007C6D63">
        <w:rPr>
          <w:rFonts w:ascii="Arial" w:hAnsi="Arial" w:cs="Arial"/>
          <w:sz w:val="22"/>
          <w:szCs w:val="22"/>
        </w:rPr>
        <w:t xml:space="preserve"> pro</w:t>
      </w:r>
      <w:r w:rsidR="00E03661" w:rsidRPr="007C6D63">
        <w:rPr>
          <w:rFonts w:ascii="Arial" w:hAnsi="Arial" w:cs="Arial"/>
          <w:sz w:val="22"/>
          <w:szCs w:val="22"/>
        </w:rPr>
        <w:t xml:space="preserve"> vratky nespotřebovaných dotací,</w:t>
      </w:r>
      <w:r w:rsidR="00A63887" w:rsidRPr="007C6D63">
        <w:rPr>
          <w:rFonts w:ascii="Arial" w:hAnsi="Arial" w:cs="Arial"/>
          <w:sz w:val="22"/>
          <w:szCs w:val="22"/>
        </w:rPr>
        <w:t xml:space="preserve"> pro krátkodobé </w:t>
      </w:r>
      <w:r w:rsidR="00BC1E55" w:rsidRPr="007C6D63">
        <w:rPr>
          <w:rFonts w:ascii="Arial" w:hAnsi="Arial" w:cs="Arial"/>
          <w:sz w:val="22"/>
          <w:szCs w:val="22"/>
        </w:rPr>
        <w:t>i</w:t>
      </w:r>
      <w:r w:rsidR="00A63887" w:rsidRPr="007C6D63">
        <w:rPr>
          <w:rFonts w:ascii="Arial" w:hAnsi="Arial" w:cs="Arial"/>
          <w:sz w:val="22"/>
          <w:szCs w:val="22"/>
        </w:rPr>
        <w:t xml:space="preserve"> dlouhodobé závazky související s poskytováním transferů, pro pohledávky související s refundací transferů a pro účtování o závazcích z titulu čistých mezd.</w:t>
      </w:r>
      <w:r w:rsidR="007C0A7E" w:rsidRPr="007C6D63">
        <w:rPr>
          <w:rFonts w:ascii="Arial" w:hAnsi="Arial" w:cs="Arial"/>
          <w:sz w:val="22"/>
          <w:szCs w:val="22"/>
        </w:rPr>
        <w:t xml:space="preserve"> </w:t>
      </w:r>
      <w:r w:rsidR="00A7200E" w:rsidRPr="007C6D63">
        <w:rPr>
          <w:rFonts w:ascii="Arial" w:hAnsi="Arial" w:cs="Arial"/>
          <w:b/>
          <w:sz w:val="22"/>
          <w:szCs w:val="22"/>
        </w:rPr>
        <w:t>Z</w:t>
      </w:r>
      <w:r w:rsidR="00F13B10" w:rsidRPr="007C6D63">
        <w:rPr>
          <w:rFonts w:ascii="Arial" w:hAnsi="Arial" w:cs="Arial"/>
          <w:b/>
          <w:sz w:val="22"/>
          <w:szCs w:val="22"/>
        </w:rPr>
        <w:t> uvedeného</w:t>
      </w:r>
      <w:r w:rsidR="00A7200E" w:rsidRPr="007C6D63">
        <w:rPr>
          <w:rFonts w:ascii="Arial" w:hAnsi="Arial" w:cs="Arial"/>
          <w:b/>
          <w:sz w:val="22"/>
          <w:szCs w:val="22"/>
        </w:rPr>
        <w:t xml:space="preserve"> je zřejmá</w:t>
      </w:r>
      <w:r w:rsidR="00E00DF2" w:rsidRPr="007C6D63">
        <w:rPr>
          <w:rFonts w:ascii="Arial" w:hAnsi="Arial" w:cs="Arial"/>
          <w:b/>
          <w:sz w:val="22"/>
          <w:szCs w:val="22"/>
        </w:rPr>
        <w:t xml:space="preserve"> silná závislost údajů PAP na správnosti a</w:t>
      </w:r>
      <w:r w:rsidR="00724F3E">
        <w:rPr>
          <w:rFonts w:ascii="Arial" w:hAnsi="Arial" w:cs="Arial"/>
          <w:b/>
          <w:sz w:val="22"/>
          <w:szCs w:val="22"/>
        </w:rPr>
        <w:t> </w:t>
      </w:r>
      <w:r w:rsidR="00E00DF2" w:rsidRPr="007C6D63">
        <w:rPr>
          <w:rFonts w:ascii="Arial" w:hAnsi="Arial" w:cs="Arial"/>
          <w:b/>
          <w:sz w:val="22"/>
          <w:szCs w:val="22"/>
        </w:rPr>
        <w:t>úplnosti vedení účetnictví jako</w:t>
      </w:r>
      <w:r w:rsidR="00B91079">
        <w:rPr>
          <w:rFonts w:ascii="Arial" w:hAnsi="Arial" w:cs="Arial"/>
          <w:b/>
          <w:sz w:val="22"/>
          <w:szCs w:val="22"/>
        </w:rPr>
        <w:t>žto</w:t>
      </w:r>
      <w:r w:rsidR="00E00DF2" w:rsidRPr="007C6D63">
        <w:rPr>
          <w:rFonts w:ascii="Arial" w:hAnsi="Arial" w:cs="Arial"/>
          <w:b/>
          <w:sz w:val="22"/>
          <w:szCs w:val="22"/>
        </w:rPr>
        <w:t xml:space="preserve"> základní</w:t>
      </w:r>
      <w:r w:rsidR="00B91079">
        <w:rPr>
          <w:rFonts w:ascii="Arial" w:hAnsi="Arial" w:cs="Arial"/>
          <w:b/>
          <w:sz w:val="22"/>
          <w:szCs w:val="22"/>
        </w:rPr>
        <w:t>ch</w:t>
      </w:r>
      <w:r w:rsidR="00E00DF2" w:rsidRPr="007C6D63">
        <w:rPr>
          <w:rFonts w:ascii="Arial" w:hAnsi="Arial" w:cs="Arial"/>
          <w:b/>
          <w:sz w:val="22"/>
          <w:szCs w:val="22"/>
        </w:rPr>
        <w:t xml:space="preserve"> předpoklad</w:t>
      </w:r>
      <w:r w:rsidR="00B91079">
        <w:rPr>
          <w:rFonts w:ascii="Arial" w:hAnsi="Arial" w:cs="Arial"/>
          <w:b/>
          <w:sz w:val="22"/>
          <w:szCs w:val="22"/>
        </w:rPr>
        <w:t>ech</w:t>
      </w:r>
      <w:r w:rsidR="00E00DF2" w:rsidRPr="007C6D63">
        <w:rPr>
          <w:rFonts w:ascii="Arial" w:hAnsi="Arial" w:cs="Arial"/>
          <w:b/>
          <w:sz w:val="22"/>
          <w:szCs w:val="22"/>
        </w:rPr>
        <w:t xml:space="preserve"> pro </w:t>
      </w:r>
      <w:r w:rsidR="006F2537">
        <w:rPr>
          <w:rFonts w:ascii="Arial" w:hAnsi="Arial" w:cs="Arial"/>
          <w:b/>
          <w:sz w:val="22"/>
          <w:szCs w:val="22"/>
        </w:rPr>
        <w:t>kvalitu</w:t>
      </w:r>
      <w:r w:rsidR="00B91079">
        <w:rPr>
          <w:rFonts w:ascii="Arial" w:hAnsi="Arial" w:cs="Arial"/>
          <w:b/>
          <w:sz w:val="22"/>
          <w:szCs w:val="22"/>
        </w:rPr>
        <w:t>,</w:t>
      </w:r>
      <w:r w:rsidR="006F2537">
        <w:rPr>
          <w:rFonts w:ascii="Arial" w:hAnsi="Arial" w:cs="Arial"/>
          <w:b/>
          <w:sz w:val="22"/>
          <w:szCs w:val="22"/>
        </w:rPr>
        <w:t xml:space="preserve"> a </w:t>
      </w:r>
      <w:r w:rsidR="00B91079">
        <w:rPr>
          <w:rFonts w:ascii="Arial" w:hAnsi="Arial" w:cs="Arial"/>
          <w:b/>
          <w:sz w:val="22"/>
          <w:szCs w:val="22"/>
        </w:rPr>
        <w:t>tedy</w:t>
      </w:r>
      <w:r w:rsidR="006F2537">
        <w:rPr>
          <w:rFonts w:ascii="Arial" w:hAnsi="Arial" w:cs="Arial"/>
          <w:b/>
          <w:sz w:val="22"/>
          <w:szCs w:val="22"/>
        </w:rPr>
        <w:t xml:space="preserve"> i</w:t>
      </w:r>
      <w:r w:rsidR="00724F3E">
        <w:rPr>
          <w:rFonts w:ascii="Arial" w:hAnsi="Arial" w:cs="Arial"/>
          <w:b/>
          <w:sz w:val="22"/>
          <w:szCs w:val="22"/>
        </w:rPr>
        <w:t> </w:t>
      </w:r>
      <w:r w:rsidR="00E00DF2" w:rsidRPr="007C6D63">
        <w:rPr>
          <w:rFonts w:ascii="Arial" w:hAnsi="Arial" w:cs="Arial"/>
          <w:b/>
          <w:sz w:val="22"/>
          <w:szCs w:val="22"/>
        </w:rPr>
        <w:t>použitelnost</w:t>
      </w:r>
      <w:r w:rsidR="006129F3" w:rsidRPr="007C6D63">
        <w:rPr>
          <w:rFonts w:ascii="Arial" w:hAnsi="Arial" w:cs="Arial"/>
          <w:b/>
          <w:sz w:val="22"/>
          <w:szCs w:val="22"/>
        </w:rPr>
        <w:t xml:space="preserve"> </w:t>
      </w:r>
      <w:r w:rsidR="00E00DF2" w:rsidRPr="007C6D63">
        <w:rPr>
          <w:rFonts w:ascii="Arial" w:hAnsi="Arial" w:cs="Arial"/>
          <w:b/>
          <w:sz w:val="22"/>
          <w:szCs w:val="22"/>
        </w:rPr>
        <w:t>údajů</w:t>
      </w:r>
      <w:r w:rsidR="00B91079">
        <w:rPr>
          <w:rFonts w:ascii="Arial" w:hAnsi="Arial" w:cs="Arial"/>
          <w:b/>
          <w:sz w:val="22"/>
          <w:szCs w:val="22"/>
        </w:rPr>
        <w:t xml:space="preserve"> pomocného analytického přehledu</w:t>
      </w:r>
      <w:r w:rsidR="00E00DF2" w:rsidRPr="007C6D63">
        <w:rPr>
          <w:rFonts w:ascii="Arial" w:hAnsi="Arial" w:cs="Arial"/>
          <w:b/>
          <w:sz w:val="22"/>
          <w:szCs w:val="22"/>
        </w:rPr>
        <w:t xml:space="preserve">. </w:t>
      </w:r>
    </w:p>
    <w:p w14:paraId="00D918FC" w14:textId="77777777" w:rsidR="00E00DF2" w:rsidRPr="007C6D63" w:rsidRDefault="0082668B" w:rsidP="00D660F6">
      <w:pPr>
        <w:pStyle w:val="Odstavecseseznamem"/>
        <w:numPr>
          <w:ilvl w:val="0"/>
          <w:numId w:val="44"/>
        </w:numPr>
        <w:autoSpaceDE w:val="0"/>
        <w:autoSpaceDN w:val="0"/>
        <w:adjustRightInd w:val="0"/>
        <w:ind w:left="284" w:hanging="284"/>
        <w:jc w:val="both"/>
        <w:rPr>
          <w:rFonts w:ascii="Arial" w:hAnsi="Arial" w:cs="Arial"/>
          <w:b/>
          <w:sz w:val="22"/>
          <w:szCs w:val="22"/>
        </w:rPr>
      </w:pPr>
      <w:r w:rsidRPr="007C6D63">
        <w:rPr>
          <w:rFonts w:ascii="Arial" w:hAnsi="Arial" w:cs="Arial"/>
          <w:b/>
          <w:sz w:val="22"/>
          <w:szCs w:val="22"/>
        </w:rPr>
        <w:t xml:space="preserve">Vliv na vypovídací schopnost údajů PAP </w:t>
      </w:r>
      <w:r w:rsidR="000A2E71">
        <w:rPr>
          <w:rFonts w:ascii="Arial" w:hAnsi="Arial" w:cs="Arial"/>
          <w:b/>
          <w:sz w:val="22"/>
          <w:szCs w:val="22"/>
        </w:rPr>
        <w:t>měly</w:t>
      </w:r>
      <w:r w:rsidRPr="007C6D63">
        <w:rPr>
          <w:rFonts w:ascii="Arial" w:hAnsi="Arial" w:cs="Arial"/>
          <w:b/>
          <w:color w:val="000000"/>
          <w:sz w:val="22"/>
          <w:szCs w:val="22"/>
          <w:lang w:eastAsia="cs-CZ"/>
        </w:rPr>
        <w:t xml:space="preserve"> i chyby vzniklé</w:t>
      </w:r>
      <w:r w:rsidR="00E00DF2" w:rsidRPr="007C6D63">
        <w:rPr>
          <w:rFonts w:ascii="Arial" w:hAnsi="Arial" w:cs="Arial"/>
          <w:b/>
          <w:color w:val="000000"/>
          <w:sz w:val="22"/>
          <w:szCs w:val="22"/>
          <w:lang w:eastAsia="cs-CZ"/>
        </w:rPr>
        <w:t xml:space="preserve"> v důsledku nedodržení požadavků vyhlášky č. 383/2009 Sb.</w:t>
      </w:r>
      <w:r w:rsidRPr="007C6D63">
        <w:rPr>
          <w:rFonts w:ascii="Arial" w:hAnsi="Arial" w:cs="Arial"/>
          <w:b/>
          <w:color w:val="000000"/>
          <w:sz w:val="22"/>
          <w:szCs w:val="22"/>
          <w:lang w:eastAsia="cs-CZ"/>
        </w:rPr>
        <w:t xml:space="preserve"> U MPO</w:t>
      </w:r>
      <w:r w:rsidR="00E00DF2" w:rsidRPr="007C6D63">
        <w:rPr>
          <w:rFonts w:ascii="Arial" w:hAnsi="Arial" w:cs="Arial"/>
          <w:b/>
          <w:color w:val="000000"/>
          <w:sz w:val="22"/>
          <w:szCs w:val="22"/>
          <w:lang w:eastAsia="cs-CZ"/>
        </w:rPr>
        <w:t xml:space="preserve"> b</w:t>
      </w:r>
      <w:r w:rsidR="00E00DF2" w:rsidRPr="007C6D63">
        <w:rPr>
          <w:rFonts w:ascii="Arial" w:hAnsi="Arial" w:cs="Arial"/>
          <w:b/>
          <w:sz w:val="22"/>
          <w:szCs w:val="22"/>
        </w:rPr>
        <w:t xml:space="preserve">yly vyčísleny ve výši více </w:t>
      </w:r>
      <w:r w:rsidR="00E00DF2" w:rsidRPr="007C6D63">
        <w:rPr>
          <w:rFonts w:ascii="Arial" w:hAnsi="Arial" w:cs="Arial"/>
          <w:b/>
          <w:sz w:val="22"/>
          <w:szCs w:val="22"/>
        </w:rPr>
        <w:lastRenderedPageBreak/>
        <w:t xml:space="preserve">než 18 mld. Kč, což je více </w:t>
      </w:r>
      <w:r w:rsidR="008F0267" w:rsidRPr="007C6D63">
        <w:rPr>
          <w:rFonts w:ascii="Arial" w:hAnsi="Arial" w:cs="Arial"/>
          <w:b/>
          <w:sz w:val="22"/>
          <w:szCs w:val="22"/>
        </w:rPr>
        <w:t>než</w:t>
      </w:r>
      <w:r w:rsidR="00E00DF2" w:rsidRPr="007C6D63">
        <w:rPr>
          <w:rFonts w:ascii="Arial" w:hAnsi="Arial" w:cs="Arial"/>
          <w:b/>
          <w:sz w:val="22"/>
          <w:szCs w:val="22"/>
        </w:rPr>
        <w:t xml:space="preserve"> 2 % hodnoty celkových údajů PAP</w:t>
      </w:r>
      <w:r w:rsidR="00B91079">
        <w:rPr>
          <w:rFonts w:ascii="Arial" w:hAnsi="Arial" w:cs="Arial"/>
          <w:b/>
          <w:sz w:val="22"/>
          <w:szCs w:val="22"/>
        </w:rPr>
        <w:t>.</w:t>
      </w:r>
      <w:r w:rsidR="00E00DF2" w:rsidRPr="007C6D63">
        <w:rPr>
          <w:rFonts w:ascii="Arial" w:hAnsi="Arial" w:cs="Arial"/>
          <w:b/>
          <w:sz w:val="22"/>
          <w:szCs w:val="22"/>
        </w:rPr>
        <w:t xml:space="preserve"> </w:t>
      </w:r>
      <w:r w:rsidR="00B91079">
        <w:rPr>
          <w:rFonts w:ascii="Arial" w:hAnsi="Arial" w:cs="Arial"/>
          <w:color w:val="000000"/>
          <w:sz w:val="22"/>
          <w:szCs w:val="22"/>
          <w:lang w:eastAsia="cs-CZ"/>
        </w:rPr>
        <w:t>Z</w:t>
      </w:r>
      <w:r w:rsidR="00E00DF2" w:rsidRPr="000A2E71">
        <w:rPr>
          <w:rFonts w:ascii="Arial" w:hAnsi="Arial" w:cs="Arial"/>
          <w:color w:val="000000"/>
          <w:sz w:val="22"/>
          <w:szCs w:val="22"/>
          <w:lang w:eastAsia="cs-CZ"/>
        </w:rPr>
        <w:t>působeny</w:t>
      </w:r>
      <w:r w:rsidR="00E00DF2" w:rsidRPr="000A2E71">
        <w:rPr>
          <w:rFonts w:ascii="Arial" w:hAnsi="Arial" w:cs="Arial"/>
          <w:sz w:val="22"/>
          <w:szCs w:val="22"/>
        </w:rPr>
        <w:t xml:space="preserve"> </w:t>
      </w:r>
      <w:r w:rsidR="00B91079" w:rsidRPr="000A2E71">
        <w:rPr>
          <w:rFonts w:ascii="Arial" w:hAnsi="Arial" w:cs="Arial"/>
          <w:color w:val="000000"/>
          <w:sz w:val="22"/>
          <w:szCs w:val="22"/>
          <w:lang w:eastAsia="cs-CZ"/>
        </w:rPr>
        <w:t xml:space="preserve">byly </w:t>
      </w:r>
      <w:r w:rsidR="00E00DF2" w:rsidRPr="000A2E71">
        <w:rPr>
          <w:rFonts w:ascii="Arial" w:hAnsi="Arial" w:cs="Arial"/>
          <w:sz w:val="22"/>
          <w:szCs w:val="22"/>
        </w:rPr>
        <w:t xml:space="preserve">nesprávným začleněním </w:t>
      </w:r>
      <w:r w:rsidR="00B91079">
        <w:rPr>
          <w:rFonts w:ascii="Arial" w:hAnsi="Arial" w:cs="Arial"/>
          <w:sz w:val="22"/>
          <w:szCs w:val="22"/>
        </w:rPr>
        <w:t xml:space="preserve">účetních </w:t>
      </w:r>
      <w:r w:rsidR="00E00DF2" w:rsidRPr="000A2E71">
        <w:rPr>
          <w:rFonts w:ascii="Arial" w:hAnsi="Arial" w:cs="Arial"/>
          <w:sz w:val="22"/>
          <w:szCs w:val="22"/>
        </w:rPr>
        <w:t xml:space="preserve">případů na položky </w:t>
      </w:r>
      <w:r w:rsidR="00AD6B3D" w:rsidRPr="000A2E71">
        <w:rPr>
          <w:rFonts w:ascii="Arial" w:hAnsi="Arial" w:cs="Arial"/>
          <w:sz w:val="22"/>
          <w:szCs w:val="22"/>
        </w:rPr>
        <w:t>třídění stanoveného</w:t>
      </w:r>
      <w:r w:rsidR="00E00DF2" w:rsidRPr="000A2E71">
        <w:rPr>
          <w:rFonts w:ascii="Arial" w:hAnsi="Arial" w:cs="Arial"/>
          <w:sz w:val="22"/>
          <w:szCs w:val="22"/>
        </w:rPr>
        <w:t xml:space="preserve"> pro PAP. </w:t>
      </w:r>
      <w:r w:rsidR="008F0267" w:rsidRPr="000A2E71">
        <w:rPr>
          <w:rFonts w:ascii="Arial" w:hAnsi="Arial" w:cs="Arial"/>
          <w:sz w:val="22"/>
          <w:szCs w:val="22"/>
        </w:rPr>
        <w:t>Hlavní příčina byla v nesprávném analytické</w:t>
      </w:r>
      <w:r w:rsidR="00F13B10" w:rsidRPr="000A2E71">
        <w:rPr>
          <w:rFonts w:ascii="Arial" w:hAnsi="Arial" w:cs="Arial"/>
          <w:sz w:val="22"/>
          <w:szCs w:val="22"/>
        </w:rPr>
        <w:t>m</w:t>
      </w:r>
      <w:r w:rsidR="008F0267" w:rsidRPr="000A2E71">
        <w:rPr>
          <w:rFonts w:ascii="Arial" w:hAnsi="Arial" w:cs="Arial"/>
          <w:sz w:val="22"/>
          <w:szCs w:val="22"/>
        </w:rPr>
        <w:t xml:space="preserve"> členění výnosů z titulu</w:t>
      </w:r>
      <w:r w:rsidR="008F0267" w:rsidRPr="007C6D63">
        <w:rPr>
          <w:rFonts w:ascii="Arial" w:hAnsi="Arial" w:cs="Arial"/>
          <w:sz w:val="22"/>
          <w:szCs w:val="22"/>
        </w:rPr>
        <w:t xml:space="preserve"> refundací předfinancovaných transferů. </w:t>
      </w:r>
      <w:r w:rsidR="002D2C8D" w:rsidRPr="007C6D63">
        <w:rPr>
          <w:rFonts w:ascii="Arial" w:hAnsi="Arial" w:cs="Arial"/>
          <w:sz w:val="22"/>
          <w:szCs w:val="22"/>
        </w:rPr>
        <w:t>U těchto případů</w:t>
      </w:r>
      <w:r w:rsidR="008F0267" w:rsidRPr="007C6D63">
        <w:rPr>
          <w:rFonts w:ascii="Arial" w:hAnsi="Arial" w:cs="Arial"/>
          <w:color w:val="000000"/>
          <w:sz w:val="22"/>
          <w:szCs w:val="22"/>
        </w:rPr>
        <w:t xml:space="preserve"> je nutné upozornit na skutečnost, že</w:t>
      </w:r>
      <w:r w:rsidR="00520885" w:rsidRPr="007C6D63">
        <w:rPr>
          <w:rFonts w:ascii="Arial" w:hAnsi="Arial" w:cs="Arial"/>
          <w:color w:val="000000"/>
          <w:sz w:val="22"/>
          <w:szCs w:val="22"/>
        </w:rPr>
        <w:t xml:space="preserve"> </w:t>
      </w:r>
      <w:r w:rsidR="00E46C72" w:rsidRPr="007C6D63">
        <w:rPr>
          <w:rFonts w:ascii="Arial" w:hAnsi="Arial" w:cs="Arial"/>
          <w:color w:val="000000"/>
          <w:sz w:val="22"/>
          <w:szCs w:val="22"/>
        </w:rPr>
        <w:t>přijaté peněžní prostředky refundované od Národního fondu se podle</w:t>
      </w:r>
      <w:r w:rsidR="002D2C8D" w:rsidRPr="007C6D63">
        <w:rPr>
          <w:rFonts w:ascii="Arial" w:hAnsi="Arial" w:cs="Arial"/>
          <w:color w:val="000000"/>
          <w:sz w:val="22"/>
          <w:szCs w:val="22"/>
        </w:rPr>
        <w:t xml:space="preserve"> rozpočtové skladby</w:t>
      </w:r>
      <w:r w:rsidR="00E46C72" w:rsidRPr="007C6D63">
        <w:rPr>
          <w:rFonts w:ascii="Arial" w:hAnsi="Arial" w:cs="Arial"/>
          <w:color w:val="000000"/>
          <w:sz w:val="22"/>
          <w:szCs w:val="22"/>
        </w:rPr>
        <w:t xml:space="preserve"> vykazují ve finančním výkazu</w:t>
      </w:r>
      <w:r w:rsidR="00E46C72">
        <w:rPr>
          <w:rStyle w:val="Znakapoznpodarou"/>
          <w:rFonts w:ascii="Arial" w:hAnsi="Arial" w:cs="Arial"/>
          <w:color w:val="000000"/>
          <w:sz w:val="22"/>
          <w:szCs w:val="22"/>
        </w:rPr>
        <w:footnoteReference w:id="19"/>
      </w:r>
      <w:r w:rsidR="002D2C8D" w:rsidRPr="007C6D63">
        <w:rPr>
          <w:rFonts w:ascii="Arial" w:hAnsi="Arial" w:cs="Arial"/>
          <w:color w:val="000000"/>
          <w:sz w:val="22"/>
          <w:szCs w:val="22"/>
        </w:rPr>
        <w:t xml:space="preserve"> </w:t>
      </w:r>
      <w:r w:rsidR="00520885" w:rsidRPr="007C6D63">
        <w:rPr>
          <w:rFonts w:ascii="Arial" w:hAnsi="Arial" w:cs="Arial"/>
          <w:color w:val="000000"/>
          <w:sz w:val="22"/>
          <w:szCs w:val="22"/>
        </w:rPr>
        <w:t>jako</w:t>
      </w:r>
      <w:r w:rsidR="002D2C8D" w:rsidRPr="007C6D63">
        <w:rPr>
          <w:rFonts w:ascii="Arial" w:hAnsi="Arial" w:cs="Arial"/>
          <w:color w:val="000000"/>
          <w:sz w:val="22"/>
          <w:szCs w:val="22"/>
        </w:rPr>
        <w:t xml:space="preserve"> investiční příjem</w:t>
      </w:r>
      <w:r w:rsidR="00020DE7" w:rsidRPr="007C6D63">
        <w:rPr>
          <w:rFonts w:ascii="Arial" w:hAnsi="Arial" w:cs="Arial"/>
          <w:color w:val="000000"/>
          <w:sz w:val="22"/>
          <w:szCs w:val="22"/>
        </w:rPr>
        <w:t>, oproti tomu</w:t>
      </w:r>
      <w:r w:rsidR="002D2C8D" w:rsidRPr="007C6D63">
        <w:rPr>
          <w:rFonts w:ascii="Arial" w:hAnsi="Arial" w:cs="Arial"/>
          <w:color w:val="000000"/>
          <w:sz w:val="22"/>
          <w:szCs w:val="22"/>
        </w:rPr>
        <w:t xml:space="preserve"> pro účely PAP</w:t>
      </w:r>
      <w:r w:rsidR="00470E36" w:rsidRPr="007C6D63">
        <w:rPr>
          <w:rFonts w:ascii="Arial" w:hAnsi="Arial" w:cs="Arial"/>
          <w:color w:val="000000"/>
          <w:sz w:val="22"/>
          <w:szCs w:val="22"/>
        </w:rPr>
        <w:t xml:space="preserve"> </w:t>
      </w:r>
      <w:r w:rsidR="00F13B10" w:rsidRPr="007C6D63">
        <w:rPr>
          <w:rFonts w:ascii="Arial" w:hAnsi="Arial" w:cs="Arial"/>
          <w:color w:val="000000"/>
          <w:sz w:val="22"/>
          <w:szCs w:val="22"/>
        </w:rPr>
        <w:t>nejde</w:t>
      </w:r>
      <w:r w:rsidR="00E46C72" w:rsidRPr="007C6D63">
        <w:rPr>
          <w:rFonts w:ascii="Arial" w:hAnsi="Arial" w:cs="Arial"/>
          <w:color w:val="000000"/>
          <w:sz w:val="22"/>
          <w:szCs w:val="22"/>
        </w:rPr>
        <w:t xml:space="preserve"> o</w:t>
      </w:r>
      <w:r w:rsidR="00724F3E">
        <w:rPr>
          <w:rFonts w:ascii="Arial" w:hAnsi="Arial" w:cs="Arial"/>
          <w:color w:val="000000"/>
          <w:sz w:val="22"/>
          <w:szCs w:val="22"/>
        </w:rPr>
        <w:t> </w:t>
      </w:r>
      <w:r w:rsidR="00064EB8" w:rsidRPr="007C6D63">
        <w:rPr>
          <w:rFonts w:ascii="Arial" w:hAnsi="Arial" w:cs="Arial"/>
          <w:color w:val="000000"/>
          <w:sz w:val="22"/>
          <w:szCs w:val="22"/>
        </w:rPr>
        <w:t>výnos</w:t>
      </w:r>
      <w:r w:rsidR="00F13B10" w:rsidRPr="007C6D63">
        <w:rPr>
          <w:rFonts w:ascii="Arial" w:hAnsi="Arial" w:cs="Arial"/>
          <w:color w:val="000000"/>
          <w:sz w:val="22"/>
          <w:szCs w:val="22"/>
        </w:rPr>
        <w:t xml:space="preserve"> investiční.</w:t>
      </w:r>
      <w:r w:rsidR="00E00DF2" w:rsidRPr="007C6D63">
        <w:rPr>
          <w:rFonts w:ascii="Arial" w:hAnsi="Arial" w:cs="Arial"/>
          <w:color w:val="000000"/>
          <w:sz w:val="22"/>
          <w:szCs w:val="22"/>
        </w:rPr>
        <w:t xml:space="preserve"> </w:t>
      </w:r>
    </w:p>
    <w:p w14:paraId="00D918FD" w14:textId="77777777" w:rsidR="00E00DF2" w:rsidRPr="000A2E71" w:rsidRDefault="0082668B" w:rsidP="00724F3E">
      <w:pPr>
        <w:pStyle w:val="Odstavecseseznamem"/>
        <w:numPr>
          <w:ilvl w:val="0"/>
          <w:numId w:val="43"/>
        </w:numPr>
        <w:autoSpaceDE w:val="0"/>
        <w:autoSpaceDN w:val="0"/>
        <w:adjustRightInd w:val="0"/>
        <w:ind w:left="284" w:hanging="284"/>
        <w:jc w:val="both"/>
        <w:rPr>
          <w:rFonts w:ascii="Arial" w:hAnsi="Arial" w:cs="Arial"/>
          <w:sz w:val="22"/>
          <w:szCs w:val="22"/>
        </w:rPr>
      </w:pPr>
      <w:r w:rsidRPr="007C6D63">
        <w:rPr>
          <w:rFonts w:ascii="Arial" w:hAnsi="Arial" w:cs="Arial"/>
          <w:b/>
          <w:sz w:val="22"/>
          <w:szCs w:val="22"/>
        </w:rPr>
        <w:t>Vliv na vypovídací schopnost údajů PAP</w:t>
      </w:r>
      <w:r w:rsidRPr="007C6D63">
        <w:rPr>
          <w:rFonts w:ascii="Arial" w:hAnsi="Arial" w:cs="Arial"/>
          <w:b/>
          <w:color w:val="000000"/>
          <w:sz w:val="22"/>
          <w:szCs w:val="22"/>
          <w:lang w:eastAsia="cs-CZ"/>
        </w:rPr>
        <w:t xml:space="preserve"> </w:t>
      </w:r>
      <w:r w:rsidR="000A2E71">
        <w:rPr>
          <w:rFonts w:ascii="Arial" w:hAnsi="Arial" w:cs="Arial"/>
          <w:b/>
          <w:color w:val="000000"/>
          <w:sz w:val="22"/>
          <w:szCs w:val="22"/>
          <w:lang w:eastAsia="cs-CZ"/>
        </w:rPr>
        <w:t xml:space="preserve">měla </w:t>
      </w:r>
      <w:r w:rsidRPr="007C6D63">
        <w:rPr>
          <w:rFonts w:ascii="Arial" w:hAnsi="Arial" w:cs="Arial"/>
          <w:b/>
          <w:color w:val="000000"/>
          <w:sz w:val="22"/>
          <w:szCs w:val="22"/>
          <w:lang w:eastAsia="cs-CZ"/>
        </w:rPr>
        <w:t xml:space="preserve">také nesprávná aplikace </w:t>
      </w:r>
      <w:r w:rsidRPr="00260B0C">
        <w:rPr>
          <w:rFonts w:ascii="Arial" w:hAnsi="Arial" w:cs="Arial"/>
          <w:b/>
          <w:i/>
          <w:color w:val="000000"/>
          <w:sz w:val="22"/>
          <w:szCs w:val="22"/>
          <w:lang w:eastAsia="cs-CZ"/>
        </w:rPr>
        <w:t>Metodiky tvorby PAP</w:t>
      </w:r>
      <w:r w:rsidRPr="007C6D63">
        <w:rPr>
          <w:rFonts w:ascii="Arial" w:hAnsi="Arial" w:cs="Arial"/>
          <w:b/>
          <w:color w:val="000000"/>
          <w:sz w:val="22"/>
          <w:szCs w:val="22"/>
          <w:lang w:eastAsia="cs-CZ"/>
        </w:rPr>
        <w:t>. Nesoulad údajů</w:t>
      </w:r>
      <w:r w:rsidR="00E00DF2" w:rsidRPr="007C6D63">
        <w:rPr>
          <w:rFonts w:ascii="Arial" w:hAnsi="Arial" w:cs="Arial"/>
          <w:b/>
          <w:color w:val="000000"/>
          <w:sz w:val="22"/>
          <w:szCs w:val="22"/>
          <w:lang w:eastAsia="cs-CZ"/>
        </w:rPr>
        <w:t xml:space="preserve"> s </w:t>
      </w:r>
      <w:r w:rsidR="00E00DF2" w:rsidRPr="00260B0C">
        <w:rPr>
          <w:rFonts w:ascii="Arial" w:hAnsi="Arial" w:cs="Arial"/>
          <w:b/>
          <w:i/>
          <w:color w:val="000000"/>
          <w:sz w:val="22"/>
          <w:szCs w:val="22"/>
          <w:lang w:eastAsia="cs-CZ"/>
        </w:rPr>
        <w:t>Metodikou tvorby PAP</w:t>
      </w:r>
      <w:r w:rsidR="00E00DF2" w:rsidRPr="007C6D63">
        <w:rPr>
          <w:rFonts w:ascii="Arial" w:hAnsi="Arial" w:cs="Arial"/>
          <w:b/>
          <w:color w:val="000000"/>
          <w:sz w:val="22"/>
          <w:szCs w:val="22"/>
          <w:lang w:eastAsia="cs-CZ"/>
        </w:rPr>
        <w:t xml:space="preserve"> byl vyčíslen ve výši více než 13 mld. Kč, což j</w:t>
      </w:r>
      <w:r w:rsidR="00B91079">
        <w:rPr>
          <w:rFonts w:ascii="Arial" w:hAnsi="Arial" w:cs="Arial"/>
          <w:b/>
          <w:color w:val="000000"/>
          <w:sz w:val="22"/>
          <w:szCs w:val="22"/>
          <w:lang w:eastAsia="cs-CZ"/>
        </w:rPr>
        <w:t>sou</w:t>
      </w:r>
      <w:r w:rsidR="00E00DF2" w:rsidRPr="007C6D63">
        <w:rPr>
          <w:rFonts w:ascii="Arial" w:hAnsi="Arial" w:cs="Arial"/>
          <w:b/>
          <w:color w:val="000000"/>
          <w:sz w:val="22"/>
          <w:szCs w:val="22"/>
          <w:lang w:eastAsia="cs-CZ"/>
        </w:rPr>
        <w:t xml:space="preserve"> téměř 2 % hodnoty celkových údajů PAP</w:t>
      </w:r>
      <w:r w:rsidR="00BC1E55" w:rsidRPr="007C6D63">
        <w:rPr>
          <w:rFonts w:ascii="Arial" w:hAnsi="Arial" w:cs="Arial"/>
          <w:b/>
          <w:color w:val="000000"/>
          <w:sz w:val="22"/>
          <w:szCs w:val="22"/>
          <w:lang w:eastAsia="cs-CZ"/>
        </w:rPr>
        <w:t>.</w:t>
      </w:r>
      <w:r w:rsidR="00DA7D84" w:rsidRPr="007C6D63">
        <w:rPr>
          <w:rFonts w:ascii="Arial" w:hAnsi="Arial" w:cs="Arial"/>
          <w:b/>
          <w:color w:val="000000"/>
          <w:sz w:val="22"/>
          <w:szCs w:val="22"/>
          <w:lang w:eastAsia="cs-CZ"/>
        </w:rPr>
        <w:t xml:space="preserve"> </w:t>
      </w:r>
      <w:r w:rsidR="00B91079" w:rsidRPr="00260B0C">
        <w:rPr>
          <w:rFonts w:ascii="Arial" w:hAnsi="Arial" w:cs="Arial"/>
          <w:color w:val="000000"/>
          <w:sz w:val="22"/>
          <w:szCs w:val="22"/>
          <w:lang w:eastAsia="cs-CZ"/>
        </w:rPr>
        <w:t>Tento nesoulad</w:t>
      </w:r>
      <w:r w:rsidR="00B91079">
        <w:rPr>
          <w:rFonts w:ascii="Arial" w:hAnsi="Arial" w:cs="Arial"/>
          <w:b/>
          <w:color w:val="000000"/>
          <w:sz w:val="22"/>
          <w:szCs w:val="22"/>
          <w:lang w:eastAsia="cs-CZ"/>
        </w:rPr>
        <w:t xml:space="preserve"> </w:t>
      </w:r>
      <w:r w:rsidR="00B91079" w:rsidRPr="00B91079">
        <w:rPr>
          <w:rFonts w:ascii="Arial" w:hAnsi="Arial" w:cs="Arial"/>
          <w:color w:val="000000"/>
          <w:sz w:val="22"/>
          <w:szCs w:val="22"/>
          <w:lang w:eastAsia="cs-CZ"/>
        </w:rPr>
        <w:t>b</w:t>
      </w:r>
      <w:r w:rsidR="00BC1E55" w:rsidRPr="00B91079">
        <w:rPr>
          <w:rFonts w:ascii="Arial" w:hAnsi="Arial" w:cs="Arial"/>
          <w:color w:val="000000"/>
          <w:sz w:val="22"/>
          <w:szCs w:val="22"/>
          <w:lang w:eastAsia="cs-CZ"/>
        </w:rPr>
        <w:t>yl</w:t>
      </w:r>
      <w:r w:rsidR="00E00DF2" w:rsidRPr="00B91079">
        <w:rPr>
          <w:rFonts w:ascii="Arial" w:hAnsi="Arial" w:cs="Arial"/>
          <w:color w:val="000000"/>
          <w:sz w:val="22"/>
          <w:szCs w:val="22"/>
          <w:lang w:eastAsia="cs-CZ"/>
        </w:rPr>
        <w:t xml:space="preserve"> </w:t>
      </w:r>
      <w:r w:rsidR="00E00DF2" w:rsidRPr="000A2E71">
        <w:rPr>
          <w:rFonts w:ascii="Arial" w:hAnsi="Arial" w:cs="Arial"/>
          <w:color w:val="000000"/>
          <w:sz w:val="22"/>
          <w:szCs w:val="22"/>
          <w:lang w:eastAsia="cs-CZ"/>
        </w:rPr>
        <w:t>způsoben</w:t>
      </w:r>
      <w:r w:rsidR="007F6DD5" w:rsidRPr="000A2E71">
        <w:rPr>
          <w:rFonts w:ascii="Arial" w:hAnsi="Arial" w:cs="Arial"/>
          <w:color w:val="000000"/>
          <w:sz w:val="22"/>
          <w:szCs w:val="22"/>
          <w:lang w:eastAsia="cs-CZ"/>
        </w:rPr>
        <w:t xml:space="preserve"> především</w:t>
      </w:r>
      <w:r w:rsidR="00E00DF2" w:rsidRPr="000A2E71">
        <w:rPr>
          <w:rFonts w:ascii="Arial" w:hAnsi="Arial" w:cs="Arial"/>
          <w:color w:val="000000"/>
          <w:sz w:val="22"/>
          <w:szCs w:val="22"/>
          <w:lang w:eastAsia="cs-CZ"/>
        </w:rPr>
        <w:t xml:space="preserve"> </w:t>
      </w:r>
      <w:r w:rsidR="00E00DF2" w:rsidRPr="000A2E71">
        <w:rPr>
          <w:rFonts w:ascii="Arial" w:hAnsi="Arial" w:cs="Arial"/>
          <w:sz w:val="22"/>
          <w:szCs w:val="22"/>
        </w:rPr>
        <w:t>uvedením jiného identifikátoru partnera</w:t>
      </w:r>
      <w:r w:rsidR="00E00DF2" w:rsidRPr="000A2E71">
        <w:rPr>
          <w:rStyle w:val="Znakapoznpodarou"/>
          <w:rFonts w:ascii="Arial" w:hAnsi="Arial" w:cs="Arial"/>
          <w:sz w:val="22"/>
          <w:szCs w:val="22"/>
        </w:rPr>
        <w:footnoteReference w:id="20"/>
      </w:r>
      <w:r w:rsidR="00E00DF2" w:rsidRPr="000A2E71">
        <w:rPr>
          <w:rFonts w:ascii="Arial" w:hAnsi="Arial" w:cs="Arial"/>
          <w:sz w:val="22"/>
          <w:szCs w:val="22"/>
        </w:rPr>
        <w:t xml:space="preserve"> v PAP, než </w:t>
      </w:r>
      <w:r w:rsidR="00B91079">
        <w:rPr>
          <w:rFonts w:ascii="Arial" w:hAnsi="Arial" w:cs="Arial"/>
          <w:sz w:val="22"/>
          <w:szCs w:val="22"/>
        </w:rPr>
        <w:t xml:space="preserve">jaký </w:t>
      </w:r>
      <w:r w:rsidR="00E00DF2" w:rsidRPr="000A2E71">
        <w:rPr>
          <w:rFonts w:ascii="Arial" w:hAnsi="Arial" w:cs="Arial"/>
          <w:sz w:val="22"/>
          <w:szCs w:val="22"/>
        </w:rPr>
        <w:t xml:space="preserve">vyplýval </w:t>
      </w:r>
      <w:r w:rsidR="009F047D">
        <w:rPr>
          <w:rFonts w:ascii="Arial" w:hAnsi="Arial" w:cs="Arial"/>
          <w:sz w:val="22"/>
          <w:szCs w:val="22"/>
        </w:rPr>
        <w:t>z </w:t>
      </w:r>
      <w:r w:rsidR="00E00DF2" w:rsidRPr="000A2E71">
        <w:rPr>
          <w:rFonts w:ascii="Arial" w:hAnsi="Arial" w:cs="Arial"/>
          <w:sz w:val="22"/>
          <w:szCs w:val="22"/>
        </w:rPr>
        <w:t xml:space="preserve">metodiky. </w:t>
      </w:r>
    </w:p>
    <w:p w14:paraId="00D918FE" w14:textId="77777777" w:rsidR="00E00DF2" w:rsidRDefault="00E00DF2" w:rsidP="00DA7D84">
      <w:pPr>
        <w:pStyle w:val="Odstavecseseznamem"/>
        <w:ind w:left="0"/>
        <w:jc w:val="both"/>
        <w:rPr>
          <w:rFonts w:ascii="Arial" w:hAnsi="Arial" w:cs="Arial"/>
          <w:bCs/>
          <w:iCs/>
          <w:sz w:val="22"/>
          <w:szCs w:val="22"/>
        </w:rPr>
      </w:pPr>
    </w:p>
    <w:p w14:paraId="00D918FF" w14:textId="77777777" w:rsidR="00387A30" w:rsidRPr="00801662" w:rsidRDefault="00387A30" w:rsidP="00387A30">
      <w:pPr>
        <w:widowControl w:val="0"/>
        <w:shd w:val="clear" w:color="auto" w:fill="FFFFFF"/>
        <w:autoSpaceDE w:val="0"/>
        <w:autoSpaceDN w:val="0"/>
        <w:adjustRightInd w:val="0"/>
        <w:ind w:right="29"/>
        <w:jc w:val="both"/>
        <w:rPr>
          <w:rFonts w:ascii="Arial" w:hAnsi="Arial" w:cs="Arial"/>
          <w:sz w:val="22"/>
          <w:szCs w:val="22"/>
        </w:rPr>
      </w:pPr>
      <w:r>
        <w:rPr>
          <w:rFonts w:ascii="Arial" w:hAnsi="Arial" w:cs="Arial"/>
          <w:b/>
          <w:sz w:val="22"/>
          <w:szCs w:val="22"/>
        </w:rPr>
        <w:t xml:space="preserve">Dále bylo kontrolou zjištěno, že údaje v PAP MPO </w:t>
      </w:r>
      <w:r w:rsidR="00F13B10">
        <w:rPr>
          <w:rFonts w:ascii="Arial" w:hAnsi="Arial" w:cs="Arial"/>
          <w:b/>
          <w:sz w:val="22"/>
          <w:szCs w:val="22"/>
        </w:rPr>
        <w:t>nebyly</w:t>
      </w:r>
      <w:r>
        <w:rPr>
          <w:rFonts w:ascii="Arial" w:hAnsi="Arial" w:cs="Arial"/>
          <w:b/>
          <w:sz w:val="22"/>
          <w:szCs w:val="22"/>
        </w:rPr>
        <w:t xml:space="preserve"> úplné. </w:t>
      </w:r>
      <w:r w:rsidR="00801662">
        <w:rPr>
          <w:rFonts w:ascii="Arial" w:hAnsi="Arial" w:cs="Arial"/>
          <w:sz w:val="22"/>
          <w:szCs w:val="22"/>
        </w:rPr>
        <w:t xml:space="preserve">MPO v roce 2012 neúčtovalo o hospodaření s peněžními prostředky, které </w:t>
      </w:r>
      <w:r w:rsidR="00F13B10">
        <w:rPr>
          <w:rFonts w:ascii="Arial" w:hAnsi="Arial" w:cs="Arial"/>
          <w:sz w:val="22"/>
          <w:szCs w:val="22"/>
        </w:rPr>
        <w:t>byly</w:t>
      </w:r>
      <w:r w:rsidR="000F66B5">
        <w:rPr>
          <w:rFonts w:ascii="Arial" w:hAnsi="Arial" w:cs="Arial"/>
          <w:sz w:val="22"/>
          <w:szCs w:val="22"/>
        </w:rPr>
        <w:t xml:space="preserve"> majetkem České republiky a </w:t>
      </w:r>
      <w:r w:rsidR="00801662">
        <w:rPr>
          <w:rFonts w:ascii="Arial" w:hAnsi="Arial" w:cs="Arial"/>
          <w:sz w:val="22"/>
          <w:szCs w:val="22"/>
        </w:rPr>
        <w:t>jejichž konečný zůstatek k 31. prosinci 2012 byl ve výši</w:t>
      </w:r>
      <w:r w:rsidR="000E7852">
        <w:rPr>
          <w:rFonts w:ascii="Arial" w:hAnsi="Arial" w:cs="Arial"/>
          <w:sz w:val="22"/>
          <w:szCs w:val="22"/>
        </w:rPr>
        <w:t xml:space="preserve"> 347 mil. </w:t>
      </w:r>
      <w:r w:rsidR="00801662">
        <w:rPr>
          <w:rFonts w:ascii="Arial" w:hAnsi="Arial" w:cs="Arial"/>
          <w:sz w:val="22"/>
          <w:szCs w:val="22"/>
        </w:rPr>
        <w:t>Kč.</w:t>
      </w:r>
      <w:r w:rsidR="000E7852">
        <w:rPr>
          <w:rFonts w:ascii="Arial" w:hAnsi="Arial" w:cs="Arial"/>
          <w:sz w:val="22"/>
          <w:szCs w:val="22"/>
        </w:rPr>
        <w:t xml:space="preserve"> </w:t>
      </w:r>
      <w:r w:rsidR="00F13B10">
        <w:rPr>
          <w:rFonts w:ascii="Arial" w:hAnsi="Arial" w:cs="Arial"/>
          <w:sz w:val="22"/>
          <w:szCs w:val="22"/>
        </w:rPr>
        <w:t>Šlo</w:t>
      </w:r>
      <w:r w:rsidR="000E7852">
        <w:rPr>
          <w:rFonts w:ascii="Arial" w:hAnsi="Arial" w:cs="Arial"/>
          <w:sz w:val="22"/>
          <w:szCs w:val="22"/>
        </w:rPr>
        <w:t xml:space="preserve"> </w:t>
      </w:r>
      <w:r w:rsidR="00591B0C">
        <w:rPr>
          <w:rFonts w:ascii="Arial" w:hAnsi="Arial" w:cs="Arial"/>
          <w:sz w:val="22"/>
          <w:szCs w:val="22"/>
        </w:rPr>
        <w:t xml:space="preserve">o finanční </w:t>
      </w:r>
      <w:r w:rsidR="00A92F77">
        <w:rPr>
          <w:rFonts w:ascii="Arial" w:hAnsi="Arial" w:cs="Arial"/>
          <w:sz w:val="22"/>
          <w:szCs w:val="22"/>
        </w:rPr>
        <w:t>zdroje pro</w:t>
      </w:r>
      <w:r w:rsidR="000E7852">
        <w:rPr>
          <w:rFonts w:ascii="Arial" w:hAnsi="Arial" w:cs="Arial"/>
          <w:sz w:val="22"/>
          <w:szCs w:val="22"/>
        </w:rPr>
        <w:t xml:space="preserve"> </w:t>
      </w:r>
      <w:r w:rsidR="000E7852" w:rsidRPr="00260B0C">
        <w:rPr>
          <w:rFonts w:ascii="Arial" w:hAnsi="Arial" w:cs="Arial"/>
          <w:i/>
          <w:sz w:val="22"/>
          <w:szCs w:val="22"/>
        </w:rPr>
        <w:t>Program</w:t>
      </w:r>
      <w:r w:rsidR="00A92F77" w:rsidRPr="00260B0C">
        <w:rPr>
          <w:rFonts w:ascii="Arial" w:hAnsi="Arial" w:cs="Arial"/>
          <w:i/>
          <w:sz w:val="22"/>
          <w:szCs w:val="22"/>
        </w:rPr>
        <w:t xml:space="preserve"> </w:t>
      </w:r>
      <w:r w:rsidR="000E7852" w:rsidRPr="00260B0C">
        <w:rPr>
          <w:rFonts w:ascii="Arial" w:hAnsi="Arial" w:cs="Arial"/>
          <w:i/>
          <w:sz w:val="22"/>
          <w:szCs w:val="22"/>
        </w:rPr>
        <w:t>energetických úspor</w:t>
      </w:r>
      <w:r w:rsidR="000E7852">
        <w:rPr>
          <w:rFonts w:ascii="Arial" w:hAnsi="Arial" w:cs="Arial"/>
          <w:sz w:val="22"/>
          <w:szCs w:val="22"/>
        </w:rPr>
        <w:t xml:space="preserve"> a </w:t>
      </w:r>
      <w:r w:rsidR="00527554">
        <w:rPr>
          <w:rFonts w:ascii="Arial" w:hAnsi="Arial" w:cs="Arial"/>
          <w:sz w:val="22"/>
          <w:szCs w:val="22"/>
        </w:rPr>
        <w:t>pro</w:t>
      </w:r>
      <w:r w:rsidR="000E7852">
        <w:rPr>
          <w:rFonts w:ascii="Arial" w:hAnsi="Arial" w:cs="Arial"/>
          <w:sz w:val="22"/>
          <w:szCs w:val="22"/>
        </w:rPr>
        <w:t xml:space="preserve"> financování programů ZÁRUKA, START a</w:t>
      </w:r>
      <w:r w:rsidR="00AF62D2">
        <w:rPr>
          <w:rFonts w:ascii="Arial" w:hAnsi="Arial" w:cs="Arial"/>
          <w:sz w:val="22"/>
          <w:szCs w:val="22"/>
        </w:rPr>
        <w:t> </w:t>
      </w:r>
      <w:r w:rsidR="000E7852">
        <w:rPr>
          <w:rFonts w:ascii="Arial" w:hAnsi="Arial" w:cs="Arial"/>
          <w:sz w:val="22"/>
          <w:szCs w:val="22"/>
        </w:rPr>
        <w:t xml:space="preserve">PROGRES </w:t>
      </w:r>
      <w:r w:rsidR="00591B0C">
        <w:rPr>
          <w:rFonts w:ascii="Arial" w:hAnsi="Arial" w:cs="Arial"/>
          <w:sz w:val="22"/>
          <w:szCs w:val="22"/>
        </w:rPr>
        <w:t>realizovaných</w:t>
      </w:r>
      <w:r w:rsidR="000E7852">
        <w:rPr>
          <w:rFonts w:ascii="Arial" w:hAnsi="Arial" w:cs="Arial"/>
          <w:sz w:val="22"/>
          <w:szCs w:val="22"/>
        </w:rPr>
        <w:t xml:space="preserve"> v rámci </w:t>
      </w:r>
      <w:r w:rsidR="00591B0C">
        <w:rPr>
          <w:rFonts w:ascii="Arial" w:hAnsi="Arial" w:cs="Arial"/>
          <w:sz w:val="22"/>
          <w:szCs w:val="22"/>
        </w:rPr>
        <w:t>o</w:t>
      </w:r>
      <w:r w:rsidR="000E7852">
        <w:rPr>
          <w:rFonts w:ascii="Arial" w:hAnsi="Arial" w:cs="Arial"/>
          <w:sz w:val="22"/>
          <w:szCs w:val="22"/>
        </w:rPr>
        <w:t xml:space="preserve">peračního programu </w:t>
      </w:r>
      <w:r w:rsidR="00591B0C" w:rsidRPr="00260B0C">
        <w:rPr>
          <w:rFonts w:ascii="Arial" w:hAnsi="Arial" w:cs="Arial"/>
          <w:i/>
          <w:sz w:val="22"/>
          <w:szCs w:val="22"/>
        </w:rPr>
        <w:t>P</w:t>
      </w:r>
      <w:r w:rsidR="003D588D" w:rsidRPr="00260B0C">
        <w:rPr>
          <w:rFonts w:ascii="Arial" w:hAnsi="Arial" w:cs="Arial"/>
          <w:i/>
          <w:sz w:val="22"/>
          <w:szCs w:val="22"/>
        </w:rPr>
        <w:t>odnikání a</w:t>
      </w:r>
      <w:r w:rsidR="00724F3E" w:rsidRPr="00260B0C">
        <w:rPr>
          <w:rFonts w:ascii="Arial" w:hAnsi="Arial" w:cs="Arial"/>
          <w:i/>
          <w:sz w:val="22"/>
          <w:szCs w:val="22"/>
        </w:rPr>
        <w:t> </w:t>
      </w:r>
      <w:r w:rsidR="003D588D" w:rsidRPr="00260B0C">
        <w:rPr>
          <w:rFonts w:ascii="Arial" w:hAnsi="Arial" w:cs="Arial"/>
          <w:i/>
          <w:sz w:val="22"/>
          <w:szCs w:val="22"/>
        </w:rPr>
        <w:t>inovace</w:t>
      </w:r>
      <w:r w:rsidR="003D588D">
        <w:rPr>
          <w:rFonts w:ascii="Arial" w:hAnsi="Arial" w:cs="Arial"/>
          <w:sz w:val="22"/>
          <w:szCs w:val="22"/>
        </w:rPr>
        <w:t>.</w:t>
      </w:r>
    </w:p>
    <w:p w14:paraId="00D91900" w14:textId="77777777" w:rsidR="00387A30" w:rsidRDefault="00387A30" w:rsidP="00387A30">
      <w:pPr>
        <w:widowControl w:val="0"/>
        <w:shd w:val="clear" w:color="auto" w:fill="FFFFFF"/>
        <w:autoSpaceDE w:val="0"/>
        <w:autoSpaceDN w:val="0"/>
        <w:adjustRightInd w:val="0"/>
        <w:ind w:right="29"/>
        <w:jc w:val="both"/>
        <w:rPr>
          <w:rFonts w:ascii="Arial" w:hAnsi="Arial" w:cs="Arial"/>
          <w:b/>
          <w:sz w:val="22"/>
          <w:szCs w:val="22"/>
        </w:rPr>
      </w:pPr>
    </w:p>
    <w:p w14:paraId="00D91901" w14:textId="77777777" w:rsidR="00E00DF2" w:rsidRPr="007C6D63" w:rsidRDefault="006F2537" w:rsidP="00E00DF2">
      <w:pPr>
        <w:jc w:val="both"/>
        <w:rPr>
          <w:rFonts w:ascii="Arial" w:hAnsi="Arial" w:cs="Arial"/>
          <w:b/>
          <w:sz w:val="22"/>
          <w:szCs w:val="22"/>
        </w:rPr>
      </w:pPr>
      <w:r>
        <w:rPr>
          <w:rFonts w:ascii="Arial" w:hAnsi="Arial" w:cs="Arial"/>
          <w:b/>
          <w:sz w:val="22"/>
          <w:szCs w:val="22"/>
        </w:rPr>
        <w:t>V</w:t>
      </w:r>
      <w:r w:rsidR="007C6D63" w:rsidRPr="007C6D63">
        <w:rPr>
          <w:rFonts w:ascii="Arial" w:hAnsi="Arial" w:cs="Arial"/>
          <w:b/>
          <w:sz w:val="22"/>
          <w:szCs w:val="22"/>
        </w:rPr>
        <w:t xml:space="preserve"> průběhu kontroly </w:t>
      </w:r>
      <w:r>
        <w:rPr>
          <w:rFonts w:ascii="Arial" w:hAnsi="Arial" w:cs="Arial"/>
          <w:b/>
          <w:sz w:val="22"/>
          <w:szCs w:val="22"/>
        </w:rPr>
        <w:t xml:space="preserve">zahájilo </w:t>
      </w:r>
      <w:r w:rsidR="00591B0C" w:rsidRPr="007C6D63">
        <w:rPr>
          <w:rFonts w:ascii="Arial" w:hAnsi="Arial" w:cs="Arial"/>
          <w:b/>
          <w:sz w:val="22"/>
          <w:szCs w:val="22"/>
        </w:rPr>
        <w:t xml:space="preserve">MPO </w:t>
      </w:r>
      <w:r>
        <w:rPr>
          <w:rFonts w:ascii="Arial" w:hAnsi="Arial" w:cs="Arial"/>
          <w:b/>
          <w:sz w:val="22"/>
          <w:szCs w:val="22"/>
        </w:rPr>
        <w:t>realizaci</w:t>
      </w:r>
      <w:r w:rsidR="007C6D63" w:rsidRPr="007C6D63">
        <w:rPr>
          <w:rFonts w:ascii="Arial" w:hAnsi="Arial" w:cs="Arial"/>
          <w:b/>
          <w:sz w:val="22"/>
          <w:szCs w:val="22"/>
        </w:rPr>
        <w:t xml:space="preserve"> opatření k odstra</w:t>
      </w:r>
      <w:r w:rsidR="007C6D63">
        <w:rPr>
          <w:rFonts w:ascii="Arial" w:hAnsi="Arial" w:cs="Arial"/>
          <w:b/>
          <w:sz w:val="22"/>
          <w:szCs w:val="22"/>
        </w:rPr>
        <w:t>ňování</w:t>
      </w:r>
      <w:r w:rsidR="007C6D63" w:rsidRPr="007C6D63">
        <w:rPr>
          <w:rFonts w:ascii="Arial" w:hAnsi="Arial" w:cs="Arial"/>
          <w:b/>
          <w:sz w:val="22"/>
          <w:szCs w:val="22"/>
        </w:rPr>
        <w:t xml:space="preserve"> zjištěných nedostatků</w:t>
      </w:r>
      <w:r w:rsidR="007C6D63">
        <w:rPr>
          <w:rFonts w:ascii="Arial" w:hAnsi="Arial" w:cs="Arial"/>
          <w:b/>
          <w:sz w:val="22"/>
          <w:szCs w:val="22"/>
        </w:rPr>
        <w:t>.</w:t>
      </w:r>
    </w:p>
    <w:p w14:paraId="00D91902" w14:textId="77777777" w:rsidR="00DA7D84" w:rsidRPr="007C6D63" w:rsidRDefault="00DA7D84" w:rsidP="00E00DF2">
      <w:pPr>
        <w:jc w:val="both"/>
        <w:rPr>
          <w:rFonts w:ascii="Arial" w:hAnsi="Arial" w:cs="Arial"/>
          <w:sz w:val="22"/>
          <w:szCs w:val="22"/>
        </w:rPr>
      </w:pPr>
    </w:p>
    <w:p w14:paraId="00D91903" w14:textId="77777777" w:rsidR="00F422A7" w:rsidRDefault="00F422A7" w:rsidP="00E00DF2">
      <w:pPr>
        <w:jc w:val="both"/>
        <w:rPr>
          <w:rFonts w:ascii="Arial" w:hAnsi="Arial" w:cs="Arial"/>
          <w:b/>
          <w:sz w:val="22"/>
          <w:szCs w:val="22"/>
        </w:rPr>
      </w:pPr>
    </w:p>
    <w:p w14:paraId="00D91904" w14:textId="77777777" w:rsidR="00E00DF2" w:rsidRPr="007C6D63" w:rsidRDefault="00F36DA2" w:rsidP="00724F3E">
      <w:pPr>
        <w:jc w:val="center"/>
        <w:rPr>
          <w:rFonts w:ascii="Arial" w:hAnsi="Arial" w:cs="Arial"/>
          <w:b/>
          <w:bCs/>
          <w:iCs/>
        </w:rPr>
      </w:pPr>
      <w:r w:rsidRPr="007C6D63">
        <w:rPr>
          <w:rFonts w:ascii="Arial" w:hAnsi="Arial" w:cs="Arial"/>
          <w:b/>
          <w:bCs/>
          <w:iCs/>
        </w:rPr>
        <w:t>IV. Vyhodnocení</w:t>
      </w:r>
    </w:p>
    <w:p w14:paraId="00D91905" w14:textId="77777777" w:rsidR="00F36DA2" w:rsidRDefault="00F36DA2" w:rsidP="00E00DF2">
      <w:pPr>
        <w:jc w:val="both"/>
        <w:rPr>
          <w:rFonts w:ascii="Arial" w:hAnsi="Arial" w:cs="Arial"/>
          <w:b/>
          <w:bCs/>
          <w:iCs/>
          <w:sz w:val="22"/>
          <w:szCs w:val="22"/>
        </w:rPr>
      </w:pPr>
    </w:p>
    <w:p w14:paraId="00D91906" w14:textId="77777777" w:rsidR="00F36DA2" w:rsidRPr="0038768C" w:rsidRDefault="00F36DA2" w:rsidP="00F36DA2">
      <w:pPr>
        <w:jc w:val="both"/>
        <w:rPr>
          <w:rFonts w:ascii="Arial" w:hAnsi="Arial" w:cs="Arial"/>
          <w:b/>
          <w:sz w:val="22"/>
          <w:szCs w:val="22"/>
        </w:rPr>
      </w:pPr>
      <w:r w:rsidRPr="0038768C">
        <w:rPr>
          <w:rFonts w:ascii="Arial" w:hAnsi="Arial" w:cs="Arial"/>
          <w:b/>
          <w:sz w:val="22"/>
          <w:szCs w:val="22"/>
        </w:rPr>
        <w:t>Problematiku sestavování PAP</w:t>
      </w:r>
      <w:r>
        <w:rPr>
          <w:rFonts w:ascii="Arial" w:hAnsi="Arial" w:cs="Arial"/>
          <w:b/>
          <w:sz w:val="22"/>
          <w:szCs w:val="22"/>
        </w:rPr>
        <w:t xml:space="preserve"> </w:t>
      </w:r>
      <w:r w:rsidRPr="0038768C">
        <w:rPr>
          <w:rFonts w:ascii="Arial" w:hAnsi="Arial" w:cs="Arial"/>
          <w:b/>
          <w:sz w:val="22"/>
          <w:szCs w:val="22"/>
        </w:rPr>
        <w:t>je nutné hodnotit</w:t>
      </w:r>
      <w:r>
        <w:rPr>
          <w:rFonts w:ascii="Arial" w:hAnsi="Arial" w:cs="Arial"/>
          <w:b/>
          <w:sz w:val="22"/>
          <w:szCs w:val="22"/>
        </w:rPr>
        <w:t xml:space="preserve"> v konkrétních existujících souvislostech</w:t>
      </w:r>
      <w:r w:rsidRPr="0038768C">
        <w:rPr>
          <w:rFonts w:ascii="Arial" w:hAnsi="Arial" w:cs="Arial"/>
          <w:b/>
          <w:sz w:val="22"/>
          <w:szCs w:val="22"/>
        </w:rPr>
        <w:t>.</w:t>
      </w:r>
      <w:r>
        <w:rPr>
          <w:rFonts w:ascii="Arial" w:hAnsi="Arial" w:cs="Arial"/>
          <w:b/>
          <w:sz w:val="22"/>
          <w:szCs w:val="22"/>
        </w:rPr>
        <w:t xml:space="preserve"> </w:t>
      </w:r>
      <w:r w:rsidRPr="0038768C">
        <w:rPr>
          <w:rFonts w:ascii="Arial" w:hAnsi="Arial" w:cs="Arial"/>
          <w:b/>
          <w:sz w:val="22"/>
          <w:szCs w:val="22"/>
        </w:rPr>
        <w:t>První sestavování PAP bylo</w:t>
      </w:r>
      <w:r>
        <w:rPr>
          <w:rFonts w:ascii="Arial" w:hAnsi="Arial" w:cs="Arial"/>
          <w:b/>
          <w:sz w:val="22"/>
          <w:szCs w:val="22"/>
        </w:rPr>
        <w:t xml:space="preserve"> v roce 2012</w:t>
      </w:r>
      <w:r w:rsidRPr="0038768C">
        <w:rPr>
          <w:rFonts w:ascii="Arial" w:hAnsi="Arial" w:cs="Arial"/>
          <w:b/>
          <w:sz w:val="22"/>
          <w:szCs w:val="22"/>
        </w:rPr>
        <w:t xml:space="preserve"> objektivně zatíženo skutečnostmi, které mohly ztěžovat sestavení </w:t>
      </w:r>
      <w:r w:rsidR="00591B0C">
        <w:rPr>
          <w:rFonts w:ascii="Arial" w:hAnsi="Arial" w:cs="Arial"/>
          <w:b/>
          <w:sz w:val="22"/>
          <w:szCs w:val="22"/>
        </w:rPr>
        <w:t xml:space="preserve">pomocného analytického přehledu </w:t>
      </w:r>
      <w:r w:rsidRPr="0038768C">
        <w:rPr>
          <w:rFonts w:ascii="Arial" w:hAnsi="Arial" w:cs="Arial"/>
          <w:b/>
          <w:sz w:val="22"/>
          <w:szCs w:val="22"/>
        </w:rPr>
        <w:t>a</w:t>
      </w:r>
      <w:r w:rsidR="00AF62D2">
        <w:rPr>
          <w:rFonts w:ascii="Arial" w:hAnsi="Arial" w:cs="Arial"/>
          <w:b/>
          <w:sz w:val="22"/>
          <w:szCs w:val="22"/>
        </w:rPr>
        <w:t> </w:t>
      </w:r>
      <w:r w:rsidRPr="0038768C">
        <w:rPr>
          <w:rFonts w:ascii="Arial" w:hAnsi="Arial" w:cs="Arial"/>
          <w:b/>
          <w:sz w:val="22"/>
          <w:szCs w:val="22"/>
        </w:rPr>
        <w:t>které nelze dávat k tíži účetní</w:t>
      </w:r>
      <w:r w:rsidR="00591B0C">
        <w:rPr>
          <w:rFonts w:ascii="Arial" w:hAnsi="Arial" w:cs="Arial"/>
          <w:b/>
          <w:sz w:val="22"/>
          <w:szCs w:val="22"/>
        </w:rPr>
        <w:t>m</w:t>
      </w:r>
      <w:r w:rsidRPr="0038768C">
        <w:rPr>
          <w:rFonts w:ascii="Arial" w:hAnsi="Arial" w:cs="Arial"/>
          <w:b/>
          <w:sz w:val="22"/>
          <w:szCs w:val="22"/>
        </w:rPr>
        <w:t xml:space="preserve"> jednot</w:t>
      </w:r>
      <w:r w:rsidR="00591B0C">
        <w:rPr>
          <w:rFonts w:ascii="Arial" w:hAnsi="Arial" w:cs="Arial"/>
          <w:b/>
          <w:sz w:val="22"/>
          <w:szCs w:val="22"/>
        </w:rPr>
        <w:t>kám</w:t>
      </w:r>
      <w:r w:rsidRPr="0038768C">
        <w:rPr>
          <w:rFonts w:ascii="Arial" w:hAnsi="Arial" w:cs="Arial"/>
          <w:b/>
          <w:sz w:val="22"/>
          <w:szCs w:val="22"/>
        </w:rPr>
        <w:t>, včetně MPO.</w:t>
      </w:r>
    </w:p>
    <w:p w14:paraId="00D91907" w14:textId="77777777" w:rsidR="00F36DA2" w:rsidRPr="0038768C" w:rsidRDefault="00F36DA2" w:rsidP="00F36DA2">
      <w:pPr>
        <w:jc w:val="both"/>
        <w:rPr>
          <w:rFonts w:ascii="Arial" w:hAnsi="Arial" w:cs="Arial"/>
          <w:b/>
          <w:sz w:val="22"/>
          <w:szCs w:val="22"/>
        </w:rPr>
      </w:pPr>
    </w:p>
    <w:p w14:paraId="00D91908" w14:textId="77777777" w:rsidR="00F36DA2" w:rsidRPr="00DA7D84" w:rsidRDefault="00F36DA2" w:rsidP="00F36DA2">
      <w:pPr>
        <w:jc w:val="both"/>
        <w:rPr>
          <w:rFonts w:ascii="Arial" w:hAnsi="Arial" w:cs="Arial"/>
          <w:sz w:val="22"/>
          <w:szCs w:val="22"/>
        </w:rPr>
      </w:pPr>
      <w:r w:rsidRPr="0038768C">
        <w:rPr>
          <w:rFonts w:ascii="Arial" w:hAnsi="Arial" w:cs="Arial"/>
          <w:b/>
          <w:sz w:val="22"/>
          <w:szCs w:val="22"/>
        </w:rPr>
        <w:t xml:space="preserve">Novela vyhlášky č. 383/2009 Sb., </w:t>
      </w:r>
      <w:r w:rsidR="00591B0C">
        <w:rPr>
          <w:rFonts w:ascii="Arial" w:hAnsi="Arial" w:cs="Arial"/>
          <w:b/>
          <w:sz w:val="22"/>
          <w:szCs w:val="22"/>
        </w:rPr>
        <w:t xml:space="preserve">která </w:t>
      </w:r>
      <w:r w:rsidRPr="0038768C">
        <w:rPr>
          <w:rFonts w:ascii="Arial" w:hAnsi="Arial" w:cs="Arial"/>
          <w:b/>
          <w:sz w:val="22"/>
          <w:szCs w:val="22"/>
        </w:rPr>
        <w:t>stanovuj</w:t>
      </w:r>
      <w:r w:rsidR="00591B0C">
        <w:rPr>
          <w:rFonts w:ascii="Arial" w:hAnsi="Arial" w:cs="Arial"/>
          <w:b/>
          <w:sz w:val="22"/>
          <w:szCs w:val="22"/>
        </w:rPr>
        <w:t>e</w:t>
      </w:r>
      <w:r w:rsidRPr="0038768C">
        <w:rPr>
          <w:rFonts w:ascii="Arial" w:hAnsi="Arial" w:cs="Arial"/>
          <w:b/>
          <w:sz w:val="22"/>
          <w:szCs w:val="22"/>
        </w:rPr>
        <w:t xml:space="preserve"> od roku 2012 nově povinnosti účetních jednotek ve vztahu k</w:t>
      </w:r>
      <w:r w:rsidR="00591B0C">
        <w:rPr>
          <w:rFonts w:ascii="Arial" w:hAnsi="Arial" w:cs="Arial"/>
          <w:b/>
          <w:sz w:val="22"/>
          <w:szCs w:val="22"/>
        </w:rPr>
        <w:t> </w:t>
      </w:r>
      <w:r w:rsidRPr="0038768C">
        <w:rPr>
          <w:rFonts w:ascii="Arial" w:hAnsi="Arial" w:cs="Arial"/>
          <w:b/>
          <w:sz w:val="22"/>
          <w:szCs w:val="22"/>
        </w:rPr>
        <w:t>PAP</w:t>
      </w:r>
      <w:r w:rsidR="00591B0C">
        <w:rPr>
          <w:rFonts w:ascii="Arial" w:hAnsi="Arial" w:cs="Arial"/>
          <w:b/>
          <w:sz w:val="22"/>
          <w:szCs w:val="22"/>
        </w:rPr>
        <w:t>,</w:t>
      </w:r>
      <w:r w:rsidRPr="0038768C">
        <w:rPr>
          <w:rFonts w:ascii="Arial" w:hAnsi="Arial" w:cs="Arial"/>
          <w:b/>
          <w:sz w:val="22"/>
          <w:szCs w:val="22"/>
        </w:rPr>
        <w:t xml:space="preserve"> byla vydána ve Sbírce zákonů 28. prosince 2011. Účetní jednotky tak měly</w:t>
      </w:r>
      <w:r w:rsidR="00BF0C90">
        <w:rPr>
          <w:rFonts w:ascii="Arial" w:hAnsi="Arial" w:cs="Arial"/>
          <w:b/>
          <w:sz w:val="22"/>
          <w:szCs w:val="22"/>
        </w:rPr>
        <w:t xml:space="preserve"> jen</w:t>
      </w:r>
      <w:r w:rsidRPr="0038768C">
        <w:rPr>
          <w:rFonts w:ascii="Arial" w:hAnsi="Arial" w:cs="Arial"/>
          <w:b/>
          <w:sz w:val="22"/>
          <w:szCs w:val="22"/>
        </w:rPr>
        <w:t xml:space="preserve"> 4 dny</w:t>
      </w:r>
      <w:r w:rsidR="00BF0C90">
        <w:rPr>
          <w:rFonts w:ascii="Arial" w:hAnsi="Arial" w:cs="Arial"/>
          <w:b/>
          <w:sz w:val="22"/>
          <w:szCs w:val="22"/>
        </w:rPr>
        <w:t xml:space="preserve"> k tomu, aby se mohl</w:t>
      </w:r>
      <w:r w:rsidR="00A006BB">
        <w:rPr>
          <w:rFonts w:ascii="Arial" w:hAnsi="Arial" w:cs="Arial"/>
          <w:b/>
          <w:sz w:val="22"/>
          <w:szCs w:val="22"/>
        </w:rPr>
        <w:t>y</w:t>
      </w:r>
      <w:r w:rsidR="00BF0C90">
        <w:rPr>
          <w:rFonts w:ascii="Arial" w:hAnsi="Arial" w:cs="Arial"/>
          <w:b/>
          <w:sz w:val="22"/>
          <w:szCs w:val="22"/>
        </w:rPr>
        <w:t xml:space="preserve"> seznámit s jejím obsahem a</w:t>
      </w:r>
      <w:r w:rsidR="00AF62D2">
        <w:rPr>
          <w:rFonts w:ascii="Arial" w:hAnsi="Arial" w:cs="Arial"/>
          <w:b/>
          <w:sz w:val="22"/>
          <w:szCs w:val="22"/>
        </w:rPr>
        <w:t> </w:t>
      </w:r>
      <w:r w:rsidR="00BF0C90">
        <w:rPr>
          <w:rFonts w:ascii="Arial" w:hAnsi="Arial" w:cs="Arial"/>
          <w:b/>
          <w:sz w:val="22"/>
          <w:szCs w:val="22"/>
        </w:rPr>
        <w:t>provést potřebná organizační a technická opatření</w:t>
      </w:r>
      <w:r w:rsidR="006F2537">
        <w:rPr>
          <w:rFonts w:ascii="Arial" w:hAnsi="Arial" w:cs="Arial"/>
          <w:b/>
          <w:sz w:val="22"/>
          <w:szCs w:val="22"/>
        </w:rPr>
        <w:t xml:space="preserve">. </w:t>
      </w:r>
      <w:r w:rsidRPr="00DA7D84">
        <w:rPr>
          <w:rFonts w:ascii="Arial" w:hAnsi="Arial" w:cs="Arial"/>
          <w:bCs/>
          <w:iCs/>
          <w:sz w:val="22"/>
          <w:szCs w:val="22"/>
        </w:rPr>
        <w:t xml:space="preserve">Přitom administrativní a organizační náročnost týkající se sběru ekonomických informací se u vybraných účetních jednotek výrazně zvýšila. </w:t>
      </w:r>
      <w:r w:rsidR="001B4C27">
        <w:rPr>
          <w:rFonts w:ascii="Arial" w:hAnsi="Arial" w:cs="Arial"/>
          <w:bCs/>
          <w:iCs/>
          <w:sz w:val="22"/>
          <w:szCs w:val="22"/>
        </w:rPr>
        <w:t xml:space="preserve">Např. </w:t>
      </w:r>
      <w:r w:rsidRPr="00DA7D84">
        <w:rPr>
          <w:rFonts w:ascii="Arial" w:hAnsi="Arial" w:cs="Arial"/>
          <w:bCs/>
          <w:iCs/>
          <w:sz w:val="22"/>
          <w:szCs w:val="22"/>
        </w:rPr>
        <w:t xml:space="preserve">MPO prostřednictvím </w:t>
      </w:r>
      <w:r w:rsidRPr="00DA7D84">
        <w:rPr>
          <w:rFonts w:ascii="Arial" w:hAnsi="Arial" w:cs="Arial"/>
          <w:sz w:val="22"/>
          <w:szCs w:val="22"/>
        </w:rPr>
        <w:t xml:space="preserve">PAP předalo ve stavu k 31. prosinci 2012 </w:t>
      </w:r>
      <w:r w:rsidRPr="00DA7D84">
        <w:rPr>
          <w:rFonts w:ascii="Arial" w:hAnsi="Arial" w:cs="Arial"/>
          <w:bCs/>
          <w:iCs/>
          <w:sz w:val="22"/>
          <w:szCs w:val="22"/>
        </w:rPr>
        <w:t xml:space="preserve">do CSÚIS více </w:t>
      </w:r>
      <w:r w:rsidR="00591B0C">
        <w:rPr>
          <w:rFonts w:ascii="Arial" w:hAnsi="Arial" w:cs="Arial"/>
          <w:bCs/>
          <w:iCs/>
          <w:sz w:val="22"/>
          <w:szCs w:val="22"/>
        </w:rPr>
        <w:t>než</w:t>
      </w:r>
      <w:r w:rsidRPr="00DA7D84">
        <w:rPr>
          <w:rFonts w:ascii="Arial" w:hAnsi="Arial" w:cs="Arial"/>
          <w:bCs/>
          <w:iCs/>
          <w:sz w:val="22"/>
          <w:szCs w:val="22"/>
        </w:rPr>
        <w:t xml:space="preserve"> třicetinásobek údajů o rozvahových a výsledkových účtech </w:t>
      </w:r>
      <w:r w:rsidR="00591B0C">
        <w:rPr>
          <w:rFonts w:ascii="Arial" w:hAnsi="Arial" w:cs="Arial"/>
          <w:bCs/>
          <w:iCs/>
          <w:sz w:val="22"/>
          <w:szCs w:val="22"/>
        </w:rPr>
        <w:t xml:space="preserve">ve srovnání s počtem </w:t>
      </w:r>
      <w:r w:rsidRPr="00DA7D84">
        <w:rPr>
          <w:rFonts w:ascii="Arial" w:hAnsi="Arial" w:cs="Arial"/>
          <w:bCs/>
          <w:iCs/>
          <w:sz w:val="22"/>
          <w:szCs w:val="22"/>
        </w:rPr>
        <w:t>údajů, které předalo</w:t>
      </w:r>
      <w:r w:rsidR="00724F3E">
        <w:rPr>
          <w:rFonts w:ascii="Arial" w:hAnsi="Arial" w:cs="Arial"/>
          <w:bCs/>
          <w:iCs/>
          <w:sz w:val="22"/>
          <w:szCs w:val="22"/>
        </w:rPr>
        <w:t xml:space="preserve"> </w:t>
      </w:r>
      <w:r w:rsidRPr="00DA7D84">
        <w:rPr>
          <w:rFonts w:ascii="Arial" w:hAnsi="Arial" w:cs="Arial"/>
          <w:bCs/>
          <w:iCs/>
          <w:sz w:val="22"/>
          <w:szCs w:val="22"/>
        </w:rPr>
        <w:t>prostřednictvím výkaz</w:t>
      </w:r>
      <w:r w:rsidR="00591B0C">
        <w:rPr>
          <w:rFonts w:ascii="Arial" w:hAnsi="Arial" w:cs="Arial"/>
          <w:bCs/>
          <w:iCs/>
          <w:sz w:val="22"/>
          <w:szCs w:val="22"/>
        </w:rPr>
        <w:t>u</w:t>
      </w:r>
      <w:r w:rsidRPr="00DA7D84">
        <w:rPr>
          <w:rFonts w:ascii="Arial" w:hAnsi="Arial" w:cs="Arial"/>
          <w:bCs/>
          <w:iCs/>
          <w:sz w:val="22"/>
          <w:szCs w:val="22"/>
        </w:rPr>
        <w:t xml:space="preserve"> </w:t>
      </w:r>
      <w:r w:rsidR="00591B0C">
        <w:rPr>
          <w:rFonts w:ascii="Arial" w:hAnsi="Arial" w:cs="Arial"/>
          <w:bCs/>
          <w:iCs/>
          <w:sz w:val="22"/>
          <w:szCs w:val="22"/>
        </w:rPr>
        <w:t>r</w:t>
      </w:r>
      <w:r w:rsidRPr="00DA7D84">
        <w:rPr>
          <w:rFonts w:ascii="Arial" w:hAnsi="Arial" w:cs="Arial"/>
          <w:bCs/>
          <w:iCs/>
          <w:sz w:val="22"/>
          <w:szCs w:val="22"/>
        </w:rPr>
        <w:t xml:space="preserve">ozvaha a </w:t>
      </w:r>
      <w:r w:rsidR="00591B0C">
        <w:rPr>
          <w:rFonts w:ascii="Arial" w:hAnsi="Arial" w:cs="Arial"/>
          <w:bCs/>
          <w:iCs/>
          <w:sz w:val="22"/>
          <w:szCs w:val="22"/>
        </w:rPr>
        <w:t>v</w:t>
      </w:r>
      <w:r w:rsidRPr="00DA7D84">
        <w:rPr>
          <w:rFonts w:ascii="Arial" w:hAnsi="Arial" w:cs="Arial"/>
          <w:bCs/>
          <w:iCs/>
          <w:sz w:val="22"/>
          <w:szCs w:val="22"/>
        </w:rPr>
        <w:t>ýkaz</w:t>
      </w:r>
      <w:r w:rsidR="00591B0C">
        <w:rPr>
          <w:rFonts w:ascii="Arial" w:hAnsi="Arial" w:cs="Arial"/>
          <w:bCs/>
          <w:iCs/>
          <w:sz w:val="22"/>
          <w:szCs w:val="22"/>
        </w:rPr>
        <w:t>u</w:t>
      </w:r>
      <w:r w:rsidRPr="00DA7D84">
        <w:rPr>
          <w:rFonts w:ascii="Arial" w:hAnsi="Arial" w:cs="Arial"/>
          <w:bCs/>
          <w:iCs/>
          <w:sz w:val="22"/>
          <w:szCs w:val="22"/>
        </w:rPr>
        <w:t xml:space="preserve"> zisku a ztráty. </w:t>
      </w:r>
    </w:p>
    <w:p w14:paraId="00D91909" w14:textId="77777777" w:rsidR="00F36DA2" w:rsidRPr="0038768C" w:rsidRDefault="00F36DA2" w:rsidP="00F36DA2">
      <w:pPr>
        <w:jc w:val="both"/>
        <w:rPr>
          <w:rFonts w:ascii="Arial" w:hAnsi="Arial" w:cs="Arial"/>
          <w:b/>
          <w:sz w:val="22"/>
          <w:szCs w:val="22"/>
        </w:rPr>
      </w:pPr>
    </w:p>
    <w:p w14:paraId="00D9190A" w14:textId="77777777" w:rsidR="00F36DA2" w:rsidRPr="0038768C" w:rsidRDefault="00F36DA2" w:rsidP="00F36DA2">
      <w:pPr>
        <w:jc w:val="both"/>
        <w:rPr>
          <w:rFonts w:ascii="Arial" w:hAnsi="Arial" w:cs="Arial"/>
          <w:b/>
          <w:sz w:val="22"/>
          <w:szCs w:val="22"/>
        </w:rPr>
      </w:pPr>
      <w:r w:rsidRPr="0038768C">
        <w:rPr>
          <w:rFonts w:ascii="Arial" w:hAnsi="Arial" w:cs="Arial"/>
          <w:b/>
          <w:sz w:val="22"/>
          <w:szCs w:val="22"/>
        </w:rPr>
        <w:t xml:space="preserve">Časový prostor poskytnutý pro aplikaci nových požadavků tak mohl mít u účetních jednotek do určité míry vliv na kvalitu a včasné zavádění systému sběru nových údajů pro PAP, na vytváření potřebných účinných kontrolních prvků a </w:t>
      </w:r>
      <w:r w:rsidR="00591B0C">
        <w:rPr>
          <w:rFonts w:ascii="Arial" w:hAnsi="Arial" w:cs="Arial"/>
          <w:b/>
          <w:sz w:val="22"/>
          <w:szCs w:val="22"/>
        </w:rPr>
        <w:t xml:space="preserve">na </w:t>
      </w:r>
      <w:r w:rsidRPr="0038768C">
        <w:rPr>
          <w:rFonts w:ascii="Arial" w:hAnsi="Arial" w:cs="Arial"/>
          <w:b/>
          <w:sz w:val="22"/>
          <w:szCs w:val="22"/>
        </w:rPr>
        <w:t>zajištění kapacit pro účinnou a správnou implementaci nových požadavků.</w:t>
      </w:r>
    </w:p>
    <w:p w14:paraId="00D9190B" w14:textId="77777777" w:rsidR="00F36DA2" w:rsidRDefault="00F36DA2" w:rsidP="00E00DF2">
      <w:pPr>
        <w:jc w:val="both"/>
        <w:rPr>
          <w:rFonts w:ascii="Arial" w:hAnsi="Arial" w:cs="Arial"/>
          <w:b/>
          <w:bCs/>
          <w:iCs/>
          <w:sz w:val="22"/>
          <w:szCs w:val="22"/>
        </w:rPr>
      </w:pPr>
    </w:p>
    <w:p w14:paraId="00D9190C" w14:textId="77777777" w:rsidR="007E13E9" w:rsidRPr="007C6D63" w:rsidRDefault="00F36DA2" w:rsidP="00CD68F4">
      <w:pPr>
        <w:jc w:val="both"/>
        <w:rPr>
          <w:rFonts w:ascii="Arial" w:hAnsi="Arial" w:cs="Arial"/>
          <w:b/>
          <w:sz w:val="22"/>
          <w:szCs w:val="22"/>
        </w:rPr>
      </w:pPr>
      <w:r w:rsidRPr="00DA7D84">
        <w:rPr>
          <w:rFonts w:ascii="Arial" w:hAnsi="Arial" w:cs="Arial"/>
          <w:sz w:val="22"/>
          <w:szCs w:val="22"/>
        </w:rPr>
        <w:t xml:space="preserve">Pomocný analytický přehled je zpracováván a předáván do </w:t>
      </w:r>
      <w:r w:rsidR="007E13E9" w:rsidRPr="00DA7D84">
        <w:rPr>
          <w:rFonts w:ascii="Arial" w:hAnsi="Arial" w:cs="Arial"/>
          <w:sz w:val="22"/>
          <w:szCs w:val="22"/>
        </w:rPr>
        <w:t>CSÚIS</w:t>
      </w:r>
      <w:r w:rsidRPr="00DA7D84">
        <w:rPr>
          <w:rFonts w:ascii="Arial" w:hAnsi="Arial" w:cs="Arial"/>
          <w:sz w:val="22"/>
          <w:szCs w:val="22"/>
        </w:rPr>
        <w:t xml:space="preserve"> pro účely monitorování a</w:t>
      </w:r>
      <w:r w:rsidR="00724F3E">
        <w:rPr>
          <w:rFonts w:ascii="Arial" w:hAnsi="Arial" w:cs="Arial"/>
          <w:sz w:val="22"/>
          <w:szCs w:val="22"/>
        </w:rPr>
        <w:t> </w:t>
      </w:r>
      <w:r w:rsidRPr="00DA7D84">
        <w:rPr>
          <w:rFonts w:ascii="Arial" w:hAnsi="Arial" w:cs="Arial"/>
          <w:sz w:val="22"/>
          <w:szCs w:val="22"/>
        </w:rPr>
        <w:t>řízení veřejných financí. Dle důvodové zprávy k novele vyhlášky č. 383/2009 Sb. by</w:t>
      </w:r>
      <w:r w:rsidRPr="00CE1A2C">
        <w:rPr>
          <w:rFonts w:ascii="Arial" w:hAnsi="Arial" w:cs="Arial"/>
          <w:b/>
          <w:sz w:val="22"/>
          <w:szCs w:val="22"/>
        </w:rPr>
        <w:t xml:space="preserve"> údaje v něm uvedené měly sloužit pro potřeby plnění závazků České republiky vůči EU,</w:t>
      </w:r>
      <w:r>
        <w:rPr>
          <w:rFonts w:ascii="Arial" w:hAnsi="Arial" w:cs="Arial"/>
          <w:b/>
          <w:sz w:val="22"/>
          <w:szCs w:val="22"/>
        </w:rPr>
        <w:t xml:space="preserve"> k</w:t>
      </w:r>
      <w:r w:rsidR="00724F3E">
        <w:rPr>
          <w:rFonts w:ascii="Arial" w:hAnsi="Arial" w:cs="Arial"/>
          <w:b/>
          <w:sz w:val="22"/>
          <w:szCs w:val="22"/>
        </w:rPr>
        <w:t> </w:t>
      </w:r>
      <w:r w:rsidRPr="00CE1A2C">
        <w:rPr>
          <w:rFonts w:ascii="Arial" w:hAnsi="Arial" w:cs="Arial"/>
          <w:b/>
          <w:sz w:val="22"/>
          <w:szCs w:val="22"/>
        </w:rPr>
        <w:t>predikci vládního deficitu a dluhu,</w:t>
      </w:r>
      <w:r w:rsidR="00591B0C">
        <w:rPr>
          <w:rStyle w:val="Znakapoznpodarou"/>
          <w:rFonts w:ascii="Arial" w:hAnsi="Arial" w:cs="Arial"/>
          <w:b/>
          <w:sz w:val="22"/>
          <w:szCs w:val="22"/>
        </w:rPr>
        <w:footnoteReference w:id="21"/>
      </w:r>
      <w:r w:rsidRPr="00CE1A2C">
        <w:rPr>
          <w:rFonts w:ascii="Arial" w:hAnsi="Arial" w:cs="Arial"/>
          <w:b/>
          <w:sz w:val="22"/>
          <w:szCs w:val="22"/>
        </w:rPr>
        <w:t xml:space="preserve"> řízení veřejných financí za účelem dosahování </w:t>
      </w:r>
      <w:r w:rsidRPr="00CE1A2C">
        <w:rPr>
          <w:rFonts w:ascii="Arial" w:hAnsi="Arial" w:cs="Arial"/>
          <w:b/>
          <w:sz w:val="22"/>
          <w:szCs w:val="22"/>
        </w:rPr>
        <w:lastRenderedPageBreak/>
        <w:t>vládních deficitů deklarovaných v </w:t>
      </w:r>
      <w:r w:rsidRPr="00260B0C">
        <w:rPr>
          <w:rFonts w:ascii="Arial" w:hAnsi="Arial" w:cs="Arial"/>
          <w:b/>
          <w:i/>
          <w:sz w:val="22"/>
          <w:szCs w:val="22"/>
        </w:rPr>
        <w:t>Konvergenčním programu</w:t>
      </w:r>
      <w:r w:rsidRPr="00CE1A2C">
        <w:rPr>
          <w:rFonts w:ascii="Arial" w:hAnsi="Arial" w:cs="Arial"/>
          <w:b/>
          <w:sz w:val="22"/>
          <w:szCs w:val="22"/>
        </w:rPr>
        <w:t xml:space="preserve"> a pro plnění vykazovacích povinností České republiky vůči mezinárodním institucím, zejména Evropské komisi zastoupené Eurostatem. Pro tyto účely má</w:t>
      </w:r>
      <w:r w:rsidR="006F2537">
        <w:rPr>
          <w:rFonts w:ascii="Arial" w:hAnsi="Arial" w:cs="Arial"/>
          <w:b/>
          <w:sz w:val="22"/>
          <w:szCs w:val="22"/>
        </w:rPr>
        <w:t xml:space="preserve"> zásadní</w:t>
      </w:r>
      <w:r>
        <w:rPr>
          <w:rFonts w:ascii="Arial" w:hAnsi="Arial" w:cs="Arial"/>
          <w:b/>
          <w:sz w:val="22"/>
          <w:szCs w:val="22"/>
        </w:rPr>
        <w:t xml:space="preserve"> význam</w:t>
      </w:r>
      <w:r w:rsidRPr="00CE1A2C">
        <w:rPr>
          <w:rFonts w:ascii="Arial" w:hAnsi="Arial" w:cs="Arial"/>
          <w:b/>
          <w:sz w:val="22"/>
          <w:szCs w:val="22"/>
        </w:rPr>
        <w:t xml:space="preserve"> kvalita</w:t>
      </w:r>
      <w:r>
        <w:rPr>
          <w:rStyle w:val="Znakapoznpodarou"/>
          <w:rFonts w:ascii="Arial" w:hAnsi="Arial" w:cs="Arial"/>
          <w:b/>
          <w:sz w:val="22"/>
          <w:szCs w:val="22"/>
        </w:rPr>
        <w:footnoteReference w:id="22"/>
      </w:r>
      <w:r w:rsidRPr="00CE1A2C">
        <w:rPr>
          <w:rFonts w:ascii="Arial" w:hAnsi="Arial" w:cs="Arial"/>
          <w:b/>
          <w:sz w:val="22"/>
          <w:szCs w:val="22"/>
        </w:rPr>
        <w:t xml:space="preserve"> údajů v</w:t>
      </w:r>
      <w:r>
        <w:rPr>
          <w:rFonts w:ascii="Arial" w:hAnsi="Arial" w:cs="Arial"/>
          <w:b/>
          <w:sz w:val="22"/>
          <w:szCs w:val="22"/>
        </w:rPr>
        <w:t> </w:t>
      </w:r>
      <w:r w:rsidRPr="00CE1A2C">
        <w:rPr>
          <w:rFonts w:ascii="Arial" w:hAnsi="Arial" w:cs="Arial"/>
          <w:b/>
          <w:sz w:val="22"/>
          <w:szCs w:val="22"/>
        </w:rPr>
        <w:t>PAP</w:t>
      </w:r>
      <w:r>
        <w:rPr>
          <w:rFonts w:ascii="Arial" w:hAnsi="Arial" w:cs="Arial"/>
          <w:b/>
          <w:sz w:val="22"/>
          <w:szCs w:val="22"/>
        </w:rPr>
        <w:t>.</w:t>
      </w:r>
      <w:r w:rsidR="007C6D63">
        <w:rPr>
          <w:rFonts w:ascii="Arial" w:hAnsi="Arial" w:cs="Arial"/>
          <w:b/>
          <w:sz w:val="22"/>
          <w:szCs w:val="22"/>
        </w:rPr>
        <w:t xml:space="preserve"> </w:t>
      </w:r>
      <w:r>
        <w:rPr>
          <w:rFonts w:ascii="Arial" w:hAnsi="Arial" w:cs="Arial"/>
          <w:b/>
          <w:bCs/>
          <w:iCs/>
          <w:sz w:val="22"/>
          <w:szCs w:val="22"/>
        </w:rPr>
        <w:t xml:space="preserve">Z obsahu důvodové zprávy vyplývá, že jde o úpravu tak závažných skutečností, že mohou vznikat pochybnosti o tom, zda je </w:t>
      </w:r>
      <w:r w:rsidR="006F2537">
        <w:rPr>
          <w:rFonts w:ascii="Arial" w:hAnsi="Arial" w:cs="Arial"/>
          <w:b/>
          <w:bCs/>
          <w:iCs/>
          <w:sz w:val="22"/>
          <w:szCs w:val="22"/>
        </w:rPr>
        <w:t>dostačující</w:t>
      </w:r>
      <w:r>
        <w:rPr>
          <w:rFonts w:ascii="Arial" w:hAnsi="Arial" w:cs="Arial"/>
          <w:b/>
          <w:bCs/>
          <w:iCs/>
          <w:sz w:val="22"/>
          <w:szCs w:val="22"/>
        </w:rPr>
        <w:t>, aby byly upraveny pouze podzákonným právním předpisem.</w:t>
      </w:r>
      <w:r w:rsidR="00CD68F4">
        <w:rPr>
          <w:rFonts w:ascii="Arial" w:hAnsi="Arial" w:cs="Arial"/>
          <w:b/>
          <w:bCs/>
          <w:iCs/>
          <w:sz w:val="22"/>
          <w:szCs w:val="22"/>
        </w:rPr>
        <w:t xml:space="preserve"> </w:t>
      </w:r>
    </w:p>
    <w:p w14:paraId="00D9190D" w14:textId="77777777" w:rsidR="007E13E9" w:rsidRDefault="007E13E9" w:rsidP="00CD68F4">
      <w:pPr>
        <w:jc w:val="both"/>
        <w:rPr>
          <w:rFonts w:ascii="Arial" w:hAnsi="Arial" w:cs="Arial"/>
          <w:b/>
          <w:bCs/>
          <w:iCs/>
          <w:sz w:val="22"/>
          <w:szCs w:val="22"/>
        </w:rPr>
      </w:pPr>
    </w:p>
    <w:p w14:paraId="00D9190E" w14:textId="77777777" w:rsidR="00CD68F4" w:rsidRPr="00DA7D84" w:rsidRDefault="009F047D" w:rsidP="00CD68F4">
      <w:pPr>
        <w:jc w:val="both"/>
        <w:rPr>
          <w:rFonts w:ascii="Arial" w:hAnsi="Arial" w:cs="Arial"/>
          <w:bCs/>
          <w:iCs/>
          <w:sz w:val="22"/>
          <w:szCs w:val="22"/>
        </w:rPr>
      </w:pPr>
      <w:r>
        <w:rPr>
          <w:rFonts w:ascii="Arial" w:hAnsi="Arial" w:cs="Arial"/>
          <w:b/>
          <w:bCs/>
          <w:iCs/>
          <w:sz w:val="22"/>
          <w:szCs w:val="22"/>
        </w:rPr>
        <w:t>K</w:t>
      </w:r>
      <w:r w:rsidR="00591B0C">
        <w:rPr>
          <w:rFonts w:ascii="Arial" w:hAnsi="Arial" w:cs="Arial"/>
          <w:b/>
          <w:bCs/>
          <w:iCs/>
          <w:sz w:val="22"/>
          <w:szCs w:val="22"/>
        </w:rPr>
        <w:t> </w:t>
      </w:r>
      <w:r w:rsidR="00CD68F4">
        <w:rPr>
          <w:rFonts w:ascii="Arial" w:hAnsi="Arial" w:cs="Arial"/>
          <w:b/>
          <w:bCs/>
          <w:iCs/>
          <w:sz w:val="22"/>
          <w:szCs w:val="22"/>
        </w:rPr>
        <w:t>aplikaci</w:t>
      </w:r>
      <w:r w:rsidR="00591B0C">
        <w:rPr>
          <w:rFonts w:ascii="Arial" w:hAnsi="Arial" w:cs="Arial"/>
          <w:b/>
          <w:bCs/>
          <w:iCs/>
          <w:sz w:val="22"/>
          <w:szCs w:val="22"/>
        </w:rPr>
        <w:t xml:space="preserve"> uvedené novely</w:t>
      </w:r>
      <w:r w:rsidR="00CD68F4">
        <w:rPr>
          <w:rFonts w:ascii="Arial" w:hAnsi="Arial" w:cs="Arial"/>
          <w:b/>
          <w:bCs/>
          <w:iCs/>
          <w:sz w:val="22"/>
          <w:szCs w:val="22"/>
        </w:rPr>
        <w:t xml:space="preserve"> byla </w:t>
      </w:r>
      <w:r w:rsidR="00591B0C">
        <w:rPr>
          <w:rFonts w:ascii="Arial" w:hAnsi="Arial" w:cs="Arial"/>
          <w:b/>
          <w:bCs/>
          <w:iCs/>
          <w:sz w:val="22"/>
          <w:szCs w:val="22"/>
        </w:rPr>
        <w:t>Ministerstvem financí</w:t>
      </w:r>
      <w:r w:rsidR="00CD68F4">
        <w:rPr>
          <w:rFonts w:ascii="Arial" w:hAnsi="Arial" w:cs="Arial"/>
          <w:b/>
          <w:bCs/>
          <w:iCs/>
          <w:sz w:val="22"/>
          <w:szCs w:val="22"/>
        </w:rPr>
        <w:t xml:space="preserve"> publikována </w:t>
      </w:r>
      <w:r w:rsidR="00CD68F4" w:rsidRPr="00260B0C">
        <w:rPr>
          <w:rFonts w:ascii="Arial" w:hAnsi="Arial" w:cs="Arial"/>
          <w:b/>
          <w:bCs/>
          <w:i/>
          <w:iCs/>
          <w:sz w:val="22"/>
          <w:szCs w:val="22"/>
        </w:rPr>
        <w:t>Metodika tvorby PAP</w:t>
      </w:r>
      <w:r w:rsidR="00CD68F4">
        <w:rPr>
          <w:rFonts w:ascii="Arial" w:hAnsi="Arial" w:cs="Arial"/>
          <w:b/>
          <w:bCs/>
          <w:iCs/>
          <w:sz w:val="22"/>
          <w:szCs w:val="22"/>
        </w:rPr>
        <w:t xml:space="preserve">. </w:t>
      </w:r>
      <w:r w:rsidR="00CD68F4">
        <w:rPr>
          <w:rFonts w:ascii="Arial" w:hAnsi="Arial" w:cs="Arial"/>
          <w:b/>
          <w:sz w:val="22"/>
          <w:szCs w:val="22"/>
        </w:rPr>
        <w:t xml:space="preserve">Podle názoru NKÚ je právní nezávaznost </w:t>
      </w:r>
      <w:r w:rsidR="00591B0C">
        <w:rPr>
          <w:rFonts w:ascii="Arial" w:hAnsi="Arial" w:cs="Arial"/>
          <w:b/>
          <w:sz w:val="22"/>
          <w:szCs w:val="22"/>
        </w:rPr>
        <w:t>této</w:t>
      </w:r>
      <w:r w:rsidR="006F2537">
        <w:rPr>
          <w:rFonts w:ascii="Arial" w:hAnsi="Arial" w:cs="Arial"/>
          <w:b/>
          <w:sz w:val="22"/>
          <w:szCs w:val="22"/>
        </w:rPr>
        <w:t xml:space="preserve"> metodiky</w:t>
      </w:r>
      <w:r w:rsidR="00CD68F4">
        <w:rPr>
          <w:rFonts w:ascii="Arial" w:hAnsi="Arial" w:cs="Arial"/>
          <w:b/>
          <w:sz w:val="22"/>
          <w:szCs w:val="22"/>
        </w:rPr>
        <w:t xml:space="preserve"> systémovým problémem. </w:t>
      </w:r>
      <w:r w:rsidR="00CD68F4" w:rsidRPr="00DA7D84">
        <w:rPr>
          <w:rFonts w:ascii="Arial" w:hAnsi="Arial" w:cs="Arial"/>
          <w:sz w:val="22"/>
          <w:szCs w:val="22"/>
        </w:rPr>
        <w:t xml:space="preserve">Pokud by účetní jednotky dle této metodiky nepostupovaly, údaje PAP by nebyly vytvářeny konzistentně a v důsledku toho by mohly být nesrovnatelné. Z důvodu nejednotné aplikace by pak byly v PAP uváděny nerelevantní údaje a výsledek, vytvořený souhrnem všech zpracovaných a do CSÚIS předaných údajů, by nemohl objektivně sloužit jako efektivní nástroj k monitorování a řízení veřejných financí, což by popíralo samotný smysl </w:t>
      </w:r>
      <w:r w:rsidR="007049E9">
        <w:rPr>
          <w:rFonts w:ascii="Arial" w:hAnsi="Arial" w:cs="Arial"/>
          <w:sz w:val="22"/>
          <w:szCs w:val="22"/>
        </w:rPr>
        <w:t xml:space="preserve">vytváření </w:t>
      </w:r>
      <w:r w:rsidR="00CD68F4" w:rsidRPr="00DA7D84">
        <w:rPr>
          <w:rFonts w:ascii="Arial" w:hAnsi="Arial" w:cs="Arial"/>
          <w:sz w:val="22"/>
          <w:szCs w:val="22"/>
        </w:rPr>
        <w:t>a</w:t>
      </w:r>
      <w:r w:rsidR="00260B0C">
        <w:rPr>
          <w:rFonts w:ascii="Arial" w:hAnsi="Arial" w:cs="Arial"/>
          <w:sz w:val="22"/>
          <w:szCs w:val="22"/>
        </w:rPr>
        <w:t> </w:t>
      </w:r>
      <w:r w:rsidR="00CD68F4" w:rsidRPr="00DA7D84">
        <w:rPr>
          <w:rFonts w:ascii="Arial" w:hAnsi="Arial" w:cs="Arial"/>
          <w:sz w:val="22"/>
          <w:szCs w:val="22"/>
        </w:rPr>
        <w:t>předávání PAP.</w:t>
      </w:r>
    </w:p>
    <w:p w14:paraId="00D9190F" w14:textId="77777777" w:rsidR="00CD68F4" w:rsidRPr="003C1531" w:rsidRDefault="00CD68F4" w:rsidP="00CD68F4">
      <w:pPr>
        <w:tabs>
          <w:tab w:val="left" w:pos="720"/>
        </w:tabs>
        <w:autoSpaceDE w:val="0"/>
        <w:autoSpaceDN w:val="0"/>
        <w:adjustRightInd w:val="0"/>
        <w:jc w:val="both"/>
        <w:rPr>
          <w:rFonts w:ascii="Arial" w:hAnsi="Arial" w:cs="Arial"/>
          <w:b/>
          <w:sz w:val="22"/>
          <w:szCs w:val="22"/>
        </w:rPr>
      </w:pPr>
    </w:p>
    <w:p w14:paraId="00D91910" w14:textId="77777777" w:rsidR="00F9285E" w:rsidRPr="007C6D63" w:rsidRDefault="00CD68F4" w:rsidP="007C6D63">
      <w:pPr>
        <w:pStyle w:val="Odstavecseseznamem"/>
        <w:ind w:left="0"/>
        <w:jc w:val="both"/>
        <w:rPr>
          <w:rFonts w:ascii="Arial" w:hAnsi="Arial" w:cs="Arial"/>
          <w:bCs/>
          <w:iCs/>
          <w:sz w:val="22"/>
          <w:szCs w:val="22"/>
        </w:rPr>
      </w:pPr>
      <w:r>
        <w:rPr>
          <w:rFonts w:ascii="Arial" w:hAnsi="Arial" w:cs="Arial"/>
          <w:sz w:val="22"/>
          <w:szCs w:val="22"/>
        </w:rPr>
        <w:t>V této souvislosti je nutné</w:t>
      </w:r>
      <w:r w:rsidR="007C6D63">
        <w:rPr>
          <w:rFonts w:ascii="Arial" w:hAnsi="Arial" w:cs="Arial"/>
          <w:sz w:val="22"/>
          <w:szCs w:val="22"/>
        </w:rPr>
        <w:t xml:space="preserve"> </w:t>
      </w:r>
      <w:r>
        <w:rPr>
          <w:rFonts w:ascii="Arial" w:hAnsi="Arial" w:cs="Arial"/>
          <w:sz w:val="22"/>
          <w:szCs w:val="22"/>
        </w:rPr>
        <w:t xml:space="preserve">upozornit </w:t>
      </w:r>
      <w:r w:rsidR="002B3A3A">
        <w:rPr>
          <w:rFonts w:ascii="Arial" w:hAnsi="Arial" w:cs="Arial"/>
          <w:sz w:val="22"/>
          <w:szCs w:val="22"/>
        </w:rPr>
        <w:t xml:space="preserve">také </w:t>
      </w:r>
      <w:r>
        <w:rPr>
          <w:rFonts w:ascii="Arial" w:hAnsi="Arial" w:cs="Arial"/>
          <w:sz w:val="22"/>
          <w:szCs w:val="22"/>
        </w:rPr>
        <w:t xml:space="preserve">na skutečnost, že </w:t>
      </w:r>
      <w:r w:rsidRPr="00DA7D84">
        <w:rPr>
          <w:rFonts w:ascii="Arial" w:hAnsi="Arial" w:cs="Arial"/>
          <w:b/>
          <w:sz w:val="22"/>
          <w:szCs w:val="22"/>
        </w:rPr>
        <w:t xml:space="preserve">právní předpisy ani </w:t>
      </w:r>
      <w:r w:rsidRPr="00260B0C">
        <w:rPr>
          <w:rFonts w:ascii="Arial" w:hAnsi="Arial" w:cs="Arial"/>
          <w:b/>
          <w:i/>
          <w:sz w:val="22"/>
          <w:szCs w:val="22"/>
        </w:rPr>
        <w:t>Metodika tvorby PAP</w:t>
      </w:r>
      <w:r w:rsidRPr="00DA7D84">
        <w:rPr>
          <w:rFonts w:ascii="Arial" w:hAnsi="Arial" w:cs="Arial"/>
          <w:b/>
          <w:sz w:val="22"/>
          <w:szCs w:val="22"/>
        </w:rPr>
        <w:t xml:space="preserve"> neřeší způsob promítnutí účetních oprav do údajů PAP</w:t>
      </w:r>
      <w:r w:rsidRPr="00260B0C">
        <w:rPr>
          <w:rFonts w:ascii="Arial" w:hAnsi="Arial" w:cs="Arial"/>
          <w:b/>
          <w:sz w:val="22"/>
          <w:szCs w:val="22"/>
        </w:rPr>
        <w:t>.</w:t>
      </w:r>
      <w:r w:rsidRPr="00260B0C">
        <w:rPr>
          <w:rFonts w:ascii="Arial" w:hAnsi="Arial" w:cs="Arial"/>
          <w:b/>
          <w:bCs/>
          <w:iCs/>
          <w:sz w:val="22"/>
          <w:szCs w:val="22"/>
        </w:rPr>
        <w:t xml:space="preserve"> </w:t>
      </w:r>
      <w:r w:rsidR="00DA7D84" w:rsidRPr="00DA7D84">
        <w:rPr>
          <w:rFonts w:ascii="Arial" w:hAnsi="Arial" w:cs="Arial"/>
          <w:b/>
          <w:bCs/>
          <w:iCs/>
          <w:sz w:val="22"/>
          <w:szCs w:val="22"/>
        </w:rPr>
        <w:t>Navíc v</w:t>
      </w:r>
      <w:r w:rsidR="00F9285E" w:rsidRPr="00DA7D84">
        <w:rPr>
          <w:rFonts w:ascii="Arial" w:hAnsi="Arial" w:cs="Arial"/>
          <w:b/>
          <w:sz w:val="22"/>
          <w:szCs w:val="22"/>
        </w:rPr>
        <w:t> roce</w:t>
      </w:r>
      <w:r w:rsidR="00F9285E">
        <w:rPr>
          <w:rFonts w:ascii="Arial" w:hAnsi="Arial" w:cs="Arial"/>
          <w:b/>
          <w:sz w:val="22"/>
          <w:szCs w:val="22"/>
        </w:rPr>
        <w:t xml:space="preserve"> 2012 přetrvávaly</w:t>
      </w:r>
      <w:r w:rsidR="007C6D63">
        <w:rPr>
          <w:rFonts w:ascii="Arial" w:hAnsi="Arial" w:cs="Arial"/>
          <w:b/>
          <w:sz w:val="22"/>
          <w:szCs w:val="22"/>
        </w:rPr>
        <w:t xml:space="preserve"> i</w:t>
      </w:r>
      <w:r w:rsidR="00F9285E">
        <w:rPr>
          <w:rFonts w:ascii="Arial" w:hAnsi="Arial" w:cs="Arial"/>
          <w:b/>
          <w:sz w:val="22"/>
          <w:szCs w:val="22"/>
        </w:rPr>
        <w:t xml:space="preserve"> některé aplikační nejasnosti účetní regulace, které se následně </w:t>
      </w:r>
      <w:r w:rsidR="002B3A3A">
        <w:rPr>
          <w:rFonts w:ascii="Arial" w:hAnsi="Arial" w:cs="Arial"/>
          <w:b/>
          <w:sz w:val="22"/>
          <w:szCs w:val="22"/>
        </w:rPr>
        <w:t>promítaly</w:t>
      </w:r>
      <w:r w:rsidR="00F9285E">
        <w:rPr>
          <w:rFonts w:ascii="Arial" w:hAnsi="Arial" w:cs="Arial"/>
          <w:b/>
          <w:bCs/>
          <w:iCs/>
          <w:sz w:val="22"/>
          <w:szCs w:val="22"/>
        </w:rPr>
        <w:t xml:space="preserve"> do údajů PAP.</w:t>
      </w:r>
      <w:r w:rsidR="007C6D63" w:rsidRPr="007C6D63">
        <w:rPr>
          <w:rFonts w:ascii="Arial" w:hAnsi="Arial" w:cs="Arial"/>
          <w:bCs/>
          <w:iCs/>
          <w:sz w:val="22"/>
          <w:szCs w:val="22"/>
        </w:rPr>
        <w:t xml:space="preserve"> </w:t>
      </w:r>
      <w:r w:rsidR="007C6D63">
        <w:rPr>
          <w:rFonts w:ascii="Arial" w:hAnsi="Arial" w:cs="Arial"/>
          <w:bCs/>
          <w:iCs/>
          <w:sz w:val="22"/>
          <w:szCs w:val="22"/>
        </w:rPr>
        <w:t xml:space="preserve">Přitom na kvalitě údajů z účetnictví přímo závisí i kvalita, resp. vypovídací schopnost a použitelnost údajů PAP. </w:t>
      </w:r>
      <w:r w:rsidR="004E2E7C">
        <w:rPr>
          <w:rFonts w:ascii="Arial" w:hAnsi="Arial" w:cs="Arial"/>
          <w:b/>
          <w:bCs/>
          <w:sz w:val="22"/>
          <w:szCs w:val="22"/>
        </w:rPr>
        <w:t>P</w:t>
      </w:r>
      <w:r w:rsidR="00F9285E">
        <w:rPr>
          <w:rFonts w:ascii="Arial" w:hAnsi="Arial" w:cs="Arial"/>
          <w:b/>
          <w:bCs/>
          <w:sz w:val="22"/>
          <w:szCs w:val="22"/>
        </w:rPr>
        <w:t>ro</w:t>
      </w:r>
      <w:r w:rsidRPr="00995715">
        <w:rPr>
          <w:rFonts w:ascii="Arial" w:hAnsi="Arial" w:cs="Arial"/>
          <w:b/>
          <w:bCs/>
          <w:sz w:val="22"/>
          <w:szCs w:val="22"/>
        </w:rPr>
        <w:t xml:space="preserve"> PAP je oproti účetní závěrce důležitá existence detailnější, unifikovanější a rozsáhlejší účetní regulace</w:t>
      </w:r>
      <w:r w:rsidR="002B3A3A">
        <w:rPr>
          <w:rFonts w:ascii="Arial" w:hAnsi="Arial" w:cs="Arial"/>
          <w:b/>
          <w:bCs/>
          <w:sz w:val="22"/>
          <w:szCs w:val="22"/>
        </w:rPr>
        <w:t>,</w:t>
      </w:r>
      <w:r w:rsidRPr="00995715">
        <w:rPr>
          <w:rFonts w:ascii="Arial" w:hAnsi="Arial" w:cs="Arial"/>
          <w:b/>
          <w:bCs/>
          <w:sz w:val="22"/>
          <w:szCs w:val="22"/>
        </w:rPr>
        <w:t xml:space="preserve"> a to až do úrovně postupů účtování na sledovaných účtech</w:t>
      </w:r>
      <w:r w:rsidR="00433D6B">
        <w:rPr>
          <w:rFonts w:ascii="Arial" w:hAnsi="Arial" w:cs="Arial"/>
          <w:b/>
          <w:bCs/>
          <w:sz w:val="22"/>
          <w:szCs w:val="22"/>
        </w:rPr>
        <w:t xml:space="preserve">, </w:t>
      </w:r>
      <w:r w:rsidR="00433D6B" w:rsidRPr="00DA7D84">
        <w:rPr>
          <w:rFonts w:ascii="Arial" w:hAnsi="Arial" w:cs="Arial"/>
          <w:bCs/>
          <w:sz w:val="22"/>
          <w:szCs w:val="22"/>
        </w:rPr>
        <w:t>ji</w:t>
      </w:r>
      <w:r w:rsidRPr="00DA7D84">
        <w:rPr>
          <w:rFonts w:ascii="Arial" w:hAnsi="Arial" w:cs="Arial"/>
          <w:bCs/>
          <w:sz w:val="22"/>
          <w:szCs w:val="22"/>
        </w:rPr>
        <w:t xml:space="preserve">nak existuje riziko, že údaje </w:t>
      </w:r>
      <w:r w:rsidR="002B3A3A">
        <w:rPr>
          <w:rFonts w:ascii="Arial" w:hAnsi="Arial" w:cs="Arial"/>
          <w:bCs/>
          <w:sz w:val="22"/>
          <w:szCs w:val="22"/>
        </w:rPr>
        <w:t>z</w:t>
      </w:r>
      <w:r w:rsidR="009F047D">
        <w:rPr>
          <w:rFonts w:ascii="Arial" w:hAnsi="Arial" w:cs="Arial"/>
          <w:bCs/>
          <w:sz w:val="22"/>
          <w:szCs w:val="22"/>
        </w:rPr>
        <w:t> </w:t>
      </w:r>
      <w:r w:rsidRPr="00DA7D84">
        <w:rPr>
          <w:rFonts w:ascii="Arial" w:hAnsi="Arial" w:cs="Arial"/>
          <w:bCs/>
          <w:sz w:val="22"/>
          <w:szCs w:val="22"/>
        </w:rPr>
        <w:t>PAP</w:t>
      </w:r>
      <w:r w:rsidR="002B3A3A">
        <w:rPr>
          <w:rFonts w:ascii="Arial" w:hAnsi="Arial" w:cs="Arial"/>
          <w:bCs/>
          <w:sz w:val="22"/>
          <w:szCs w:val="22"/>
        </w:rPr>
        <w:t>,</w:t>
      </w:r>
      <w:r w:rsidRPr="00DA7D84">
        <w:rPr>
          <w:rFonts w:ascii="Arial" w:hAnsi="Arial" w:cs="Arial"/>
          <w:bCs/>
          <w:sz w:val="22"/>
          <w:szCs w:val="22"/>
        </w:rPr>
        <w:t xml:space="preserve"> </w:t>
      </w:r>
      <w:r w:rsidR="00F9285E" w:rsidRPr="00DA7D84">
        <w:rPr>
          <w:rFonts w:ascii="Arial" w:hAnsi="Arial" w:cs="Arial"/>
          <w:bCs/>
          <w:sz w:val="22"/>
          <w:szCs w:val="22"/>
        </w:rPr>
        <w:t xml:space="preserve">a to zejména </w:t>
      </w:r>
      <w:r w:rsidRPr="00DA7D84">
        <w:rPr>
          <w:rFonts w:ascii="Arial" w:hAnsi="Arial" w:cs="Arial"/>
          <w:bCs/>
          <w:sz w:val="22"/>
          <w:szCs w:val="22"/>
        </w:rPr>
        <w:t>o</w:t>
      </w:r>
      <w:r w:rsidR="00724F3E">
        <w:rPr>
          <w:rFonts w:ascii="Arial" w:hAnsi="Arial" w:cs="Arial"/>
          <w:bCs/>
          <w:sz w:val="22"/>
          <w:szCs w:val="22"/>
        </w:rPr>
        <w:t> </w:t>
      </w:r>
      <w:r w:rsidRPr="00DA7D84">
        <w:rPr>
          <w:rFonts w:ascii="Arial" w:hAnsi="Arial" w:cs="Arial"/>
          <w:bCs/>
          <w:sz w:val="22"/>
          <w:szCs w:val="22"/>
        </w:rPr>
        <w:t>obratech na straně MD a na straně D</w:t>
      </w:r>
      <w:r w:rsidR="002B3A3A">
        <w:rPr>
          <w:rFonts w:ascii="Arial" w:hAnsi="Arial" w:cs="Arial"/>
          <w:bCs/>
          <w:sz w:val="22"/>
          <w:szCs w:val="22"/>
        </w:rPr>
        <w:t>,</w:t>
      </w:r>
      <w:r w:rsidRPr="00DA7D84">
        <w:rPr>
          <w:rFonts w:ascii="Arial" w:hAnsi="Arial" w:cs="Arial"/>
          <w:bCs/>
          <w:sz w:val="22"/>
          <w:szCs w:val="22"/>
        </w:rPr>
        <w:t xml:space="preserve"> </w:t>
      </w:r>
      <w:r w:rsidR="002B3A3A">
        <w:rPr>
          <w:rFonts w:ascii="Arial" w:hAnsi="Arial" w:cs="Arial"/>
          <w:bCs/>
          <w:sz w:val="22"/>
          <w:szCs w:val="22"/>
        </w:rPr>
        <w:t>nebude možné</w:t>
      </w:r>
      <w:r w:rsidRPr="00DA7D84">
        <w:rPr>
          <w:rFonts w:ascii="Arial" w:hAnsi="Arial" w:cs="Arial"/>
          <w:bCs/>
          <w:sz w:val="22"/>
          <w:szCs w:val="22"/>
        </w:rPr>
        <w:t xml:space="preserve"> mezi účetními jednotkami </w:t>
      </w:r>
      <w:r w:rsidR="002B3A3A">
        <w:rPr>
          <w:rFonts w:ascii="Arial" w:hAnsi="Arial" w:cs="Arial"/>
          <w:bCs/>
          <w:sz w:val="22"/>
          <w:szCs w:val="22"/>
        </w:rPr>
        <w:t>porovnat</w:t>
      </w:r>
      <w:r w:rsidRPr="00DA7D84">
        <w:rPr>
          <w:rFonts w:ascii="Arial" w:hAnsi="Arial" w:cs="Arial"/>
          <w:bCs/>
          <w:sz w:val="22"/>
          <w:szCs w:val="22"/>
        </w:rPr>
        <w:t>.</w:t>
      </w:r>
      <w:r w:rsidR="00F9285E" w:rsidRPr="00DA7D84">
        <w:rPr>
          <w:rFonts w:ascii="Arial" w:hAnsi="Arial" w:cs="Arial"/>
          <w:bCs/>
          <w:iCs/>
          <w:sz w:val="22"/>
          <w:szCs w:val="22"/>
        </w:rPr>
        <w:t xml:space="preserve"> </w:t>
      </w:r>
      <w:r w:rsidR="00433D6B" w:rsidRPr="00DA7D84">
        <w:rPr>
          <w:rFonts w:ascii="Arial" w:hAnsi="Arial" w:cs="Arial"/>
          <w:bCs/>
          <w:iCs/>
          <w:sz w:val="22"/>
          <w:szCs w:val="22"/>
        </w:rPr>
        <w:t>A</w:t>
      </w:r>
      <w:r w:rsidR="00F9285E" w:rsidRPr="00DA7D84">
        <w:rPr>
          <w:rFonts w:ascii="Arial" w:hAnsi="Arial" w:cs="Arial"/>
          <w:bCs/>
          <w:iCs/>
          <w:sz w:val="22"/>
          <w:szCs w:val="22"/>
        </w:rPr>
        <w:t xml:space="preserve">plikační nejasnosti </w:t>
      </w:r>
      <w:r w:rsidR="00433D6B" w:rsidRPr="00DA7D84">
        <w:rPr>
          <w:rFonts w:ascii="Arial" w:hAnsi="Arial" w:cs="Arial"/>
          <w:bCs/>
          <w:iCs/>
          <w:sz w:val="22"/>
          <w:szCs w:val="22"/>
        </w:rPr>
        <w:t>tak mohou</w:t>
      </w:r>
      <w:r w:rsidR="00F9285E" w:rsidRPr="00DA7D84">
        <w:rPr>
          <w:rFonts w:ascii="Arial" w:hAnsi="Arial" w:cs="Arial"/>
          <w:bCs/>
          <w:iCs/>
          <w:sz w:val="22"/>
          <w:szCs w:val="22"/>
        </w:rPr>
        <w:t xml:space="preserve"> způsobit, že účetní jednotky budou stejné</w:t>
      </w:r>
      <w:r w:rsidR="00433D6B" w:rsidRPr="00DA7D84">
        <w:rPr>
          <w:rFonts w:ascii="Arial" w:hAnsi="Arial" w:cs="Arial"/>
          <w:bCs/>
          <w:iCs/>
          <w:sz w:val="22"/>
          <w:szCs w:val="22"/>
        </w:rPr>
        <w:t xml:space="preserve"> účetní</w:t>
      </w:r>
      <w:r w:rsidR="00F9285E" w:rsidRPr="00DA7D84">
        <w:rPr>
          <w:rFonts w:ascii="Arial" w:hAnsi="Arial" w:cs="Arial"/>
          <w:bCs/>
          <w:iCs/>
          <w:sz w:val="22"/>
          <w:szCs w:val="22"/>
        </w:rPr>
        <w:t xml:space="preserve"> případy účtovat různě a údaje v PAP mohou být </w:t>
      </w:r>
      <w:r w:rsidR="002B3A3A">
        <w:rPr>
          <w:rFonts w:ascii="Arial" w:hAnsi="Arial" w:cs="Arial"/>
          <w:bCs/>
          <w:iCs/>
          <w:sz w:val="22"/>
          <w:szCs w:val="22"/>
        </w:rPr>
        <w:t xml:space="preserve">v důsledku toho </w:t>
      </w:r>
      <w:r w:rsidR="00F9285E" w:rsidRPr="00DA7D84">
        <w:rPr>
          <w:rFonts w:ascii="Arial" w:hAnsi="Arial" w:cs="Arial"/>
          <w:bCs/>
          <w:iCs/>
          <w:sz w:val="22"/>
          <w:szCs w:val="22"/>
        </w:rPr>
        <w:t>vzájemně nekonzistentní, nesrovnatelné</w:t>
      </w:r>
      <w:r w:rsidR="002B3A3A">
        <w:rPr>
          <w:rFonts w:ascii="Arial" w:hAnsi="Arial" w:cs="Arial"/>
          <w:bCs/>
          <w:iCs/>
          <w:sz w:val="22"/>
          <w:szCs w:val="22"/>
        </w:rPr>
        <w:t>,</w:t>
      </w:r>
      <w:r w:rsidR="00F9285E" w:rsidRPr="00DA7D84">
        <w:rPr>
          <w:rFonts w:ascii="Arial" w:hAnsi="Arial" w:cs="Arial"/>
          <w:bCs/>
          <w:iCs/>
          <w:sz w:val="22"/>
          <w:szCs w:val="22"/>
        </w:rPr>
        <w:t xml:space="preserve"> a tedy jen</w:t>
      </w:r>
      <w:r w:rsidR="000D46B4">
        <w:rPr>
          <w:rFonts w:ascii="Arial" w:hAnsi="Arial" w:cs="Arial"/>
          <w:bCs/>
          <w:iCs/>
          <w:sz w:val="22"/>
          <w:szCs w:val="22"/>
        </w:rPr>
        <w:t xml:space="preserve"> </w:t>
      </w:r>
      <w:r w:rsidR="00F9285E" w:rsidRPr="00DA7D84">
        <w:rPr>
          <w:rFonts w:ascii="Arial" w:hAnsi="Arial" w:cs="Arial"/>
          <w:bCs/>
          <w:iCs/>
          <w:sz w:val="22"/>
          <w:szCs w:val="22"/>
        </w:rPr>
        <w:t xml:space="preserve">obtížně použitelné pro řízení a monitorování veřejných financí. </w:t>
      </w:r>
      <w:r w:rsidR="00F9285E">
        <w:rPr>
          <w:rFonts w:ascii="Arial" w:hAnsi="Arial" w:cs="Arial"/>
          <w:b/>
          <w:sz w:val="22"/>
          <w:szCs w:val="22"/>
        </w:rPr>
        <w:t>N</w:t>
      </w:r>
      <w:r w:rsidR="00F9285E" w:rsidRPr="00F23FDA">
        <w:rPr>
          <w:rFonts w:ascii="Arial" w:hAnsi="Arial" w:cs="Arial"/>
          <w:b/>
          <w:sz w:val="22"/>
          <w:szCs w:val="22"/>
        </w:rPr>
        <w:t>ejasn</w:t>
      </w:r>
      <w:r w:rsidR="00F9285E">
        <w:rPr>
          <w:rFonts w:ascii="Arial" w:hAnsi="Arial" w:cs="Arial"/>
          <w:b/>
          <w:sz w:val="22"/>
          <w:szCs w:val="22"/>
        </w:rPr>
        <w:t>á aplikace</w:t>
      </w:r>
      <w:r w:rsidR="00F9285E" w:rsidRPr="00F23FDA">
        <w:rPr>
          <w:rFonts w:ascii="Arial" w:hAnsi="Arial" w:cs="Arial"/>
          <w:b/>
          <w:sz w:val="22"/>
          <w:szCs w:val="22"/>
        </w:rPr>
        <w:t xml:space="preserve"> účetní regulace</w:t>
      </w:r>
      <w:r w:rsidR="00F9285E">
        <w:rPr>
          <w:rFonts w:ascii="Arial" w:hAnsi="Arial" w:cs="Arial"/>
          <w:b/>
          <w:sz w:val="22"/>
          <w:szCs w:val="22"/>
        </w:rPr>
        <w:t xml:space="preserve"> a </w:t>
      </w:r>
      <w:r w:rsidR="009F047D">
        <w:rPr>
          <w:rFonts w:ascii="Arial" w:hAnsi="Arial" w:cs="Arial"/>
          <w:b/>
          <w:sz w:val="22"/>
          <w:szCs w:val="22"/>
        </w:rPr>
        <w:t>v </w:t>
      </w:r>
      <w:r w:rsidR="00F9285E">
        <w:rPr>
          <w:rFonts w:ascii="Arial" w:hAnsi="Arial" w:cs="Arial"/>
          <w:b/>
          <w:sz w:val="22"/>
          <w:szCs w:val="22"/>
        </w:rPr>
        <w:t>důsledku toho existence různých vý</w:t>
      </w:r>
      <w:r w:rsidR="004E2E7C">
        <w:rPr>
          <w:rFonts w:ascii="Arial" w:hAnsi="Arial" w:cs="Arial"/>
          <w:b/>
          <w:sz w:val="22"/>
          <w:szCs w:val="22"/>
        </w:rPr>
        <w:t xml:space="preserve">kladových řešení představují </w:t>
      </w:r>
      <w:r w:rsidR="00F9285E" w:rsidRPr="00F23FDA">
        <w:rPr>
          <w:rFonts w:ascii="Arial" w:hAnsi="Arial" w:cs="Arial"/>
          <w:b/>
          <w:sz w:val="22"/>
          <w:szCs w:val="22"/>
        </w:rPr>
        <w:t>systémové riziko pro</w:t>
      </w:r>
      <w:r w:rsidR="00DA7D84">
        <w:rPr>
          <w:rFonts w:ascii="Arial" w:hAnsi="Arial" w:cs="Arial"/>
          <w:b/>
          <w:sz w:val="22"/>
          <w:szCs w:val="22"/>
        </w:rPr>
        <w:t xml:space="preserve"> </w:t>
      </w:r>
      <w:r w:rsidR="00F9285E" w:rsidRPr="00F23FDA">
        <w:rPr>
          <w:rFonts w:ascii="Arial" w:hAnsi="Arial" w:cs="Arial"/>
          <w:b/>
          <w:sz w:val="22"/>
          <w:szCs w:val="22"/>
        </w:rPr>
        <w:t>použitelnost</w:t>
      </w:r>
      <w:r w:rsidR="00F9285E">
        <w:rPr>
          <w:rFonts w:ascii="Arial" w:hAnsi="Arial" w:cs="Arial"/>
          <w:b/>
          <w:sz w:val="22"/>
          <w:szCs w:val="22"/>
        </w:rPr>
        <w:t xml:space="preserve"> údajů</w:t>
      </w:r>
      <w:r w:rsidR="004E2E7C">
        <w:rPr>
          <w:rFonts w:ascii="Arial" w:hAnsi="Arial" w:cs="Arial"/>
          <w:b/>
          <w:sz w:val="22"/>
          <w:szCs w:val="22"/>
        </w:rPr>
        <w:t xml:space="preserve"> PAP</w:t>
      </w:r>
      <w:r w:rsidR="002B3A3A">
        <w:rPr>
          <w:rFonts w:ascii="Arial" w:hAnsi="Arial" w:cs="Arial"/>
          <w:b/>
          <w:sz w:val="22"/>
          <w:szCs w:val="22"/>
        </w:rPr>
        <w:t>,</w:t>
      </w:r>
      <w:r w:rsidR="00F9285E" w:rsidRPr="00F23FDA">
        <w:rPr>
          <w:rFonts w:ascii="Arial" w:hAnsi="Arial" w:cs="Arial"/>
          <w:b/>
          <w:sz w:val="22"/>
          <w:szCs w:val="22"/>
        </w:rPr>
        <w:t xml:space="preserve"> a</w:t>
      </w:r>
      <w:r w:rsidR="00F9285E">
        <w:rPr>
          <w:rFonts w:ascii="Arial" w:hAnsi="Arial" w:cs="Arial"/>
          <w:b/>
          <w:sz w:val="22"/>
          <w:szCs w:val="22"/>
        </w:rPr>
        <w:t xml:space="preserve"> </w:t>
      </w:r>
      <w:r w:rsidR="002B3A3A">
        <w:rPr>
          <w:rFonts w:ascii="Arial" w:hAnsi="Arial" w:cs="Arial"/>
          <w:b/>
          <w:sz w:val="22"/>
          <w:szCs w:val="22"/>
        </w:rPr>
        <w:t>tedy i</w:t>
      </w:r>
      <w:r w:rsidR="00F9285E">
        <w:rPr>
          <w:rFonts w:ascii="Arial" w:hAnsi="Arial" w:cs="Arial"/>
          <w:b/>
          <w:sz w:val="22"/>
          <w:szCs w:val="22"/>
        </w:rPr>
        <w:t xml:space="preserve"> pro</w:t>
      </w:r>
      <w:r w:rsidR="00F9285E" w:rsidRPr="00F23FDA">
        <w:rPr>
          <w:rFonts w:ascii="Arial" w:hAnsi="Arial" w:cs="Arial"/>
          <w:b/>
          <w:sz w:val="22"/>
          <w:szCs w:val="22"/>
        </w:rPr>
        <w:t xml:space="preserve"> naplnění účelu sestavování</w:t>
      </w:r>
      <w:r w:rsidR="002B3A3A">
        <w:rPr>
          <w:rFonts w:ascii="Arial" w:hAnsi="Arial" w:cs="Arial"/>
          <w:b/>
          <w:sz w:val="22"/>
          <w:szCs w:val="22"/>
        </w:rPr>
        <w:t xml:space="preserve"> pomocného analytického přehledu</w:t>
      </w:r>
      <w:r w:rsidR="00F9285E" w:rsidRPr="00F23FDA">
        <w:rPr>
          <w:rFonts w:ascii="Arial" w:hAnsi="Arial" w:cs="Arial"/>
          <w:b/>
          <w:sz w:val="22"/>
          <w:szCs w:val="22"/>
        </w:rPr>
        <w:t xml:space="preserve">. </w:t>
      </w:r>
    </w:p>
    <w:p w14:paraId="00D91911" w14:textId="77777777" w:rsidR="00FA1E8F" w:rsidRPr="00995715" w:rsidRDefault="00FA1E8F" w:rsidP="00F36DA2">
      <w:pPr>
        <w:pStyle w:val="Odstavecseseznamem"/>
        <w:ind w:left="0"/>
        <w:jc w:val="both"/>
        <w:rPr>
          <w:rFonts w:ascii="Arial" w:hAnsi="Arial" w:cs="Arial"/>
          <w:b/>
          <w:bCs/>
          <w:sz w:val="22"/>
          <w:szCs w:val="22"/>
        </w:rPr>
      </w:pPr>
    </w:p>
    <w:p w14:paraId="00D91912" w14:textId="77777777" w:rsidR="00FB2B93" w:rsidRDefault="00FA1E8F" w:rsidP="006519C4">
      <w:pPr>
        <w:widowControl w:val="0"/>
        <w:shd w:val="clear" w:color="auto" w:fill="FFFFFF"/>
        <w:autoSpaceDE w:val="0"/>
        <w:autoSpaceDN w:val="0"/>
        <w:adjustRightInd w:val="0"/>
        <w:ind w:right="29"/>
        <w:jc w:val="both"/>
        <w:rPr>
          <w:rFonts w:ascii="Arial" w:hAnsi="Arial" w:cs="Arial"/>
          <w:sz w:val="22"/>
          <w:szCs w:val="22"/>
        </w:rPr>
      </w:pPr>
      <w:r w:rsidRPr="00DA7D84">
        <w:rPr>
          <w:rFonts w:ascii="Arial" w:hAnsi="Arial" w:cs="Arial"/>
          <w:sz w:val="22"/>
          <w:szCs w:val="22"/>
        </w:rPr>
        <w:t>Pro použitelnost agregovaných údajů PAP</w:t>
      </w:r>
      <w:r w:rsidR="002B3A3A">
        <w:rPr>
          <w:rFonts w:ascii="Arial" w:hAnsi="Arial" w:cs="Arial"/>
          <w:sz w:val="22"/>
          <w:szCs w:val="22"/>
        </w:rPr>
        <w:t>,</w:t>
      </w:r>
      <w:r w:rsidRPr="00DA7D84">
        <w:rPr>
          <w:rFonts w:ascii="Arial" w:hAnsi="Arial" w:cs="Arial"/>
          <w:sz w:val="22"/>
          <w:szCs w:val="22"/>
        </w:rPr>
        <w:t xml:space="preserve"> a </w:t>
      </w:r>
      <w:r w:rsidR="002B3A3A">
        <w:rPr>
          <w:rFonts w:ascii="Arial" w:hAnsi="Arial" w:cs="Arial"/>
          <w:sz w:val="22"/>
          <w:szCs w:val="22"/>
        </w:rPr>
        <w:t>tedy</w:t>
      </w:r>
      <w:r w:rsidRPr="00DA7D84">
        <w:rPr>
          <w:rFonts w:ascii="Arial" w:hAnsi="Arial" w:cs="Arial"/>
          <w:sz w:val="22"/>
          <w:szCs w:val="22"/>
        </w:rPr>
        <w:t xml:space="preserve"> pro naplnění účelu jeho sestavování je také nutné upozornit na problematiku oceňování majetkových účastí státu v obchodních společnostech při změně příslušnosti hospodařit </w:t>
      </w:r>
      <w:r w:rsidR="009F047D">
        <w:rPr>
          <w:rFonts w:ascii="Arial" w:hAnsi="Arial" w:cs="Arial"/>
          <w:sz w:val="22"/>
          <w:szCs w:val="22"/>
        </w:rPr>
        <w:t>s </w:t>
      </w:r>
      <w:r w:rsidRPr="00DA7D84">
        <w:rPr>
          <w:rFonts w:ascii="Arial" w:hAnsi="Arial" w:cs="Arial"/>
          <w:sz w:val="22"/>
          <w:szCs w:val="22"/>
        </w:rPr>
        <w:t>nimi mezi</w:t>
      </w:r>
      <w:r w:rsidR="00DA7D84">
        <w:rPr>
          <w:rFonts w:ascii="Arial" w:hAnsi="Arial" w:cs="Arial"/>
          <w:sz w:val="22"/>
          <w:szCs w:val="22"/>
        </w:rPr>
        <w:t xml:space="preserve"> </w:t>
      </w:r>
      <w:r w:rsidRPr="00DA7D84">
        <w:rPr>
          <w:rFonts w:ascii="Arial" w:hAnsi="Arial" w:cs="Arial"/>
          <w:sz w:val="22"/>
          <w:szCs w:val="22"/>
        </w:rPr>
        <w:t>účetními jednotkami</w:t>
      </w:r>
      <w:r w:rsidRPr="00DA7D84">
        <w:rPr>
          <w:rStyle w:val="Znakapoznpodarou"/>
          <w:rFonts w:ascii="Arial" w:hAnsi="Arial" w:cs="Arial"/>
          <w:sz w:val="22"/>
          <w:szCs w:val="22"/>
        </w:rPr>
        <w:footnoteReference w:id="23"/>
      </w:r>
      <w:r w:rsidRPr="00DA7D84">
        <w:rPr>
          <w:rFonts w:ascii="Arial" w:hAnsi="Arial" w:cs="Arial"/>
          <w:sz w:val="22"/>
          <w:szCs w:val="22"/>
        </w:rPr>
        <w:t xml:space="preserve">. </w:t>
      </w:r>
      <w:r w:rsidR="00F9285E">
        <w:rPr>
          <w:rFonts w:ascii="Arial" w:hAnsi="Arial" w:cs="Arial"/>
          <w:sz w:val="22"/>
          <w:szCs w:val="22"/>
        </w:rPr>
        <w:t xml:space="preserve">Na základě skutečností zjištěných v této kontrole </w:t>
      </w:r>
      <w:r w:rsidRPr="00DA7D84">
        <w:rPr>
          <w:rFonts w:ascii="Arial" w:hAnsi="Arial" w:cs="Arial"/>
          <w:sz w:val="22"/>
          <w:szCs w:val="22"/>
        </w:rPr>
        <w:t>upozorňuje</w:t>
      </w:r>
      <w:r w:rsidR="00F9285E">
        <w:rPr>
          <w:rFonts w:ascii="Arial" w:hAnsi="Arial" w:cs="Arial"/>
          <w:sz w:val="22"/>
          <w:szCs w:val="22"/>
        </w:rPr>
        <w:t xml:space="preserve"> NKÚ</w:t>
      </w:r>
      <w:r w:rsidRPr="00DA7D84">
        <w:rPr>
          <w:rFonts w:ascii="Arial" w:hAnsi="Arial" w:cs="Arial"/>
          <w:sz w:val="22"/>
          <w:szCs w:val="22"/>
        </w:rPr>
        <w:t xml:space="preserve"> na riziko, že při</w:t>
      </w:r>
      <w:r w:rsidR="006926F1">
        <w:rPr>
          <w:rFonts w:ascii="Arial" w:hAnsi="Arial" w:cs="Arial"/>
          <w:sz w:val="22"/>
          <w:szCs w:val="22"/>
        </w:rPr>
        <w:t xml:space="preserve"> </w:t>
      </w:r>
      <w:r w:rsidRPr="00DA7D84">
        <w:rPr>
          <w:rFonts w:ascii="Arial" w:hAnsi="Arial" w:cs="Arial"/>
          <w:sz w:val="22"/>
          <w:szCs w:val="22"/>
        </w:rPr>
        <w:t xml:space="preserve">předávání majetku státu mezi OSS může docházet k předávání nesprávných údajů o jeho účetní hodnotě. To ve svém důsledku </w:t>
      </w:r>
      <w:r w:rsidR="006A5A2A">
        <w:rPr>
          <w:rFonts w:ascii="Arial" w:hAnsi="Arial" w:cs="Arial"/>
          <w:sz w:val="22"/>
          <w:szCs w:val="22"/>
        </w:rPr>
        <w:t xml:space="preserve">vede </w:t>
      </w:r>
      <w:r w:rsidR="009F047D">
        <w:rPr>
          <w:rFonts w:ascii="Arial" w:hAnsi="Arial" w:cs="Arial"/>
          <w:sz w:val="22"/>
          <w:szCs w:val="22"/>
        </w:rPr>
        <w:t>k </w:t>
      </w:r>
      <w:r w:rsidRPr="00DA7D84">
        <w:rPr>
          <w:rFonts w:ascii="Arial" w:hAnsi="Arial" w:cs="Arial"/>
          <w:sz w:val="22"/>
          <w:szCs w:val="22"/>
        </w:rPr>
        <w:t>neodůvodněné změně vykazované účetní hodnoty majetku</w:t>
      </w:r>
      <w:r w:rsidR="00046EA3">
        <w:rPr>
          <w:rFonts w:ascii="Arial" w:hAnsi="Arial" w:cs="Arial"/>
          <w:sz w:val="22"/>
          <w:szCs w:val="22"/>
        </w:rPr>
        <w:t xml:space="preserve"> České republiky.</w:t>
      </w:r>
    </w:p>
    <w:p w14:paraId="00D91913" w14:textId="77777777" w:rsidR="004E1F40" w:rsidRDefault="004E1F40">
      <w:pPr>
        <w:spacing w:after="200" w:line="276" w:lineRule="auto"/>
        <w:rPr>
          <w:rFonts w:ascii="Arial" w:hAnsi="Arial" w:cs="Arial"/>
          <w:sz w:val="22"/>
          <w:szCs w:val="22"/>
        </w:rPr>
      </w:pPr>
      <w:r>
        <w:rPr>
          <w:rFonts w:ascii="Arial" w:hAnsi="Arial" w:cs="Arial"/>
          <w:sz w:val="22"/>
          <w:szCs w:val="22"/>
        </w:rPr>
        <w:br w:type="page"/>
      </w:r>
    </w:p>
    <w:p w14:paraId="00D91914" w14:textId="77777777" w:rsidR="004E1F40" w:rsidRPr="00260B0C" w:rsidRDefault="004E1F40" w:rsidP="006519C4">
      <w:pPr>
        <w:widowControl w:val="0"/>
        <w:shd w:val="clear" w:color="auto" w:fill="FFFFFF"/>
        <w:autoSpaceDE w:val="0"/>
        <w:autoSpaceDN w:val="0"/>
        <w:adjustRightInd w:val="0"/>
        <w:ind w:right="29"/>
        <w:jc w:val="both"/>
        <w:rPr>
          <w:rFonts w:ascii="Arial" w:hAnsi="Arial" w:cs="Arial"/>
          <w:b/>
        </w:rPr>
      </w:pPr>
      <w:r w:rsidRPr="00260B0C">
        <w:rPr>
          <w:rFonts w:ascii="Arial" w:hAnsi="Arial" w:cs="Arial"/>
          <w:b/>
        </w:rPr>
        <w:lastRenderedPageBreak/>
        <w:t>Seznam zkratek</w:t>
      </w:r>
    </w:p>
    <w:p w14:paraId="00D91915" w14:textId="77777777" w:rsidR="004E1F40" w:rsidRPr="00260B0C" w:rsidRDefault="004E1F40" w:rsidP="006519C4">
      <w:pPr>
        <w:widowControl w:val="0"/>
        <w:shd w:val="clear" w:color="auto" w:fill="FFFFFF"/>
        <w:autoSpaceDE w:val="0"/>
        <w:autoSpaceDN w:val="0"/>
        <w:adjustRightInd w:val="0"/>
        <w:ind w:right="29"/>
        <w:jc w:val="both"/>
        <w:rPr>
          <w:rFonts w:ascii="Arial" w:hAnsi="Arial" w:cs="Arial"/>
          <w:sz w:val="22"/>
          <w:szCs w:val="22"/>
        </w:rPr>
      </w:pPr>
    </w:p>
    <w:p w14:paraId="00D91916" w14:textId="77777777" w:rsidR="004E1F40" w:rsidRPr="00260B0C" w:rsidRDefault="004E1F40" w:rsidP="006519C4">
      <w:pPr>
        <w:widowControl w:val="0"/>
        <w:shd w:val="clear" w:color="auto" w:fill="FFFFFF"/>
        <w:autoSpaceDE w:val="0"/>
        <w:autoSpaceDN w:val="0"/>
        <w:adjustRightInd w:val="0"/>
        <w:ind w:right="29"/>
        <w:jc w:val="both"/>
        <w:rPr>
          <w:rFonts w:ascii="Arial" w:hAnsi="Arial" w:cs="Arial"/>
          <w:sz w:val="22"/>
          <w:szCs w:val="22"/>
        </w:rPr>
      </w:pPr>
    </w:p>
    <w:p w14:paraId="00D91917"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AČ</w:t>
      </w:r>
      <w:r>
        <w:rPr>
          <w:rFonts w:ascii="Arial" w:hAnsi="Arial" w:cs="Arial"/>
          <w:sz w:val="22"/>
          <w:szCs w:val="22"/>
        </w:rPr>
        <w:tab/>
        <w:t>–</w:t>
      </w:r>
      <w:r>
        <w:rPr>
          <w:rFonts w:ascii="Arial" w:hAnsi="Arial" w:cs="Arial"/>
          <w:sz w:val="22"/>
          <w:szCs w:val="22"/>
        </w:rPr>
        <w:tab/>
        <w:t>analytické členění</w:t>
      </w:r>
    </w:p>
    <w:p w14:paraId="00D91918"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CSÚIS</w:t>
      </w:r>
      <w:r>
        <w:rPr>
          <w:rFonts w:ascii="Arial" w:hAnsi="Arial" w:cs="Arial"/>
          <w:sz w:val="22"/>
          <w:szCs w:val="22"/>
        </w:rPr>
        <w:tab/>
        <w:t>–</w:t>
      </w:r>
      <w:r>
        <w:rPr>
          <w:rFonts w:ascii="Arial" w:hAnsi="Arial" w:cs="Arial"/>
          <w:sz w:val="22"/>
          <w:szCs w:val="22"/>
        </w:rPr>
        <w:tab/>
      </w:r>
      <w:r w:rsidRPr="00CF1124">
        <w:rPr>
          <w:rFonts w:ascii="Arial" w:hAnsi="Arial" w:cs="Arial"/>
          <w:sz w:val="22"/>
          <w:szCs w:val="22"/>
        </w:rPr>
        <w:t>centrální systém účetních informací státu</w:t>
      </w:r>
    </w:p>
    <w:p w14:paraId="00D91919" w14:textId="77777777" w:rsidR="000C0D63" w:rsidRDefault="000C0D63"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ČR</w:t>
      </w:r>
      <w:r>
        <w:rPr>
          <w:rFonts w:ascii="Arial" w:hAnsi="Arial" w:cs="Arial"/>
          <w:sz w:val="22"/>
          <w:szCs w:val="22"/>
        </w:rPr>
        <w:tab/>
        <w:t>–</w:t>
      </w:r>
      <w:r>
        <w:rPr>
          <w:rFonts w:ascii="Arial" w:hAnsi="Arial" w:cs="Arial"/>
          <w:sz w:val="22"/>
          <w:szCs w:val="22"/>
        </w:rPr>
        <w:tab/>
        <w:t>Česká republika</w:t>
      </w:r>
    </w:p>
    <w:p w14:paraId="00D9191A" w14:textId="77777777" w:rsidR="000C0D63" w:rsidRDefault="000C0D63"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ČÚS</w:t>
      </w:r>
      <w:r>
        <w:rPr>
          <w:rFonts w:ascii="Arial" w:hAnsi="Arial" w:cs="Arial"/>
          <w:sz w:val="22"/>
          <w:szCs w:val="22"/>
        </w:rPr>
        <w:tab/>
        <w:t>–</w:t>
      </w:r>
      <w:r>
        <w:rPr>
          <w:rFonts w:ascii="Arial" w:hAnsi="Arial" w:cs="Arial"/>
          <w:sz w:val="22"/>
          <w:szCs w:val="22"/>
        </w:rPr>
        <w:tab/>
        <w:t>český účetní standard</w:t>
      </w:r>
    </w:p>
    <w:p w14:paraId="00D9191B"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D</w:t>
      </w:r>
      <w:r>
        <w:rPr>
          <w:rFonts w:ascii="Arial" w:hAnsi="Arial" w:cs="Arial"/>
          <w:sz w:val="22"/>
          <w:szCs w:val="22"/>
        </w:rPr>
        <w:tab/>
        <w:t>–</w:t>
      </w:r>
      <w:r>
        <w:rPr>
          <w:rFonts w:ascii="Arial" w:hAnsi="Arial" w:cs="Arial"/>
          <w:sz w:val="22"/>
          <w:szCs w:val="22"/>
        </w:rPr>
        <w:tab/>
        <w:t>strana Dal syntetického účtu</w:t>
      </w:r>
    </w:p>
    <w:p w14:paraId="00D9191C"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EU</w:t>
      </w:r>
      <w:r>
        <w:rPr>
          <w:rFonts w:ascii="Arial" w:hAnsi="Arial" w:cs="Arial"/>
          <w:sz w:val="22"/>
          <w:szCs w:val="22"/>
        </w:rPr>
        <w:tab/>
        <w:t>–</w:t>
      </w:r>
      <w:r>
        <w:rPr>
          <w:rFonts w:ascii="Arial" w:hAnsi="Arial" w:cs="Arial"/>
          <w:sz w:val="22"/>
          <w:szCs w:val="22"/>
        </w:rPr>
        <w:tab/>
        <w:t>Evropská unie</w:t>
      </w:r>
    </w:p>
    <w:p w14:paraId="00D9191D"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IČ</w:t>
      </w:r>
      <w:r>
        <w:rPr>
          <w:rFonts w:ascii="Arial" w:hAnsi="Arial" w:cs="Arial"/>
          <w:sz w:val="22"/>
          <w:szCs w:val="22"/>
        </w:rPr>
        <w:tab/>
        <w:t>–</w:t>
      </w:r>
      <w:r>
        <w:rPr>
          <w:rFonts w:ascii="Arial" w:hAnsi="Arial" w:cs="Arial"/>
          <w:sz w:val="22"/>
          <w:szCs w:val="22"/>
        </w:rPr>
        <w:tab/>
        <w:t>identifikační číslo</w:t>
      </w:r>
    </w:p>
    <w:p w14:paraId="00D9191E" w14:textId="77777777" w:rsidR="000C0D63" w:rsidRDefault="000C0D63"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KA</w:t>
      </w:r>
      <w:r>
        <w:rPr>
          <w:rFonts w:ascii="Arial" w:hAnsi="Arial" w:cs="Arial"/>
          <w:sz w:val="22"/>
          <w:szCs w:val="22"/>
        </w:rPr>
        <w:tab/>
        <w:t>–</w:t>
      </w:r>
      <w:r>
        <w:rPr>
          <w:rFonts w:ascii="Arial" w:hAnsi="Arial" w:cs="Arial"/>
          <w:sz w:val="22"/>
          <w:szCs w:val="22"/>
        </w:rPr>
        <w:tab/>
        <w:t>kontrolní akce</w:t>
      </w:r>
    </w:p>
    <w:p w14:paraId="00D9191F"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KS</w:t>
      </w:r>
      <w:r>
        <w:rPr>
          <w:rFonts w:ascii="Arial" w:hAnsi="Arial" w:cs="Arial"/>
          <w:sz w:val="22"/>
          <w:szCs w:val="22"/>
        </w:rPr>
        <w:tab/>
        <w:t>–</w:t>
      </w:r>
      <w:r>
        <w:rPr>
          <w:rFonts w:ascii="Arial" w:hAnsi="Arial" w:cs="Arial"/>
          <w:sz w:val="22"/>
          <w:szCs w:val="22"/>
        </w:rPr>
        <w:tab/>
        <w:t>konečný stav</w:t>
      </w:r>
      <w:r w:rsidR="000C0D63">
        <w:rPr>
          <w:rFonts w:ascii="Arial" w:hAnsi="Arial" w:cs="Arial"/>
          <w:sz w:val="22"/>
          <w:szCs w:val="22"/>
        </w:rPr>
        <w:t xml:space="preserve"> (syntetického účtu)</w:t>
      </w:r>
    </w:p>
    <w:p w14:paraId="00D91920"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MD</w:t>
      </w:r>
      <w:r>
        <w:rPr>
          <w:rFonts w:ascii="Arial" w:hAnsi="Arial" w:cs="Arial"/>
          <w:sz w:val="22"/>
          <w:szCs w:val="22"/>
        </w:rPr>
        <w:tab/>
        <w:t>–</w:t>
      </w:r>
      <w:r>
        <w:rPr>
          <w:rFonts w:ascii="Arial" w:hAnsi="Arial" w:cs="Arial"/>
          <w:sz w:val="22"/>
          <w:szCs w:val="22"/>
        </w:rPr>
        <w:tab/>
        <w:t>strana Má dáti syntetického účtu</w:t>
      </w:r>
    </w:p>
    <w:p w14:paraId="00D91921"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MF</w:t>
      </w:r>
      <w:r>
        <w:rPr>
          <w:rFonts w:ascii="Arial" w:hAnsi="Arial" w:cs="Arial"/>
          <w:sz w:val="22"/>
          <w:szCs w:val="22"/>
        </w:rPr>
        <w:tab/>
        <w:t>–</w:t>
      </w:r>
      <w:r>
        <w:rPr>
          <w:rFonts w:ascii="Arial" w:hAnsi="Arial" w:cs="Arial"/>
          <w:sz w:val="22"/>
          <w:szCs w:val="22"/>
        </w:rPr>
        <w:tab/>
        <w:t>Ministerstvo financí</w:t>
      </w:r>
    </w:p>
    <w:p w14:paraId="00D91922"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MPO</w:t>
      </w:r>
      <w:r>
        <w:rPr>
          <w:rFonts w:ascii="Arial" w:hAnsi="Arial" w:cs="Arial"/>
          <w:sz w:val="22"/>
          <w:szCs w:val="22"/>
        </w:rPr>
        <w:tab/>
        <w:t>–</w:t>
      </w:r>
      <w:r>
        <w:rPr>
          <w:rFonts w:ascii="Arial" w:hAnsi="Arial" w:cs="Arial"/>
          <w:sz w:val="22"/>
          <w:szCs w:val="22"/>
        </w:rPr>
        <w:tab/>
        <w:t>Ministerstvo průmyslu a obchodu</w:t>
      </w:r>
    </w:p>
    <w:p w14:paraId="00D91923" w14:textId="77777777" w:rsidR="004E1F40" w:rsidRPr="00260B0C"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MPSV</w:t>
      </w:r>
      <w:r>
        <w:rPr>
          <w:rFonts w:ascii="Arial" w:hAnsi="Arial" w:cs="Arial"/>
          <w:sz w:val="22"/>
          <w:szCs w:val="22"/>
        </w:rPr>
        <w:tab/>
        <w:t>–</w:t>
      </w:r>
      <w:r>
        <w:rPr>
          <w:rFonts w:ascii="Arial" w:hAnsi="Arial" w:cs="Arial"/>
          <w:sz w:val="22"/>
          <w:szCs w:val="22"/>
        </w:rPr>
        <w:tab/>
        <w:t>Ministerstvo práce a sociálních věcí</w:t>
      </w:r>
    </w:p>
    <w:p w14:paraId="00D91924"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NKÚ</w:t>
      </w:r>
      <w:r>
        <w:rPr>
          <w:rFonts w:ascii="Arial" w:hAnsi="Arial" w:cs="Arial"/>
          <w:sz w:val="22"/>
          <w:szCs w:val="22"/>
        </w:rPr>
        <w:tab/>
        <w:t>–</w:t>
      </w:r>
      <w:r>
        <w:rPr>
          <w:rFonts w:ascii="Arial" w:hAnsi="Arial" w:cs="Arial"/>
          <w:sz w:val="22"/>
          <w:szCs w:val="22"/>
        </w:rPr>
        <w:tab/>
        <w:t>Nejvyšší kontrolní úřad</w:t>
      </w:r>
    </w:p>
    <w:p w14:paraId="00D91925"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OSS</w:t>
      </w:r>
      <w:r>
        <w:rPr>
          <w:rFonts w:ascii="Arial" w:hAnsi="Arial" w:cs="Arial"/>
          <w:sz w:val="22"/>
          <w:szCs w:val="22"/>
        </w:rPr>
        <w:tab/>
        <w:t>–</w:t>
      </w:r>
      <w:r>
        <w:rPr>
          <w:rFonts w:ascii="Arial" w:hAnsi="Arial" w:cs="Arial"/>
          <w:sz w:val="22"/>
          <w:szCs w:val="22"/>
        </w:rPr>
        <w:tab/>
        <w:t>organizační složka státu</w:t>
      </w:r>
    </w:p>
    <w:p w14:paraId="00D91926"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PAP</w:t>
      </w:r>
      <w:r>
        <w:rPr>
          <w:rFonts w:ascii="Arial" w:hAnsi="Arial" w:cs="Arial"/>
          <w:sz w:val="22"/>
          <w:szCs w:val="22"/>
        </w:rPr>
        <w:tab/>
        <w:t>–</w:t>
      </w:r>
      <w:r>
        <w:rPr>
          <w:rFonts w:ascii="Arial" w:hAnsi="Arial" w:cs="Arial"/>
          <w:sz w:val="22"/>
          <w:szCs w:val="22"/>
        </w:rPr>
        <w:tab/>
        <w:t>pomocný analytický přehled</w:t>
      </w:r>
    </w:p>
    <w:p w14:paraId="00D91927" w14:textId="77777777" w:rsidR="004E1F40" w:rsidRDefault="004E1F40" w:rsidP="00260B0C">
      <w:pPr>
        <w:widowControl w:val="0"/>
        <w:shd w:val="clear" w:color="auto" w:fill="FFFFFF"/>
        <w:tabs>
          <w:tab w:val="left" w:pos="993"/>
          <w:tab w:val="left" w:pos="1418"/>
        </w:tabs>
        <w:autoSpaceDE w:val="0"/>
        <w:autoSpaceDN w:val="0"/>
        <w:adjustRightInd w:val="0"/>
        <w:spacing w:line="360" w:lineRule="auto"/>
        <w:ind w:right="29"/>
        <w:jc w:val="both"/>
        <w:rPr>
          <w:rFonts w:ascii="Arial" w:hAnsi="Arial" w:cs="Arial"/>
          <w:sz w:val="22"/>
          <w:szCs w:val="22"/>
        </w:rPr>
      </w:pPr>
      <w:r>
        <w:rPr>
          <w:rFonts w:ascii="Arial" w:hAnsi="Arial" w:cs="Arial"/>
          <w:sz w:val="22"/>
          <w:szCs w:val="22"/>
        </w:rPr>
        <w:t>PS</w:t>
      </w:r>
      <w:r>
        <w:rPr>
          <w:rFonts w:ascii="Arial" w:hAnsi="Arial" w:cs="Arial"/>
          <w:sz w:val="22"/>
          <w:szCs w:val="22"/>
        </w:rPr>
        <w:tab/>
        <w:t>–</w:t>
      </w:r>
      <w:r>
        <w:rPr>
          <w:rFonts w:ascii="Arial" w:hAnsi="Arial" w:cs="Arial"/>
          <w:sz w:val="22"/>
          <w:szCs w:val="22"/>
        </w:rPr>
        <w:tab/>
        <w:t xml:space="preserve">počáteční stav </w:t>
      </w:r>
      <w:r w:rsidR="000C0D63">
        <w:rPr>
          <w:rFonts w:ascii="Arial" w:hAnsi="Arial" w:cs="Arial"/>
          <w:sz w:val="22"/>
          <w:szCs w:val="22"/>
        </w:rPr>
        <w:t xml:space="preserve">(syntetického </w:t>
      </w:r>
      <w:r>
        <w:rPr>
          <w:rFonts w:ascii="Arial" w:hAnsi="Arial" w:cs="Arial"/>
          <w:sz w:val="22"/>
          <w:szCs w:val="22"/>
        </w:rPr>
        <w:t>účtu</w:t>
      </w:r>
      <w:r w:rsidR="000C0D63">
        <w:rPr>
          <w:rFonts w:ascii="Arial" w:hAnsi="Arial" w:cs="Arial"/>
          <w:sz w:val="22"/>
          <w:szCs w:val="22"/>
        </w:rPr>
        <w:t>)</w:t>
      </w:r>
    </w:p>
    <w:p w14:paraId="00D91928" w14:textId="77777777" w:rsidR="004E1F40" w:rsidRPr="00260B0C" w:rsidRDefault="004E1F40" w:rsidP="004E1F40">
      <w:pPr>
        <w:widowControl w:val="0"/>
        <w:shd w:val="clear" w:color="auto" w:fill="FFFFFF"/>
        <w:tabs>
          <w:tab w:val="left" w:pos="993"/>
          <w:tab w:val="left" w:pos="1560"/>
        </w:tabs>
        <w:autoSpaceDE w:val="0"/>
        <w:autoSpaceDN w:val="0"/>
        <w:adjustRightInd w:val="0"/>
        <w:ind w:right="29"/>
        <w:jc w:val="both"/>
        <w:rPr>
          <w:rFonts w:ascii="Arial" w:hAnsi="Arial" w:cs="Arial"/>
          <w:sz w:val="22"/>
          <w:szCs w:val="22"/>
        </w:rPr>
      </w:pPr>
    </w:p>
    <w:sectPr w:rsidR="004E1F40" w:rsidRPr="00260B0C" w:rsidSect="00724F3E">
      <w:footerReference w:type="even" r:id="rId17"/>
      <w:footerReference w:type="default" r:id="rId18"/>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91937" w14:textId="77777777" w:rsidR="003266CC" w:rsidRDefault="003266CC" w:rsidP="00E00DF2">
      <w:r>
        <w:separator/>
      </w:r>
    </w:p>
  </w:endnote>
  <w:endnote w:type="continuationSeparator" w:id="0">
    <w:p w14:paraId="00D91938" w14:textId="77777777" w:rsidR="003266CC" w:rsidRDefault="003266CC" w:rsidP="00E0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1939" w14:textId="77777777" w:rsidR="003266CC" w:rsidRDefault="003266C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00D9193A" w14:textId="77777777" w:rsidR="003266CC" w:rsidRDefault="003266C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001881"/>
      <w:docPartObj>
        <w:docPartGallery w:val="Page Numbers (Bottom of Page)"/>
        <w:docPartUnique/>
      </w:docPartObj>
    </w:sdtPr>
    <w:sdtEndPr>
      <w:rPr>
        <w:rFonts w:ascii="Arial" w:hAnsi="Arial" w:cs="Arial"/>
        <w:sz w:val="22"/>
        <w:szCs w:val="22"/>
      </w:rPr>
    </w:sdtEndPr>
    <w:sdtContent>
      <w:p w14:paraId="00D9193B" w14:textId="77777777" w:rsidR="003266CC" w:rsidRPr="00C953C5" w:rsidRDefault="003266CC" w:rsidP="007C7817">
        <w:pPr>
          <w:pStyle w:val="Zpat"/>
          <w:tabs>
            <w:tab w:val="clear" w:pos="4536"/>
          </w:tabs>
          <w:jc w:val="center"/>
          <w:rPr>
            <w:rFonts w:ascii="Arial" w:hAnsi="Arial" w:cs="Arial"/>
            <w:sz w:val="22"/>
            <w:szCs w:val="22"/>
          </w:rPr>
        </w:pPr>
        <w:r w:rsidRPr="00C953C5">
          <w:rPr>
            <w:rFonts w:ascii="Arial" w:hAnsi="Arial" w:cs="Arial"/>
            <w:sz w:val="22"/>
            <w:szCs w:val="22"/>
          </w:rPr>
          <w:fldChar w:fldCharType="begin"/>
        </w:r>
        <w:r w:rsidRPr="00C953C5">
          <w:rPr>
            <w:rFonts w:ascii="Arial" w:hAnsi="Arial" w:cs="Arial"/>
            <w:sz w:val="22"/>
            <w:szCs w:val="22"/>
          </w:rPr>
          <w:instrText>PAGE   \* MERGEFORMAT</w:instrText>
        </w:r>
        <w:r w:rsidRPr="00C953C5">
          <w:rPr>
            <w:rFonts w:ascii="Arial" w:hAnsi="Arial" w:cs="Arial"/>
            <w:sz w:val="22"/>
            <w:szCs w:val="22"/>
          </w:rPr>
          <w:fldChar w:fldCharType="separate"/>
        </w:r>
        <w:r w:rsidR="00060A36">
          <w:rPr>
            <w:rFonts w:ascii="Arial" w:hAnsi="Arial" w:cs="Arial"/>
            <w:noProof/>
            <w:sz w:val="22"/>
            <w:szCs w:val="22"/>
          </w:rPr>
          <w:t>14</w:t>
        </w:r>
        <w:r w:rsidRPr="00C953C5">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91935" w14:textId="77777777" w:rsidR="003266CC" w:rsidRDefault="003266CC" w:rsidP="00E00DF2">
      <w:r>
        <w:separator/>
      </w:r>
    </w:p>
  </w:footnote>
  <w:footnote w:type="continuationSeparator" w:id="0">
    <w:p w14:paraId="00D91936" w14:textId="77777777" w:rsidR="003266CC" w:rsidRDefault="003266CC" w:rsidP="00E00DF2">
      <w:r>
        <w:continuationSeparator/>
      </w:r>
    </w:p>
  </w:footnote>
  <w:footnote w:id="1">
    <w:p w14:paraId="00D9193C" w14:textId="77777777" w:rsidR="003266CC" w:rsidRPr="0090609E" w:rsidRDefault="003266CC" w:rsidP="00852230">
      <w:pPr>
        <w:pStyle w:val="Textpoznpodarou"/>
        <w:ind w:left="284" w:hanging="284"/>
        <w:jc w:val="both"/>
        <w:rPr>
          <w:rFonts w:ascii="Arial" w:hAnsi="Arial" w:cs="Arial"/>
          <w:sz w:val="18"/>
          <w:szCs w:val="18"/>
        </w:rPr>
      </w:pPr>
      <w:r w:rsidRPr="0090609E">
        <w:rPr>
          <w:rStyle w:val="Znakapoznpodarou"/>
          <w:rFonts w:ascii="Arial" w:hAnsi="Arial" w:cs="Arial"/>
          <w:sz w:val="18"/>
          <w:szCs w:val="18"/>
        </w:rPr>
        <w:footnoteRef/>
      </w:r>
      <w:r w:rsidRPr="0090609E">
        <w:rPr>
          <w:rFonts w:ascii="Arial" w:hAnsi="Arial" w:cs="Arial"/>
          <w:sz w:val="18"/>
          <w:szCs w:val="18"/>
        </w:rPr>
        <w:tab/>
        <w:t>Povinně PAP předávaly v roce 2012 do CSÚIS všechny OSS, kraje, státní fondy, Pozemkový fond, regionální rady regionů soudržnosti a některé příspěvkové organizace a obce. Počet dotčených subjektů byl Ministerstvem financí (dále také „MF“) pro rok 2012 identifikován v rozsahu 1 454 účetních jednotek (viz </w:t>
      </w:r>
      <w:hyperlink r:id="rId1" w:history="1">
        <w:r w:rsidRPr="0090609E">
          <w:rPr>
            <w:rStyle w:val="Hypertextovodkaz"/>
            <w:rFonts w:ascii="Arial" w:hAnsi="Arial" w:cs="Arial"/>
            <w:sz w:val="18"/>
            <w:szCs w:val="18"/>
          </w:rPr>
          <w:t>http://www.statnipokladna.cz/cs/o-statni-pokladne/katalog-multimedia-sp</w:t>
        </w:r>
      </w:hyperlink>
      <w:r w:rsidRPr="00783703">
        <w:rPr>
          <w:rStyle w:val="Hypertextovodkaz"/>
          <w:rFonts w:ascii="Arial" w:hAnsi="Arial" w:cs="Arial"/>
          <w:color w:val="auto"/>
          <w:sz w:val="18"/>
          <w:szCs w:val="18"/>
        </w:rPr>
        <w:t>)</w:t>
      </w:r>
      <w:r w:rsidRPr="00783703">
        <w:rPr>
          <w:rFonts w:ascii="Arial" w:hAnsi="Arial" w:cs="Arial"/>
          <w:sz w:val="18"/>
          <w:szCs w:val="18"/>
        </w:rPr>
        <w:t>.</w:t>
      </w:r>
    </w:p>
  </w:footnote>
  <w:footnote w:id="2">
    <w:p w14:paraId="00D9193D" w14:textId="77777777" w:rsidR="003266CC" w:rsidRPr="0090609E" w:rsidRDefault="003266CC" w:rsidP="00852230">
      <w:pPr>
        <w:pStyle w:val="Textpoznpodarou"/>
        <w:ind w:left="284" w:hanging="284"/>
        <w:jc w:val="both"/>
        <w:rPr>
          <w:rFonts w:ascii="Arial" w:hAnsi="Arial" w:cs="Arial"/>
          <w:sz w:val="18"/>
          <w:szCs w:val="18"/>
        </w:rPr>
      </w:pPr>
      <w:r w:rsidRPr="0090609E">
        <w:rPr>
          <w:rStyle w:val="Znakapoznpodarou"/>
          <w:rFonts w:ascii="Arial" w:hAnsi="Arial" w:cs="Arial"/>
          <w:sz w:val="18"/>
          <w:szCs w:val="18"/>
        </w:rPr>
        <w:footnoteRef/>
      </w:r>
      <w:r w:rsidRPr="0090609E">
        <w:rPr>
          <w:rFonts w:ascii="Arial" w:hAnsi="Arial" w:cs="Arial"/>
          <w:sz w:val="18"/>
          <w:szCs w:val="18"/>
        </w:rPr>
        <w:tab/>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footnote>
  <w:footnote w:id="3">
    <w:p w14:paraId="00D9193E" w14:textId="77777777" w:rsidR="003266CC" w:rsidRPr="00852230" w:rsidRDefault="003266CC" w:rsidP="00852230">
      <w:pPr>
        <w:pStyle w:val="Textpoznpodarou"/>
        <w:ind w:left="284" w:hanging="284"/>
        <w:jc w:val="both"/>
        <w:rPr>
          <w:rFonts w:ascii="Arial" w:hAnsi="Arial" w:cs="Arial"/>
          <w:sz w:val="18"/>
          <w:szCs w:val="18"/>
        </w:rPr>
      </w:pPr>
      <w:r w:rsidRPr="00852230">
        <w:rPr>
          <w:rStyle w:val="Znakapoznpodarou"/>
          <w:rFonts w:ascii="Arial" w:hAnsi="Arial" w:cs="Arial"/>
          <w:sz w:val="18"/>
          <w:szCs w:val="18"/>
        </w:rPr>
        <w:footnoteRef/>
      </w:r>
      <w:r w:rsidRPr="00852230">
        <w:rPr>
          <w:rFonts w:ascii="Arial" w:hAnsi="Arial" w:cs="Arial"/>
          <w:sz w:val="18"/>
          <w:szCs w:val="18"/>
        </w:rPr>
        <w:t xml:space="preserve"> </w:t>
      </w:r>
      <w:r>
        <w:rPr>
          <w:rFonts w:ascii="Arial" w:hAnsi="Arial" w:cs="Arial"/>
          <w:sz w:val="18"/>
          <w:szCs w:val="18"/>
        </w:rPr>
        <w:tab/>
      </w:r>
      <w:r w:rsidRPr="00852230">
        <w:rPr>
          <w:rFonts w:ascii="Arial" w:hAnsi="Arial" w:cs="Arial"/>
          <w:sz w:val="18"/>
          <w:szCs w:val="18"/>
        </w:rPr>
        <w:t>Vyhláška č. 437/2011 Sb., kterou se mění vyhláška č. 383/2009 Sb., o účetních záznamech v technické formě vybraných účetních jednotek a jejich předávání do centrálního systému účetních informací státu a</w:t>
      </w:r>
      <w:r>
        <w:rPr>
          <w:rFonts w:ascii="Arial" w:hAnsi="Arial" w:cs="Arial"/>
          <w:sz w:val="18"/>
          <w:szCs w:val="18"/>
        </w:rPr>
        <w:t> </w:t>
      </w:r>
      <w:r w:rsidRPr="00852230">
        <w:rPr>
          <w:rFonts w:ascii="Arial" w:hAnsi="Arial" w:cs="Arial"/>
          <w:sz w:val="18"/>
          <w:szCs w:val="18"/>
        </w:rPr>
        <w:t>o</w:t>
      </w:r>
      <w:r>
        <w:rPr>
          <w:rFonts w:ascii="Arial" w:hAnsi="Arial" w:cs="Arial"/>
          <w:sz w:val="18"/>
          <w:szCs w:val="18"/>
        </w:rPr>
        <w:t> </w:t>
      </w:r>
      <w:r w:rsidRPr="00852230">
        <w:rPr>
          <w:rFonts w:ascii="Arial" w:hAnsi="Arial" w:cs="Arial"/>
          <w:sz w:val="18"/>
          <w:szCs w:val="18"/>
        </w:rPr>
        <w:t>požadavcích na technické a smíšené formy účetních záznamů (technická vyhláška o účetních záznamech), ve znění vyhlášky č. 434/2010 Sb.</w:t>
      </w:r>
    </w:p>
  </w:footnote>
  <w:footnote w:id="4">
    <w:p w14:paraId="00D9193F" w14:textId="77777777" w:rsidR="003266CC" w:rsidRPr="00852230" w:rsidRDefault="003266CC" w:rsidP="0053213D">
      <w:pPr>
        <w:pStyle w:val="Odstavecseseznamem"/>
        <w:ind w:left="284" w:hanging="284"/>
        <w:jc w:val="both"/>
        <w:rPr>
          <w:rFonts w:ascii="Arial" w:hAnsi="Arial" w:cs="Arial"/>
          <w:sz w:val="18"/>
          <w:szCs w:val="18"/>
        </w:rPr>
      </w:pPr>
      <w:r w:rsidRPr="00852230">
        <w:rPr>
          <w:rStyle w:val="Znakapoznpodarou"/>
          <w:rFonts w:ascii="Arial" w:hAnsi="Arial" w:cs="Arial"/>
          <w:sz w:val="18"/>
          <w:szCs w:val="18"/>
        </w:rPr>
        <w:footnoteRef/>
      </w:r>
      <w:r>
        <w:rPr>
          <w:rFonts w:ascii="Arial" w:hAnsi="Arial" w:cs="Arial"/>
          <w:sz w:val="18"/>
          <w:szCs w:val="18"/>
        </w:rPr>
        <w:tab/>
      </w:r>
      <w:r w:rsidRPr="00852230">
        <w:rPr>
          <w:rFonts w:ascii="Arial" w:hAnsi="Arial" w:cs="Arial"/>
          <w:sz w:val="18"/>
          <w:szCs w:val="18"/>
        </w:rPr>
        <w:t>Např. vymezení, kdo je tzv. „</w:t>
      </w:r>
      <w:r w:rsidRPr="00852230">
        <w:rPr>
          <w:rFonts w:ascii="Arial" w:hAnsi="Arial" w:cs="Arial"/>
          <w:i/>
          <w:sz w:val="18"/>
          <w:szCs w:val="18"/>
        </w:rPr>
        <w:t>partner aktiva/pasiva</w:t>
      </w:r>
      <w:r w:rsidRPr="00852230">
        <w:rPr>
          <w:rFonts w:ascii="Arial" w:hAnsi="Arial" w:cs="Arial"/>
          <w:sz w:val="18"/>
          <w:szCs w:val="18"/>
        </w:rPr>
        <w:t>“ a „</w:t>
      </w:r>
      <w:r w:rsidRPr="00852230">
        <w:rPr>
          <w:rFonts w:ascii="Arial" w:hAnsi="Arial" w:cs="Arial"/>
          <w:i/>
          <w:sz w:val="18"/>
          <w:szCs w:val="18"/>
        </w:rPr>
        <w:t>partner transakce</w:t>
      </w:r>
      <w:r w:rsidRPr="00852230">
        <w:rPr>
          <w:rFonts w:ascii="Arial" w:hAnsi="Arial" w:cs="Arial"/>
          <w:sz w:val="18"/>
          <w:szCs w:val="18"/>
        </w:rPr>
        <w:t>“, bližší obsahové vymezení položek „</w:t>
      </w:r>
      <w:r w:rsidRPr="00852230">
        <w:rPr>
          <w:rFonts w:ascii="Arial" w:hAnsi="Arial" w:cs="Arial"/>
          <w:i/>
          <w:sz w:val="18"/>
          <w:szCs w:val="18"/>
        </w:rPr>
        <w:t>typy změn</w:t>
      </w:r>
      <w:r w:rsidRPr="00852230">
        <w:rPr>
          <w:rFonts w:ascii="Arial" w:hAnsi="Arial" w:cs="Arial"/>
          <w:sz w:val="18"/>
          <w:szCs w:val="18"/>
        </w:rPr>
        <w:t>“, pokyny k používání konkrétních identifikátorů partnerů, např. ve kterých případech používat jako kód IČ jednotky a ve kterých případech používat zvláštní kód</w:t>
      </w:r>
      <w:r>
        <w:rPr>
          <w:rFonts w:ascii="Arial" w:hAnsi="Arial" w:cs="Arial"/>
          <w:sz w:val="18"/>
          <w:szCs w:val="18"/>
        </w:rPr>
        <w:t>y</w:t>
      </w:r>
      <w:r w:rsidRPr="00852230">
        <w:rPr>
          <w:rFonts w:ascii="Arial" w:hAnsi="Arial" w:cs="Arial"/>
          <w:sz w:val="18"/>
          <w:szCs w:val="18"/>
        </w:rPr>
        <w:t xml:space="preserve"> (např. kód „111“ pro rezidenty bez IČ, tj.</w:t>
      </w:r>
      <w:r>
        <w:rPr>
          <w:rFonts w:ascii="Arial" w:hAnsi="Arial" w:cs="Arial"/>
          <w:sz w:val="18"/>
          <w:szCs w:val="18"/>
        </w:rPr>
        <w:t> </w:t>
      </w:r>
      <w:r w:rsidRPr="00852230">
        <w:rPr>
          <w:rFonts w:ascii="Arial" w:hAnsi="Arial" w:cs="Arial"/>
          <w:sz w:val="18"/>
          <w:szCs w:val="18"/>
        </w:rPr>
        <w:t>zejména fyzické osoby, popř. kódy pro nerezidenty).</w:t>
      </w:r>
    </w:p>
  </w:footnote>
  <w:footnote w:id="5">
    <w:p w14:paraId="00D91940" w14:textId="77777777" w:rsidR="003266CC" w:rsidRPr="00852230" w:rsidRDefault="003266CC" w:rsidP="00852230">
      <w:pPr>
        <w:pStyle w:val="Textpoznpodarou"/>
        <w:ind w:left="284" w:hanging="284"/>
        <w:rPr>
          <w:rFonts w:ascii="Arial" w:hAnsi="Arial" w:cs="Arial"/>
          <w:sz w:val="18"/>
          <w:szCs w:val="18"/>
        </w:rPr>
      </w:pPr>
      <w:r w:rsidRPr="00852230">
        <w:rPr>
          <w:rStyle w:val="Znakapoznpodarou"/>
          <w:rFonts w:ascii="Arial" w:hAnsi="Arial" w:cs="Arial"/>
          <w:sz w:val="18"/>
          <w:szCs w:val="18"/>
        </w:rPr>
        <w:footnoteRef/>
      </w:r>
      <w:r w:rsidRPr="00852230">
        <w:rPr>
          <w:rFonts w:ascii="Arial" w:hAnsi="Arial" w:cs="Arial"/>
          <w:sz w:val="18"/>
          <w:szCs w:val="18"/>
        </w:rPr>
        <w:t xml:space="preserve"> </w:t>
      </w:r>
      <w:r>
        <w:rPr>
          <w:rFonts w:ascii="Arial" w:hAnsi="Arial" w:cs="Arial"/>
          <w:sz w:val="18"/>
          <w:szCs w:val="18"/>
        </w:rPr>
        <w:tab/>
      </w:r>
      <w:r w:rsidRPr="00852230">
        <w:rPr>
          <w:rFonts w:ascii="Arial" w:hAnsi="Arial" w:cs="Arial"/>
          <w:bCs/>
          <w:iCs/>
          <w:sz w:val="18"/>
          <w:szCs w:val="18"/>
        </w:rPr>
        <w:t>Metodika byla umístěna ke dni:</w:t>
      </w:r>
    </w:p>
    <w:p w14:paraId="00D91941" w14:textId="77777777" w:rsidR="003266CC" w:rsidRPr="00852230" w:rsidRDefault="003266CC" w:rsidP="00852230">
      <w:pPr>
        <w:pStyle w:val="Odstavecseseznamem"/>
        <w:numPr>
          <w:ilvl w:val="0"/>
          <w:numId w:val="34"/>
        </w:numPr>
        <w:ind w:left="284" w:hanging="284"/>
        <w:contextualSpacing w:val="0"/>
        <w:jc w:val="both"/>
        <w:rPr>
          <w:rFonts w:ascii="Arial" w:hAnsi="Arial" w:cs="Arial"/>
          <w:bCs/>
          <w:iCs/>
          <w:sz w:val="18"/>
          <w:szCs w:val="18"/>
        </w:rPr>
      </w:pPr>
      <w:r w:rsidRPr="00852230">
        <w:rPr>
          <w:rFonts w:ascii="Arial" w:hAnsi="Arial" w:cs="Arial"/>
          <w:bCs/>
          <w:iCs/>
          <w:sz w:val="18"/>
          <w:szCs w:val="18"/>
        </w:rPr>
        <w:t>13. února 2013 na následujících URL adresách:</w:t>
      </w:r>
    </w:p>
    <w:p w14:paraId="00D91942" w14:textId="77777777" w:rsidR="003266CC" w:rsidRPr="00852230" w:rsidRDefault="00060A36" w:rsidP="00852230">
      <w:pPr>
        <w:ind w:left="284" w:hanging="284"/>
        <w:jc w:val="both"/>
        <w:rPr>
          <w:rFonts w:ascii="Arial" w:hAnsi="Arial" w:cs="Arial"/>
          <w:bCs/>
          <w:iCs/>
          <w:sz w:val="18"/>
          <w:szCs w:val="18"/>
        </w:rPr>
      </w:pPr>
      <w:hyperlink r:id="rId2" w:history="1">
        <w:r w:rsidR="003266CC" w:rsidRPr="00852230">
          <w:rPr>
            <w:rStyle w:val="Hypertextovodkaz"/>
            <w:rFonts w:ascii="Arial" w:hAnsi="Arial" w:cs="Arial"/>
            <w:iCs/>
            <w:sz w:val="18"/>
            <w:szCs w:val="18"/>
          </w:rPr>
          <w:t>www.mfcr/cps/rde/xchg/mfcr/xsl/dane_ucetni_reforma_vf_pravpred_platna_leg_vyhlasky2011_67128.html</w:t>
        </w:r>
      </w:hyperlink>
    </w:p>
    <w:p w14:paraId="00D91943" w14:textId="77777777" w:rsidR="003266CC" w:rsidRPr="00852230" w:rsidRDefault="00060A36" w:rsidP="00852230">
      <w:pPr>
        <w:pStyle w:val="Odstavecseseznamem"/>
        <w:ind w:left="284" w:hanging="284"/>
        <w:jc w:val="both"/>
        <w:rPr>
          <w:rStyle w:val="Hypertextovodkaz"/>
          <w:rFonts w:ascii="Arial" w:hAnsi="Arial" w:cs="Arial"/>
          <w:iCs/>
          <w:sz w:val="18"/>
          <w:szCs w:val="18"/>
        </w:rPr>
      </w:pPr>
      <w:hyperlink r:id="rId3" w:history="1">
        <w:r w:rsidR="003266CC" w:rsidRPr="00852230">
          <w:rPr>
            <w:rStyle w:val="Hypertextovodkaz"/>
            <w:rFonts w:ascii="Arial" w:hAnsi="Arial" w:cs="Arial"/>
            <w:iCs/>
            <w:sz w:val="18"/>
            <w:szCs w:val="18"/>
          </w:rPr>
          <w:t>www.mfcr/cps/rde/xchg/mfcr/xsl/dane_ucetni_reforma_vf_pravpred_platna_leg_vyhlasky_70935.html</w:t>
        </w:r>
      </w:hyperlink>
    </w:p>
    <w:p w14:paraId="00D91944" w14:textId="77777777" w:rsidR="003266CC" w:rsidRPr="00852230" w:rsidRDefault="003266CC" w:rsidP="00852230">
      <w:pPr>
        <w:pStyle w:val="Odstavecseseznamem"/>
        <w:numPr>
          <w:ilvl w:val="0"/>
          <w:numId w:val="34"/>
        </w:numPr>
        <w:ind w:left="284" w:hanging="284"/>
        <w:contextualSpacing w:val="0"/>
        <w:jc w:val="both"/>
        <w:rPr>
          <w:rFonts w:ascii="Arial" w:hAnsi="Arial" w:cs="Arial"/>
          <w:bCs/>
          <w:iCs/>
          <w:sz w:val="18"/>
          <w:szCs w:val="18"/>
        </w:rPr>
      </w:pPr>
      <w:r w:rsidRPr="00852230">
        <w:rPr>
          <w:rFonts w:ascii="Arial" w:hAnsi="Arial" w:cs="Arial"/>
          <w:bCs/>
          <w:iCs/>
          <w:sz w:val="18"/>
          <w:szCs w:val="18"/>
        </w:rPr>
        <w:t>27. března 2013 na následující URL adrese:</w:t>
      </w:r>
    </w:p>
    <w:p w14:paraId="00D91945" w14:textId="77777777" w:rsidR="003266CC" w:rsidRPr="00852230" w:rsidRDefault="00060A36" w:rsidP="00852230">
      <w:pPr>
        <w:pStyle w:val="Odstavecseseznamem"/>
        <w:ind w:left="284" w:hanging="284"/>
        <w:jc w:val="both"/>
        <w:rPr>
          <w:rFonts w:ascii="Arial" w:hAnsi="Arial" w:cs="Arial"/>
          <w:bCs/>
          <w:iCs/>
          <w:sz w:val="18"/>
          <w:szCs w:val="18"/>
        </w:rPr>
      </w:pPr>
      <w:hyperlink r:id="rId4" w:history="1">
        <w:r w:rsidR="003266CC" w:rsidRPr="00852230">
          <w:rPr>
            <w:rStyle w:val="Hypertextovodkaz"/>
            <w:rFonts w:ascii="Arial" w:hAnsi="Arial" w:cs="Arial"/>
            <w:iCs/>
            <w:sz w:val="18"/>
            <w:szCs w:val="18"/>
          </w:rPr>
          <w:t>www.mfcr/cps/rde/xchg/mfcr/xsl/dane_ucetni_reforma_vf_pravpred_platna_leg_vyhlasky_70936.html</w:t>
        </w:r>
      </w:hyperlink>
    </w:p>
    <w:p w14:paraId="00D91946" w14:textId="77777777" w:rsidR="003266CC" w:rsidRPr="00852230" w:rsidRDefault="003266CC" w:rsidP="00852230">
      <w:pPr>
        <w:pStyle w:val="Odstavecseseznamem"/>
        <w:numPr>
          <w:ilvl w:val="0"/>
          <w:numId w:val="34"/>
        </w:numPr>
        <w:ind w:left="284" w:hanging="284"/>
        <w:contextualSpacing w:val="0"/>
        <w:jc w:val="both"/>
        <w:rPr>
          <w:rFonts w:ascii="Arial" w:hAnsi="Arial" w:cs="Arial"/>
          <w:bCs/>
          <w:iCs/>
          <w:sz w:val="18"/>
          <w:szCs w:val="18"/>
        </w:rPr>
      </w:pPr>
      <w:r w:rsidRPr="00852230">
        <w:rPr>
          <w:rFonts w:ascii="Arial" w:hAnsi="Arial" w:cs="Arial"/>
          <w:bCs/>
          <w:iCs/>
          <w:sz w:val="18"/>
          <w:szCs w:val="18"/>
        </w:rPr>
        <w:t>25. července 2013 na následujících URL adresách:</w:t>
      </w:r>
    </w:p>
    <w:p w14:paraId="00D91947" w14:textId="77777777" w:rsidR="003266CC" w:rsidRPr="00852230" w:rsidRDefault="00060A36" w:rsidP="00852230">
      <w:pPr>
        <w:pStyle w:val="Textpoznpodarou"/>
        <w:ind w:left="284" w:hanging="284"/>
        <w:rPr>
          <w:rStyle w:val="Hypertextovodkaz"/>
          <w:rFonts w:ascii="Arial" w:hAnsi="Arial" w:cs="Arial"/>
          <w:iCs/>
          <w:sz w:val="18"/>
          <w:szCs w:val="18"/>
        </w:rPr>
      </w:pPr>
      <w:hyperlink r:id="rId5" w:history="1">
        <w:r w:rsidR="003266CC" w:rsidRPr="00852230">
          <w:rPr>
            <w:rStyle w:val="Hypertextovodkaz"/>
            <w:rFonts w:ascii="Arial" w:hAnsi="Arial" w:cs="Arial"/>
            <w:iCs/>
            <w:sz w:val="18"/>
            <w:szCs w:val="18"/>
          </w:rPr>
          <w:t>www2012.mfcr.cz/cps/rde/xchg/mfcr/xsl/dane_ucetni_reforma_vf_pravpred_platna_leg_vyhlasky_70935.html</w:t>
        </w:r>
      </w:hyperlink>
    </w:p>
    <w:p w14:paraId="00D91948" w14:textId="77777777" w:rsidR="003266CC" w:rsidRPr="00852230" w:rsidRDefault="00060A36" w:rsidP="00E03926">
      <w:pPr>
        <w:pStyle w:val="Textpoznpodarou"/>
        <w:ind w:left="284" w:right="-711" w:hanging="284"/>
        <w:rPr>
          <w:rFonts w:ascii="Arial" w:hAnsi="Arial" w:cs="Arial"/>
          <w:sz w:val="18"/>
          <w:szCs w:val="18"/>
        </w:rPr>
      </w:pPr>
      <w:hyperlink r:id="rId6" w:history="1">
        <w:r w:rsidR="003266CC" w:rsidRPr="00852230">
          <w:rPr>
            <w:rStyle w:val="Hypertextovodkaz"/>
            <w:rFonts w:ascii="Arial" w:hAnsi="Arial" w:cs="Arial"/>
            <w:iCs/>
            <w:sz w:val="18"/>
            <w:szCs w:val="18"/>
          </w:rPr>
          <w:t>http://www2012.mfcr.cz/cps/rde/xchg/mfcr/xsl/dane_ucetni_reforma_vf_pravpred_platna_leg_vyhlasky2011_67128.html</w:t>
        </w:r>
      </w:hyperlink>
    </w:p>
    <w:p w14:paraId="00D91949" w14:textId="77777777" w:rsidR="003266CC" w:rsidRPr="00852230" w:rsidRDefault="00060A36" w:rsidP="00852230">
      <w:pPr>
        <w:pStyle w:val="Odstavecseseznamem"/>
        <w:ind w:left="284" w:hanging="284"/>
        <w:jc w:val="both"/>
        <w:rPr>
          <w:rFonts w:ascii="Arial" w:hAnsi="Arial" w:cs="Arial"/>
          <w:bCs/>
          <w:iCs/>
          <w:sz w:val="18"/>
          <w:szCs w:val="18"/>
        </w:rPr>
      </w:pPr>
      <w:hyperlink r:id="rId7" w:history="1">
        <w:r w:rsidR="003266CC" w:rsidRPr="00852230">
          <w:rPr>
            <w:rStyle w:val="Hypertextovodkaz"/>
            <w:rFonts w:ascii="Arial" w:hAnsi="Arial" w:cs="Arial"/>
            <w:iCs/>
            <w:sz w:val="18"/>
            <w:szCs w:val="18"/>
          </w:rPr>
          <w:t>www2012.mfcr.cz/cps/rde/xchg/mfcr/xsl/dane_ucetni_reforma_vf_pravpred_platna_leg_vyhlasky_70936.html</w:t>
        </w:r>
      </w:hyperlink>
    </w:p>
    <w:p w14:paraId="00D9194A" w14:textId="77777777" w:rsidR="003266CC" w:rsidRPr="00260B0C" w:rsidRDefault="00060A36" w:rsidP="00260B0C">
      <w:pPr>
        <w:jc w:val="both"/>
        <w:rPr>
          <w:rStyle w:val="Znakapoznpodarou"/>
          <w:vertAlign w:val="baseline"/>
          <w:lang w:eastAsia="cs-CZ"/>
        </w:rPr>
      </w:pPr>
      <w:hyperlink r:id="rId8" w:history="1">
        <w:r w:rsidR="003266CC" w:rsidRPr="00852230">
          <w:rPr>
            <w:rStyle w:val="Hypertextovodkaz"/>
            <w:rFonts w:ascii="Arial" w:hAnsi="Arial" w:cs="Arial"/>
            <w:iCs/>
            <w:sz w:val="18"/>
            <w:szCs w:val="18"/>
          </w:rPr>
          <w:t>www.mfcr.cz/cs/legislativa/metodiky/2012/aktualizovana-metodika-tvorby-pap-vc-pri-11412</w:t>
        </w:r>
      </w:hyperlink>
      <w:hyperlink w:history="1"/>
    </w:p>
  </w:footnote>
  <w:footnote w:id="6">
    <w:p w14:paraId="00D9194B" w14:textId="77777777" w:rsidR="003266CC" w:rsidRPr="00852230" w:rsidRDefault="003266CC" w:rsidP="00852230">
      <w:pPr>
        <w:pStyle w:val="Textpoznpodarou"/>
        <w:ind w:left="284" w:hanging="284"/>
        <w:jc w:val="both"/>
        <w:rPr>
          <w:rFonts w:ascii="Arial" w:hAnsi="Arial" w:cs="Arial"/>
          <w:sz w:val="18"/>
          <w:szCs w:val="18"/>
        </w:rPr>
      </w:pPr>
      <w:r w:rsidRPr="00852230">
        <w:rPr>
          <w:rStyle w:val="Znakapoznpodarou"/>
          <w:rFonts w:ascii="Arial" w:hAnsi="Arial" w:cs="Arial"/>
          <w:sz w:val="18"/>
          <w:szCs w:val="18"/>
        </w:rPr>
        <w:footnoteRef/>
      </w:r>
      <w:r w:rsidRPr="00852230">
        <w:rPr>
          <w:rFonts w:ascii="Arial" w:hAnsi="Arial" w:cs="Arial"/>
          <w:sz w:val="18"/>
          <w:szCs w:val="18"/>
        </w:rPr>
        <w:t xml:space="preserve"> </w:t>
      </w:r>
      <w:r>
        <w:rPr>
          <w:rFonts w:ascii="Arial" w:hAnsi="Arial" w:cs="Arial"/>
          <w:sz w:val="18"/>
          <w:szCs w:val="18"/>
        </w:rPr>
        <w:tab/>
      </w:r>
      <w:r w:rsidRPr="00852230">
        <w:rPr>
          <w:rFonts w:ascii="Arial" w:hAnsi="Arial" w:cs="Arial"/>
          <w:sz w:val="18"/>
          <w:szCs w:val="18"/>
        </w:rPr>
        <w:t>Vyhláška č. 410/2009 Sb., kterou se provádějí některá ustanovení zákona č. 563/1991 Sb., o účetnictví, ve znění pozdějších předpisů, pro některé vybrané účetní jednotky.</w:t>
      </w:r>
    </w:p>
  </w:footnote>
  <w:footnote w:id="7">
    <w:p w14:paraId="00D9194C" w14:textId="77777777" w:rsidR="003266CC" w:rsidRDefault="003266CC" w:rsidP="00852230">
      <w:pPr>
        <w:pStyle w:val="Textpoznpodarou"/>
        <w:ind w:left="284" w:hanging="284"/>
        <w:jc w:val="both"/>
        <w:rPr>
          <w:rFonts w:ascii="Arial" w:hAnsi="Arial" w:cs="Arial"/>
          <w:sz w:val="18"/>
          <w:szCs w:val="18"/>
        </w:rPr>
      </w:pPr>
      <w:r w:rsidRPr="00852230">
        <w:rPr>
          <w:rStyle w:val="Znakapoznpodarou"/>
          <w:rFonts w:ascii="Arial" w:hAnsi="Arial" w:cs="Arial"/>
          <w:sz w:val="18"/>
          <w:szCs w:val="18"/>
        </w:rPr>
        <w:footnoteRef/>
      </w:r>
      <w:r w:rsidRPr="00852230">
        <w:rPr>
          <w:rFonts w:ascii="Arial" w:hAnsi="Arial" w:cs="Arial"/>
          <w:sz w:val="18"/>
          <w:szCs w:val="18"/>
        </w:rPr>
        <w:t xml:space="preserve"> </w:t>
      </w:r>
      <w:r>
        <w:rPr>
          <w:rFonts w:ascii="Arial" w:hAnsi="Arial" w:cs="Arial"/>
          <w:sz w:val="18"/>
          <w:szCs w:val="18"/>
        </w:rPr>
        <w:tab/>
      </w:r>
      <w:r w:rsidRPr="00852230">
        <w:rPr>
          <w:rFonts w:ascii="Arial" w:hAnsi="Arial" w:cs="Arial"/>
          <w:sz w:val="18"/>
          <w:szCs w:val="18"/>
        </w:rPr>
        <w:t xml:space="preserve">Viz např. KA č. 10/20 – </w:t>
      </w:r>
      <w:r w:rsidRPr="00852230">
        <w:rPr>
          <w:rFonts w:ascii="Arial" w:hAnsi="Arial" w:cs="Arial"/>
          <w:i/>
          <w:sz w:val="18"/>
          <w:szCs w:val="18"/>
        </w:rPr>
        <w:t>Závěrečný účet kapitoly státního rozpočtu Ministerstvo školství, mládeže a</w:t>
      </w:r>
      <w:r>
        <w:rPr>
          <w:rFonts w:ascii="Arial" w:hAnsi="Arial" w:cs="Arial"/>
          <w:i/>
          <w:sz w:val="18"/>
          <w:szCs w:val="18"/>
        </w:rPr>
        <w:t> </w:t>
      </w:r>
      <w:r w:rsidRPr="00852230">
        <w:rPr>
          <w:rFonts w:ascii="Arial" w:hAnsi="Arial" w:cs="Arial"/>
          <w:i/>
          <w:sz w:val="18"/>
          <w:szCs w:val="18"/>
        </w:rPr>
        <w:t>tělovýchovy</w:t>
      </w:r>
      <w:r w:rsidRPr="00852230">
        <w:rPr>
          <w:rFonts w:ascii="Arial" w:hAnsi="Arial" w:cs="Arial"/>
          <w:sz w:val="18"/>
          <w:szCs w:val="18"/>
        </w:rPr>
        <w:t xml:space="preserve"> </w:t>
      </w:r>
      <w:r w:rsidRPr="00852230">
        <w:rPr>
          <w:rFonts w:ascii="Arial" w:hAnsi="Arial" w:cs="Arial"/>
          <w:i/>
          <w:sz w:val="18"/>
          <w:szCs w:val="18"/>
        </w:rPr>
        <w:t>za rok 2010</w:t>
      </w:r>
      <w:r w:rsidRPr="00852230">
        <w:rPr>
          <w:rFonts w:ascii="Arial" w:hAnsi="Arial" w:cs="Arial"/>
          <w:sz w:val="18"/>
          <w:szCs w:val="18"/>
        </w:rPr>
        <w:t xml:space="preserve"> (kontrolní závěr byl zveřejněn v částce 3</w:t>
      </w:r>
      <w:r>
        <w:rPr>
          <w:rFonts w:ascii="Arial" w:hAnsi="Arial" w:cs="Arial"/>
          <w:sz w:val="18"/>
          <w:szCs w:val="18"/>
        </w:rPr>
        <w:t>/</w:t>
      </w:r>
      <w:r w:rsidRPr="00852230">
        <w:rPr>
          <w:rFonts w:ascii="Arial" w:hAnsi="Arial" w:cs="Arial"/>
          <w:sz w:val="18"/>
          <w:szCs w:val="18"/>
        </w:rPr>
        <w:t xml:space="preserve">2011 </w:t>
      </w:r>
      <w:r w:rsidRPr="00260B0C">
        <w:rPr>
          <w:rFonts w:ascii="Arial" w:hAnsi="Arial" w:cs="Arial"/>
          <w:i/>
          <w:sz w:val="18"/>
          <w:szCs w:val="18"/>
        </w:rPr>
        <w:t>Věstníku NKÚ</w:t>
      </w:r>
      <w:r w:rsidRPr="00852230">
        <w:rPr>
          <w:rFonts w:ascii="Arial" w:hAnsi="Arial" w:cs="Arial"/>
          <w:sz w:val="18"/>
          <w:szCs w:val="18"/>
        </w:rPr>
        <w:t xml:space="preserve">), </w:t>
      </w:r>
    </w:p>
    <w:p w14:paraId="00D9194D" w14:textId="77777777" w:rsidR="003266CC" w:rsidRPr="00852230" w:rsidRDefault="003266CC" w:rsidP="00E41529">
      <w:pPr>
        <w:pStyle w:val="Textpoznpodarou"/>
        <w:ind w:left="284"/>
        <w:jc w:val="both"/>
        <w:rPr>
          <w:rFonts w:ascii="Arial" w:hAnsi="Arial" w:cs="Arial"/>
          <w:sz w:val="18"/>
          <w:szCs w:val="18"/>
        </w:rPr>
      </w:pPr>
      <w:r w:rsidRPr="00852230">
        <w:rPr>
          <w:rFonts w:ascii="Arial" w:hAnsi="Arial" w:cs="Arial"/>
          <w:sz w:val="18"/>
          <w:szCs w:val="18"/>
        </w:rPr>
        <w:t>KA č.</w:t>
      </w:r>
      <w:r>
        <w:rPr>
          <w:rFonts w:ascii="Arial" w:hAnsi="Arial" w:cs="Arial"/>
          <w:sz w:val="18"/>
          <w:szCs w:val="18"/>
        </w:rPr>
        <w:t> </w:t>
      </w:r>
      <w:r w:rsidRPr="00852230">
        <w:rPr>
          <w:rFonts w:ascii="Arial" w:hAnsi="Arial" w:cs="Arial"/>
          <w:sz w:val="18"/>
          <w:szCs w:val="18"/>
        </w:rPr>
        <w:t xml:space="preserve">11/29 – </w:t>
      </w:r>
      <w:r w:rsidRPr="00852230">
        <w:rPr>
          <w:rFonts w:ascii="Arial" w:hAnsi="Arial" w:cs="Arial"/>
          <w:i/>
          <w:sz w:val="18"/>
          <w:szCs w:val="18"/>
        </w:rPr>
        <w:t>Závěrečný účet kapitoly státního rozpočtu Ministerstvo školství, mládeže a tělovýchovy za rok 2011</w:t>
      </w:r>
      <w:r w:rsidRPr="00852230">
        <w:rPr>
          <w:rFonts w:ascii="Arial" w:hAnsi="Arial" w:cs="Arial"/>
          <w:sz w:val="18"/>
          <w:szCs w:val="18"/>
        </w:rPr>
        <w:t xml:space="preserve"> (kontrolní závěr byl zveřejněn v částce 3</w:t>
      </w:r>
      <w:r>
        <w:rPr>
          <w:rFonts w:ascii="Arial" w:hAnsi="Arial" w:cs="Arial"/>
          <w:sz w:val="18"/>
          <w:szCs w:val="18"/>
        </w:rPr>
        <w:t>/</w:t>
      </w:r>
      <w:r w:rsidRPr="00852230">
        <w:rPr>
          <w:rFonts w:ascii="Arial" w:hAnsi="Arial" w:cs="Arial"/>
          <w:sz w:val="18"/>
          <w:szCs w:val="18"/>
        </w:rPr>
        <w:t xml:space="preserve">2012 </w:t>
      </w:r>
      <w:r w:rsidRPr="00260B0C">
        <w:rPr>
          <w:rFonts w:ascii="Arial" w:hAnsi="Arial" w:cs="Arial"/>
          <w:i/>
          <w:sz w:val="18"/>
          <w:szCs w:val="18"/>
        </w:rPr>
        <w:t>Věstníku NKÚ</w:t>
      </w:r>
      <w:r w:rsidRPr="00852230">
        <w:rPr>
          <w:rFonts w:ascii="Arial" w:hAnsi="Arial" w:cs="Arial"/>
          <w:sz w:val="18"/>
          <w:szCs w:val="18"/>
        </w:rPr>
        <w:t xml:space="preserve">) nebo KA č. 12/15 – </w:t>
      </w:r>
      <w:r w:rsidRPr="00852230">
        <w:rPr>
          <w:rFonts w:ascii="Arial" w:hAnsi="Arial" w:cs="Arial"/>
          <w:i/>
          <w:sz w:val="18"/>
          <w:szCs w:val="18"/>
        </w:rPr>
        <w:t>Závěrečný účet kapitoly státního rozpočtu Ministerstvo zemědělství za rok 2011, účetní závěrka a finanční výkazy Ministerstva zemědělství za rok</w:t>
      </w:r>
      <w:r w:rsidRPr="00852230">
        <w:rPr>
          <w:rFonts w:ascii="Arial" w:hAnsi="Arial" w:cs="Arial"/>
          <w:sz w:val="18"/>
          <w:szCs w:val="18"/>
        </w:rPr>
        <w:t xml:space="preserve"> </w:t>
      </w:r>
      <w:r w:rsidRPr="00852230">
        <w:rPr>
          <w:rFonts w:ascii="Arial" w:hAnsi="Arial" w:cs="Arial"/>
          <w:i/>
          <w:sz w:val="18"/>
          <w:szCs w:val="18"/>
        </w:rPr>
        <w:t>2011</w:t>
      </w:r>
      <w:r w:rsidRPr="00852230">
        <w:rPr>
          <w:rFonts w:ascii="Arial" w:hAnsi="Arial" w:cs="Arial"/>
          <w:sz w:val="18"/>
          <w:szCs w:val="18"/>
        </w:rPr>
        <w:t xml:space="preserve"> (kontrolní závěr byl zveřejněn v částce 2</w:t>
      </w:r>
      <w:r>
        <w:rPr>
          <w:rFonts w:ascii="Arial" w:hAnsi="Arial" w:cs="Arial"/>
          <w:sz w:val="18"/>
          <w:szCs w:val="18"/>
        </w:rPr>
        <w:t>/</w:t>
      </w:r>
      <w:r w:rsidRPr="00852230">
        <w:rPr>
          <w:rFonts w:ascii="Arial" w:hAnsi="Arial" w:cs="Arial"/>
          <w:sz w:val="18"/>
          <w:szCs w:val="18"/>
        </w:rPr>
        <w:t xml:space="preserve">2013 </w:t>
      </w:r>
      <w:r w:rsidRPr="00260B0C">
        <w:rPr>
          <w:rFonts w:ascii="Arial" w:hAnsi="Arial" w:cs="Arial"/>
          <w:i/>
          <w:sz w:val="18"/>
          <w:szCs w:val="18"/>
        </w:rPr>
        <w:t>Věstníku NKÚ</w:t>
      </w:r>
      <w:r w:rsidRPr="00852230">
        <w:rPr>
          <w:rFonts w:ascii="Arial" w:hAnsi="Arial" w:cs="Arial"/>
          <w:sz w:val="18"/>
          <w:szCs w:val="18"/>
        </w:rPr>
        <w:t>).</w:t>
      </w:r>
    </w:p>
  </w:footnote>
  <w:footnote w:id="8">
    <w:p w14:paraId="00D9194E" w14:textId="77777777" w:rsidR="003266CC" w:rsidRPr="00852230" w:rsidRDefault="003266CC" w:rsidP="00852230">
      <w:pPr>
        <w:pStyle w:val="Textpoznpodarou"/>
        <w:ind w:left="284" w:hanging="284"/>
        <w:jc w:val="both"/>
        <w:rPr>
          <w:rFonts w:ascii="Arial" w:hAnsi="Arial" w:cs="Arial"/>
          <w:sz w:val="18"/>
          <w:szCs w:val="18"/>
        </w:rPr>
      </w:pPr>
      <w:r w:rsidRPr="00852230">
        <w:rPr>
          <w:rStyle w:val="Znakapoznpodarou"/>
          <w:rFonts w:ascii="Arial" w:hAnsi="Arial" w:cs="Arial"/>
          <w:sz w:val="18"/>
          <w:szCs w:val="18"/>
        </w:rPr>
        <w:footnoteRef/>
      </w:r>
      <w:r w:rsidRPr="00852230">
        <w:rPr>
          <w:rFonts w:ascii="Arial" w:hAnsi="Arial" w:cs="Arial"/>
          <w:sz w:val="18"/>
          <w:szCs w:val="18"/>
        </w:rPr>
        <w:t xml:space="preserve"> </w:t>
      </w:r>
      <w:r>
        <w:rPr>
          <w:rFonts w:ascii="Arial" w:hAnsi="Arial" w:cs="Arial"/>
          <w:sz w:val="18"/>
          <w:szCs w:val="18"/>
        </w:rPr>
        <w:tab/>
      </w:r>
      <w:r w:rsidRPr="00852230">
        <w:rPr>
          <w:rFonts w:ascii="Arial" w:hAnsi="Arial" w:cs="Arial"/>
          <w:sz w:val="18"/>
          <w:szCs w:val="18"/>
        </w:rPr>
        <w:t xml:space="preserve">Viz např. KA č. 12/15 – </w:t>
      </w:r>
      <w:r w:rsidRPr="00852230">
        <w:rPr>
          <w:rFonts w:ascii="Arial" w:hAnsi="Arial" w:cs="Arial"/>
          <w:i/>
          <w:sz w:val="18"/>
          <w:szCs w:val="18"/>
        </w:rPr>
        <w:t>Závěrečný účet kapitoly státního rozpočtu Ministerstvo zemědělství za rok 2011, účetní závěrka a finanční výkazy Ministerstva zemědělství za rok</w:t>
      </w:r>
      <w:r w:rsidRPr="00852230">
        <w:rPr>
          <w:rFonts w:ascii="Arial" w:hAnsi="Arial" w:cs="Arial"/>
          <w:sz w:val="18"/>
          <w:szCs w:val="18"/>
        </w:rPr>
        <w:t xml:space="preserve"> </w:t>
      </w:r>
      <w:r w:rsidRPr="00852230">
        <w:rPr>
          <w:rFonts w:ascii="Arial" w:hAnsi="Arial" w:cs="Arial"/>
          <w:i/>
          <w:sz w:val="18"/>
          <w:szCs w:val="18"/>
        </w:rPr>
        <w:t>2011</w:t>
      </w:r>
      <w:r w:rsidRPr="00852230">
        <w:rPr>
          <w:rFonts w:ascii="Arial" w:hAnsi="Arial" w:cs="Arial"/>
          <w:sz w:val="18"/>
          <w:szCs w:val="18"/>
        </w:rPr>
        <w:t xml:space="preserve"> (kontrolní závěr byl zveřejněn v částce 2</w:t>
      </w:r>
      <w:r>
        <w:rPr>
          <w:rFonts w:ascii="Arial" w:hAnsi="Arial" w:cs="Arial"/>
          <w:sz w:val="18"/>
          <w:szCs w:val="18"/>
        </w:rPr>
        <w:t>/</w:t>
      </w:r>
      <w:r w:rsidRPr="00852230">
        <w:rPr>
          <w:rFonts w:ascii="Arial" w:hAnsi="Arial" w:cs="Arial"/>
          <w:sz w:val="18"/>
          <w:szCs w:val="18"/>
        </w:rPr>
        <w:t xml:space="preserve">2013 </w:t>
      </w:r>
      <w:r w:rsidRPr="00260B0C">
        <w:rPr>
          <w:rFonts w:ascii="Arial" w:hAnsi="Arial" w:cs="Arial"/>
          <w:i/>
          <w:sz w:val="18"/>
          <w:szCs w:val="18"/>
        </w:rPr>
        <w:t>Věstníku NKÚ</w:t>
      </w:r>
      <w:r w:rsidRPr="00852230">
        <w:rPr>
          <w:rFonts w:ascii="Arial" w:hAnsi="Arial" w:cs="Arial"/>
          <w:sz w:val="18"/>
          <w:szCs w:val="18"/>
        </w:rPr>
        <w:t>).</w:t>
      </w:r>
    </w:p>
  </w:footnote>
  <w:footnote w:id="9">
    <w:p w14:paraId="00D9194F" w14:textId="77777777" w:rsidR="003266CC" w:rsidRPr="00852230" w:rsidRDefault="003266CC" w:rsidP="00852230">
      <w:pPr>
        <w:pStyle w:val="Textpoznpodarou"/>
        <w:ind w:left="284" w:hanging="284"/>
        <w:jc w:val="both"/>
        <w:rPr>
          <w:rFonts w:ascii="Arial" w:hAnsi="Arial" w:cs="Arial"/>
          <w:sz w:val="18"/>
          <w:szCs w:val="18"/>
        </w:rPr>
      </w:pPr>
      <w:r w:rsidRPr="00852230">
        <w:rPr>
          <w:rStyle w:val="Znakapoznpodarou"/>
          <w:rFonts w:ascii="Arial" w:hAnsi="Arial" w:cs="Arial"/>
          <w:sz w:val="18"/>
          <w:szCs w:val="18"/>
        </w:rPr>
        <w:footnoteRef/>
      </w:r>
      <w:r w:rsidRPr="00852230">
        <w:rPr>
          <w:rFonts w:ascii="Arial" w:hAnsi="Arial" w:cs="Arial"/>
          <w:sz w:val="18"/>
          <w:szCs w:val="18"/>
        </w:rPr>
        <w:t xml:space="preserve"> </w:t>
      </w:r>
      <w:r>
        <w:rPr>
          <w:rFonts w:ascii="Arial" w:hAnsi="Arial" w:cs="Arial"/>
          <w:sz w:val="18"/>
          <w:szCs w:val="18"/>
        </w:rPr>
        <w:tab/>
      </w:r>
      <w:r w:rsidRPr="00852230">
        <w:rPr>
          <w:rFonts w:ascii="Arial" w:hAnsi="Arial" w:cs="Arial"/>
          <w:sz w:val="18"/>
          <w:szCs w:val="18"/>
        </w:rPr>
        <w:t>Pro účely tohoto standardu se rozumí transferem poskytnutí peněžních prostředků z veřejných rozpočtů i</w:t>
      </w:r>
      <w:r>
        <w:rPr>
          <w:rFonts w:ascii="Arial" w:hAnsi="Arial" w:cs="Arial"/>
          <w:sz w:val="18"/>
          <w:szCs w:val="18"/>
        </w:rPr>
        <w:t> </w:t>
      </w:r>
      <w:r w:rsidRPr="00852230">
        <w:rPr>
          <w:rFonts w:ascii="Arial" w:hAnsi="Arial" w:cs="Arial"/>
          <w:sz w:val="18"/>
          <w:szCs w:val="18"/>
        </w:rPr>
        <w:t>přijetí peněžních prostředků veřejnými rozpočty, včetně prostředků ze zahraničí, zejména v případě státního rozpočtu, rozpočtů územních samospráv či státních fondů, tedy zejména dotace, granty, příspěvky, subvence, dávky, nenávratné finanční výpomoci, podpory či peněžní dary.</w:t>
      </w:r>
    </w:p>
  </w:footnote>
  <w:footnote w:id="10">
    <w:p w14:paraId="00D91950" w14:textId="77777777" w:rsidR="003266CC" w:rsidRPr="00260B0C" w:rsidRDefault="003266CC" w:rsidP="00260B0C">
      <w:pPr>
        <w:pStyle w:val="Textpoznpodarou"/>
        <w:ind w:left="284" w:hanging="284"/>
        <w:jc w:val="both"/>
        <w:rPr>
          <w:rFonts w:ascii="Arial" w:hAnsi="Arial" w:cs="Arial"/>
          <w:sz w:val="18"/>
          <w:szCs w:val="18"/>
        </w:rPr>
      </w:pPr>
      <w:r w:rsidRPr="006519C4">
        <w:rPr>
          <w:rStyle w:val="Znakapoznpodarou"/>
          <w:rFonts w:ascii="Arial" w:hAnsi="Arial" w:cs="Arial"/>
          <w:sz w:val="18"/>
          <w:szCs w:val="18"/>
        </w:rPr>
        <w:footnoteRef/>
      </w:r>
      <w:r>
        <w:rPr>
          <w:rFonts w:ascii="Arial" w:hAnsi="Arial" w:cs="Arial"/>
          <w:bCs/>
          <w:iCs/>
          <w:sz w:val="18"/>
          <w:szCs w:val="18"/>
        </w:rPr>
        <w:tab/>
      </w:r>
      <w:r w:rsidRPr="006519C4">
        <w:rPr>
          <w:rFonts w:ascii="Arial" w:hAnsi="Arial" w:cs="Arial"/>
          <w:bCs/>
          <w:iCs/>
          <w:sz w:val="18"/>
          <w:szCs w:val="18"/>
        </w:rPr>
        <w:t xml:space="preserve">Národní fond je podle zákona č. 218/2000 Sb. „… </w:t>
      </w:r>
      <w:r w:rsidRPr="006519C4">
        <w:rPr>
          <w:rFonts w:ascii="Arial" w:hAnsi="Arial" w:cs="Arial"/>
          <w:bCs/>
          <w:i/>
          <w:iCs/>
          <w:sz w:val="18"/>
          <w:szCs w:val="18"/>
        </w:rPr>
        <w:t>souhrn peněžních prostředků, které svěřuje Evropská unie České republice k realizaci programů nebo projektů spolufinancovaných z rozpočtu Evropské unie</w:t>
      </w:r>
      <w:r>
        <w:rPr>
          <w:rFonts w:ascii="Arial" w:hAnsi="Arial" w:cs="Arial"/>
          <w:bCs/>
          <w:i/>
          <w:iCs/>
          <w:sz w:val="18"/>
          <w:szCs w:val="18"/>
        </w:rPr>
        <w:t xml:space="preserve"> …</w:t>
      </w:r>
      <w:r w:rsidRPr="005F3340">
        <w:rPr>
          <w:rFonts w:ascii="Arial" w:hAnsi="Arial" w:cs="Arial"/>
          <w:bCs/>
          <w:iCs/>
          <w:sz w:val="18"/>
          <w:szCs w:val="18"/>
        </w:rPr>
        <w:t>“</w:t>
      </w:r>
      <w:r w:rsidRPr="006519C4">
        <w:rPr>
          <w:rFonts w:ascii="Arial" w:hAnsi="Arial" w:cs="Arial"/>
          <w:sz w:val="18"/>
          <w:szCs w:val="18"/>
        </w:rPr>
        <w:t xml:space="preserve"> V souladu s tím vyhláška č. 410/2009 Sb. stanovuje, že prostředky EU a Národního fondu se u Ministerstva financí účtují na účtu 245 – </w:t>
      </w:r>
      <w:r w:rsidRPr="006519C4">
        <w:rPr>
          <w:rFonts w:ascii="Arial" w:hAnsi="Arial" w:cs="Arial"/>
          <w:i/>
          <w:sz w:val="18"/>
          <w:szCs w:val="18"/>
        </w:rPr>
        <w:t>Jiné běžné účty</w:t>
      </w:r>
      <w:r w:rsidRPr="006519C4">
        <w:rPr>
          <w:rFonts w:ascii="Arial" w:hAnsi="Arial" w:cs="Arial"/>
          <w:sz w:val="18"/>
          <w:szCs w:val="18"/>
        </w:rPr>
        <w:t>. Dle § 45 odst. 3 zákona č. 218/2000 Sb. tak jde o</w:t>
      </w:r>
      <w:r>
        <w:rPr>
          <w:rFonts w:ascii="Arial" w:hAnsi="Arial" w:cs="Arial"/>
          <w:sz w:val="18"/>
          <w:szCs w:val="18"/>
        </w:rPr>
        <w:t> </w:t>
      </w:r>
      <w:r w:rsidRPr="006519C4">
        <w:rPr>
          <w:rFonts w:ascii="Arial" w:hAnsi="Arial" w:cs="Arial"/>
          <w:sz w:val="18"/>
          <w:szCs w:val="18"/>
        </w:rPr>
        <w:t>mimorozpočtové prostředky.</w:t>
      </w:r>
    </w:p>
  </w:footnote>
  <w:footnote w:id="11">
    <w:p w14:paraId="00D91951" w14:textId="77777777" w:rsidR="003266CC" w:rsidRPr="006519C4" w:rsidRDefault="003266CC" w:rsidP="00E00DF2">
      <w:pPr>
        <w:pStyle w:val="Textpoznpodarou"/>
        <w:ind w:left="284" w:hanging="284"/>
        <w:jc w:val="both"/>
        <w:rPr>
          <w:rFonts w:ascii="Arial" w:hAnsi="Arial" w:cs="Arial"/>
          <w:sz w:val="18"/>
          <w:szCs w:val="18"/>
        </w:rPr>
      </w:pPr>
      <w:r w:rsidRPr="006519C4">
        <w:rPr>
          <w:rStyle w:val="Znakapoznpodarou"/>
          <w:rFonts w:ascii="Arial" w:hAnsi="Arial" w:cs="Arial"/>
          <w:sz w:val="18"/>
          <w:szCs w:val="18"/>
        </w:rPr>
        <w:footnoteRef/>
      </w:r>
      <w:r w:rsidRPr="006519C4">
        <w:rPr>
          <w:rFonts w:ascii="Arial" w:hAnsi="Arial" w:cs="Arial"/>
          <w:sz w:val="18"/>
          <w:szCs w:val="18"/>
        </w:rPr>
        <w:tab/>
        <w:t>Rozhodující vliv je vymezen odkazem na § 66a zákona č. 513/1991 Sb., obchodní zákoník, a podstatný vliv je vymezen odkazem na § 22 zákona č. 563/1991 Sb., o účetnictví.</w:t>
      </w:r>
    </w:p>
  </w:footnote>
  <w:footnote w:id="12">
    <w:p w14:paraId="00D91952" w14:textId="77777777" w:rsidR="003266CC" w:rsidRPr="00785333" w:rsidRDefault="003266CC" w:rsidP="00260B0C">
      <w:pPr>
        <w:ind w:left="284" w:hanging="284"/>
        <w:jc w:val="both"/>
        <w:rPr>
          <w:rFonts w:ascii="Arial" w:hAnsi="Arial" w:cs="Arial"/>
          <w:sz w:val="18"/>
          <w:szCs w:val="18"/>
        </w:rPr>
      </w:pPr>
      <w:r w:rsidRPr="006519C4">
        <w:rPr>
          <w:rStyle w:val="Znakapoznpodarou"/>
          <w:rFonts w:ascii="Arial" w:hAnsi="Arial" w:cs="Arial"/>
          <w:sz w:val="18"/>
          <w:szCs w:val="18"/>
        </w:rPr>
        <w:footnoteRef/>
      </w:r>
      <w:r>
        <w:rPr>
          <w:rFonts w:ascii="Arial" w:hAnsi="Arial" w:cs="Arial"/>
          <w:bCs/>
          <w:sz w:val="18"/>
          <w:szCs w:val="18"/>
          <w:lang w:eastAsia="cs-CZ"/>
        </w:rPr>
        <w:tab/>
      </w:r>
      <w:r w:rsidRPr="006519C4">
        <w:rPr>
          <w:rFonts w:ascii="Arial" w:hAnsi="Arial" w:cs="Arial"/>
          <w:bCs/>
          <w:sz w:val="18"/>
          <w:szCs w:val="18"/>
          <w:lang w:eastAsia="cs-CZ"/>
        </w:rPr>
        <w:t>Problematika vykazování majetkových účastí státu v obchodních společnoste</w:t>
      </w:r>
      <w:r>
        <w:rPr>
          <w:rFonts w:ascii="Arial" w:hAnsi="Arial" w:cs="Arial"/>
          <w:bCs/>
          <w:sz w:val="18"/>
          <w:szCs w:val="18"/>
          <w:lang w:eastAsia="cs-CZ"/>
        </w:rPr>
        <w:t>ch</w:t>
      </w:r>
      <w:r w:rsidRPr="006519C4">
        <w:rPr>
          <w:rFonts w:ascii="Arial" w:hAnsi="Arial" w:cs="Arial"/>
          <w:bCs/>
          <w:sz w:val="18"/>
          <w:szCs w:val="18"/>
          <w:lang w:eastAsia="cs-CZ"/>
        </w:rPr>
        <w:t xml:space="preserve"> u OSS je NKÚ konstatována již od roku 2006, např. </w:t>
      </w:r>
      <w:r>
        <w:rPr>
          <w:rFonts w:ascii="Arial" w:hAnsi="Arial" w:cs="Arial"/>
          <w:bCs/>
          <w:sz w:val="18"/>
          <w:szCs w:val="18"/>
          <w:lang w:eastAsia="cs-CZ"/>
        </w:rPr>
        <w:t>v </w:t>
      </w:r>
      <w:r w:rsidRPr="006519C4">
        <w:rPr>
          <w:rFonts w:ascii="Arial" w:hAnsi="Arial" w:cs="Arial"/>
          <w:bCs/>
          <w:sz w:val="18"/>
          <w:szCs w:val="18"/>
          <w:lang w:eastAsia="cs-CZ"/>
        </w:rPr>
        <w:t xml:space="preserve">KA č. 06/20 – </w:t>
      </w:r>
      <w:r w:rsidRPr="006519C4">
        <w:rPr>
          <w:rFonts w:ascii="Arial" w:hAnsi="Arial" w:cs="Arial"/>
          <w:bCs/>
          <w:i/>
          <w:sz w:val="18"/>
          <w:szCs w:val="18"/>
          <w:lang w:eastAsia="cs-CZ"/>
        </w:rPr>
        <w:t>Závěrečný účet kapitoly státního rozpočtu Ministerstvo průmyslu a obchodu</w:t>
      </w:r>
      <w:r w:rsidRPr="006519C4">
        <w:rPr>
          <w:rFonts w:ascii="Arial" w:hAnsi="Arial" w:cs="Arial"/>
          <w:bCs/>
          <w:sz w:val="18"/>
          <w:szCs w:val="18"/>
          <w:lang w:eastAsia="cs-CZ"/>
        </w:rPr>
        <w:t xml:space="preserve"> (kontrolní závěr byl zveřejněn v částce 1</w:t>
      </w:r>
      <w:r>
        <w:rPr>
          <w:rFonts w:ascii="Arial" w:hAnsi="Arial" w:cs="Arial"/>
          <w:bCs/>
          <w:sz w:val="18"/>
          <w:szCs w:val="18"/>
          <w:lang w:eastAsia="cs-CZ"/>
        </w:rPr>
        <w:t>/</w:t>
      </w:r>
      <w:r w:rsidRPr="006519C4">
        <w:rPr>
          <w:rFonts w:ascii="Arial" w:hAnsi="Arial" w:cs="Arial"/>
          <w:bCs/>
          <w:sz w:val="18"/>
          <w:szCs w:val="18"/>
          <w:lang w:eastAsia="cs-CZ"/>
        </w:rPr>
        <w:t xml:space="preserve">2007 </w:t>
      </w:r>
      <w:r w:rsidRPr="00260B0C">
        <w:rPr>
          <w:rFonts w:ascii="Arial" w:hAnsi="Arial" w:cs="Arial"/>
          <w:bCs/>
          <w:i/>
          <w:sz w:val="18"/>
          <w:szCs w:val="18"/>
          <w:lang w:eastAsia="cs-CZ"/>
        </w:rPr>
        <w:t>Věstníku NKÚ</w:t>
      </w:r>
      <w:r w:rsidRPr="006519C4">
        <w:rPr>
          <w:rFonts w:ascii="Arial" w:hAnsi="Arial" w:cs="Arial"/>
          <w:bCs/>
          <w:sz w:val="18"/>
          <w:szCs w:val="18"/>
          <w:lang w:eastAsia="cs-CZ"/>
        </w:rPr>
        <w:t>).</w:t>
      </w:r>
    </w:p>
  </w:footnote>
  <w:footnote w:id="13">
    <w:p w14:paraId="00D91953" w14:textId="77777777" w:rsidR="003266CC" w:rsidRPr="006519C4" w:rsidRDefault="003266CC" w:rsidP="006519C4">
      <w:pPr>
        <w:pStyle w:val="Textpoznpodarou"/>
        <w:ind w:left="284" w:hanging="227"/>
        <w:jc w:val="both"/>
        <w:rPr>
          <w:rFonts w:ascii="Arial" w:hAnsi="Arial" w:cs="Arial"/>
          <w:color w:val="000000"/>
          <w:sz w:val="18"/>
          <w:szCs w:val="18"/>
        </w:rPr>
      </w:pPr>
      <w:r w:rsidRPr="006519C4">
        <w:rPr>
          <w:rStyle w:val="Znakapoznpodarou"/>
          <w:rFonts w:ascii="Arial" w:hAnsi="Arial" w:cs="Arial"/>
          <w:sz w:val="18"/>
          <w:szCs w:val="18"/>
        </w:rPr>
        <w:footnoteRef/>
      </w:r>
      <w:r>
        <w:rPr>
          <w:rFonts w:ascii="Arial" w:hAnsi="Arial" w:cs="Arial"/>
          <w:color w:val="000000"/>
          <w:sz w:val="18"/>
          <w:szCs w:val="18"/>
        </w:rPr>
        <w:tab/>
      </w:r>
      <w:r w:rsidRPr="006519C4">
        <w:rPr>
          <w:rFonts w:ascii="Arial" w:hAnsi="Arial" w:cs="Arial"/>
          <w:color w:val="000000"/>
          <w:sz w:val="18"/>
          <w:szCs w:val="18"/>
        </w:rPr>
        <w:t xml:space="preserve">Pokud by se MPO identifikovalo </w:t>
      </w:r>
      <w:r>
        <w:rPr>
          <w:rFonts w:ascii="Arial" w:hAnsi="Arial" w:cs="Arial"/>
          <w:color w:val="000000"/>
          <w:sz w:val="18"/>
          <w:szCs w:val="18"/>
        </w:rPr>
        <w:t>s</w:t>
      </w:r>
      <w:r w:rsidRPr="006519C4">
        <w:rPr>
          <w:rFonts w:ascii="Arial" w:hAnsi="Arial" w:cs="Arial"/>
          <w:color w:val="000000"/>
          <w:sz w:val="18"/>
          <w:szCs w:val="18"/>
        </w:rPr>
        <w:t xml:space="preserve"> rol</w:t>
      </w:r>
      <w:r>
        <w:rPr>
          <w:rFonts w:ascii="Arial" w:hAnsi="Arial" w:cs="Arial"/>
          <w:color w:val="000000"/>
          <w:sz w:val="18"/>
          <w:szCs w:val="18"/>
        </w:rPr>
        <w:t>í</w:t>
      </w:r>
      <w:r w:rsidRPr="006519C4">
        <w:rPr>
          <w:rFonts w:ascii="Arial" w:hAnsi="Arial" w:cs="Arial"/>
          <w:color w:val="000000"/>
          <w:sz w:val="18"/>
          <w:szCs w:val="18"/>
        </w:rPr>
        <w:t xml:space="preserve"> zprostředkovatele transferu, pak by při refundaci od Národního fondu neúčtovalo o výnosu, ale na rozvahových účtech. </w:t>
      </w:r>
      <w:r>
        <w:rPr>
          <w:rFonts w:ascii="Arial" w:hAnsi="Arial" w:cs="Arial"/>
          <w:color w:val="000000"/>
          <w:sz w:val="18"/>
          <w:szCs w:val="18"/>
        </w:rPr>
        <w:t>V </w:t>
      </w:r>
      <w:r w:rsidRPr="006519C4">
        <w:rPr>
          <w:rFonts w:ascii="Arial" w:hAnsi="Arial" w:cs="Arial"/>
          <w:color w:val="000000"/>
          <w:sz w:val="18"/>
          <w:szCs w:val="18"/>
        </w:rPr>
        <w:t>důsledku toho by pak ani neprovádělo analytické členění výnosového účtu stanovené pro PAP.</w:t>
      </w:r>
    </w:p>
  </w:footnote>
  <w:footnote w:id="14">
    <w:p w14:paraId="00D91954" w14:textId="77777777" w:rsidR="003266CC" w:rsidRPr="003161C7" w:rsidRDefault="003266CC" w:rsidP="004A7201">
      <w:pPr>
        <w:pStyle w:val="Textpoznpodarou"/>
        <w:ind w:left="284" w:hanging="227"/>
        <w:jc w:val="both"/>
        <w:rPr>
          <w:rFonts w:ascii="Arial" w:hAnsi="Arial" w:cs="Arial"/>
          <w:sz w:val="18"/>
          <w:szCs w:val="18"/>
        </w:rPr>
      </w:pPr>
      <w:r w:rsidRPr="006519C4">
        <w:rPr>
          <w:rStyle w:val="Znakapoznpodarou"/>
          <w:rFonts w:ascii="Arial" w:hAnsi="Arial" w:cs="Arial"/>
          <w:sz w:val="18"/>
          <w:szCs w:val="18"/>
        </w:rPr>
        <w:footnoteRef/>
      </w:r>
      <w:r w:rsidRPr="006519C4">
        <w:rPr>
          <w:rFonts w:ascii="Arial" w:hAnsi="Arial" w:cs="Arial"/>
          <w:sz w:val="18"/>
          <w:szCs w:val="18"/>
        </w:rPr>
        <w:t xml:space="preserve"> </w:t>
      </w:r>
      <w:r>
        <w:rPr>
          <w:rFonts w:ascii="Arial" w:hAnsi="Arial" w:cs="Arial"/>
          <w:sz w:val="18"/>
          <w:szCs w:val="18"/>
        </w:rPr>
        <w:tab/>
      </w:r>
      <w:r w:rsidRPr="006519C4">
        <w:rPr>
          <w:rFonts w:ascii="Arial" w:hAnsi="Arial" w:cs="Arial"/>
          <w:color w:val="000000"/>
          <w:sz w:val="18"/>
          <w:szCs w:val="18"/>
        </w:rPr>
        <w:t xml:space="preserve">Příloha č. 2a vyhlášky č. 383/2009 Sb. vymezuje analytická třídění pro účely PAP na účtu 671 tak, že v daném případě je vyhovující analytické členění 67199 – </w:t>
      </w:r>
      <w:r w:rsidRPr="006519C4">
        <w:rPr>
          <w:rFonts w:ascii="Arial" w:hAnsi="Arial" w:cs="Arial"/>
          <w:i/>
          <w:color w:val="000000"/>
          <w:sz w:val="18"/>
          <w:szCs w:val="18"/>
        </w:rPr>
        <w:t>Výnosy vybraných</w:t>
      </w:r>
      <w:r w:rsidRPr="006519C4">
        <w:rPr>
          <w:rFonts w:ascii="Arial" w:hAnsi="Arial" w:cs="Arial"/>
          <w:color w:val="000000"/>
          <w:sz w:val="18"/>
          <w:szCs w:val="18"/>
        </w:rPr>
        <w:t xml:space="preserve"> </w:t>
      </w:r>
      <w:r w:rsidRPr="006519C4">
        <w:rPr>
          <w:rFonts w:ascii="Arial" w:hAnsi="Arial" w:cs="Arial"/>
          <w:i/>
          <w:color w:val="000000"/>
          <w:sz w:val="18"/>
          <w:szCs w:val="18"/>
        </w:rPr>
        <w:t xml:space="preserve">ústředních vládních institucí </w:t>
      </w:r>
      <w:r w:rsidR="003366DD">
        <w:rPr>
          <w:rFonts w:ascii="Arial" w:hAnsi="Arial" w:cs="Arial"/>
          <w:i/>
          <w:color w:val="000000"/>
          <w:sz w:val="18"/>
          <w:szCs w:val="18"/>
        </w:rPr>
        <w:br/>
      </w:r>
      <w:r w:rsidRPr="006519C4">
        <w:rPr>
          <w:rFonts w:ascii="Arial" w:hAnsi="Arial" w:cs="Arial"/>
          <w:i/>
          <w:color w:val="000000"/>
          <w:sz w:val="18"/>
          <w:szCs w:val="18"/>
        </w:rPr>
        <w:t>z transferů</w:t>
      </w:r>
      <w:r>
        <w:rPr>
          <w:rFonts w:ascii="Arial" w:hAnsi="Arial" w:cs="Arial"/>
          <w:i/>
          <w:color w:val="000000"/>
          <w:sz w:val="18"/>
          <w:szCs w:val="18"/>
        </w:rPr>
        <w:t xml:space="preserve"> – </w:t>
      </w:r>
      <w:r w:rsidRPr="006519C4">
        <w:rPr>
          <w:rFonts w:ascii="Arial" w:hAnsi="Arial" w:cs="Arial"/>
          <w:i/>
          <w:color w:val="000000"/>
          <w:sz w:val="18"/>
          <w:szCs w:val="18"/>
        </w:rPr>
        <w:t>ostatní</w:t>
      </w:r>
      <w:r w:rsidRPr="006519C4">
        <w:rPr>
          <w:rFonts w:ascii="Arial" w:hAnsi="Arial" w:cs="Arial"/>
          <w:color w:val="000000"/>
          <w:sz w:val="18"/>
          <w:szCs w:val="18"/>
        </w:rPr>
        <w:t>.</w:t>
      </w:r>
    </w:p>
  </w:footnote>
  <w:footnote w:id="15">
    <w:p w14:paraId="00D91955" w14:textId="77777777" w:rsidR="003266CC" w:rsidRPr="0010140F" w:rsidRDefault="003266CC" w:rsidP="0010140F">
      <w:pPr>
        <w:pStyle w:val="Textpoznpodarou"/>
        <w:ind w:left="284" w:hanging="284"/>
        <w:jc w:val="both"/>
        <w:rPr>
          <w:rFonts w:ascii="Arial" w:hAnsi="Arial" w:cs="Arial"/>
          <w:sz w:val="18"/>
          <w:szCs w:val="18"/>
        </w:rPr>
      </w:pPr>
      <w:r w:rsidRPr="0010140F">
        <w:rPr>
          <w:rStyle w:val="Znakapoznpodarou"/>
          <w:rFonts w:ascii="Arial" w:hAnsi="Arial" w:cs="Arial"/>
          <w:sz w:val="18"/>
          <w:szCs w:val="18"/>
        </w:rPr>
        <w:footnoteRef/>
      </w:r>
      <w:r>
        <w:rPr>
          <w:rFonts w:ascii="Arial" w:hAnsi="Arial" w:cs="Arial"/>
          <w:sz w:val="18"/>
          <w:szCs w:val="18"/>
        </w:rPr>
        <w:tab/>
        <w:t>Ve státním závěrečném účtu je uvedeno, že nominální, resp. jmenovitá hodnota 60 709 493 kusů akcií (34 % akcií ČEPS, a.s.) činí 4 431 792 989 Kč, MPO však tyto akcie převzalo ve jmenovité hodnotě 3 581 860 087 Kč, tj. v částce o 849 932 902 Kč nižší. Z výpisu z obchodního rejstříku vyplývá, že důvodem je, že mimořádná valná hromada společnosti ČEPS, a.s., přijala dne 12. 1. 2006 usnesení, že: „</w:t>
      </w:r>
      <w:r w:rsidRPr="000D46B4">
        <w:rPr>
          <w:rFonts w:ascii="Arial" w:hAnsi="Arial" w:cs="Arial"/>
          <w:i/>
          <w:sz w:val="18"/>
          <w:szCs w:val="18"/>
        </w:rPr>
        <w:t>Jmenovitá hodnota všech akcií se sníží ze stávajících 73 Kč (slovy</w:t>
      </w:r>
      <w:r w:rsidR="00795F71" w:rsidRPr="000D46B4">
        <w:rPr>
          <w:rFonts w:ascii="Arial" w:hAnsi="Arial" w:cs="Arial"/>
          <w:i/>
          <w:sz w:val="18"/>
          <w:szCs w:val="18"/>
        </w:rPr>
        <w:t>:</w:t>
      </w:r>
      <w:r w:rsidRPr="000D46B4">
        <w:rPr>
          <w:rFonts w:ascii="Arial" w:hAnsi="Arial" w:cs="Arial"/>
          <w:i/>
          <w:sz w:val="18"/>
          <w:szCs w:val="18"/>
        </w:rPr>
        <w:t xml:space="preserve"> sedmdesát tři korun českých) na novou jmenovitou hodnotu ve výši 59 Kč (padesát devět korun českých) za akcie. V důsledku snížení základního kapitálu se poskytne jednotlivým akcionářům společnosti ČEPS, a. s.</w:t>
      </w:r>
      <w:r w:rsidR="00795F71" w:rsidRPr="000D46B4">
        <w:rPr>
          <w:rFonts w:ascii="Arial" w:hAnsi="Arial" w:cs="Arial"/>
          <w:i/>
          <w:sz w:val="18"/>
          <w:szCs w:val="18"/>
        </w:rPr>
        <w:t>,</w:t>
      </w:r>
      <w:r w:rsidRPr="000D46B4">
        <w:rPr>
          <w:rFonts w:ascii="Arial" w:hAnsi="Arial" w:cs="Arial"/>
          <w:i/>
          <w:sz w:val="18"/>
          <w:szCs w:val="18"/>
        </w:rPr>
        <w:t xml:space="preserve"> plnění odpovíd</w:t>
      </w:r>
      <w:r w:rsidR="00795F71" w:rsidRPr="000D46B4">
        <w:rPr>
          <w:rFonts w:ascii="Arial" w:hAnsi="Arial" w:cs="Arial"/>
          <w:i/>
          <w:sz w:val="18"/>
          <w:szCs w:val="18"/>
        </w:rPr>
        <w:t xml:space="preserve">ající </w:t>
      </w:r>
      <w:r w:rsidRPr="000D46B4">
        <w:rPr>
          <w:rFonts w:ascii="Arial" w:hAnsi="Arial" w:cs="Arial"/>
          <w:i/>
          <w:sz w:val="18"/>
          <w:szCs w:val="18"/>
        </w:rPr>
        <w:t>tomuto snížení a výši jejich podílů na základním kapitálu k rozhodnému dni k účasti na této valné hromadě.</w:t>
      </w:r>
      <w:r w:rsidRPr="000D46B4">
        <w:rPr>
          <w:rFonts w:ascii="Arial" w:hAnsi="Arial" w:cs="Arial"/>
          <w:sz w:val="18"/>
          <w:szCs w:val="18"/>
        </w:rPr>
        <w:t xml:space="preserve">“ </w:t>
      </w:r>
    </w:p>
  </w:footnote>
  <w:footnote w:id="16">
    <w:p w14:paraId="00D91956" w14:textId="77777777" w:rsidR="003266CC" w:rsidRPr="006519C4" w:rsidRDefault="003266CC" w:rsidP="006519C4">
      <w:pPr>
        <w:widowControl w:val="0"/>
        <w:shd w:val="clear" w:color="auto" w:fill="FFFFFF"/>
        <w:autoSpaceDE w:val="0"/>
        <w:autoSpaceDN w:val="0"/>
        <w:adjustRightInd w:val="0"/>
        <w:ind w:left="284" w:right="28" w:hanging="284"/>
        <w:jc w:val="both"/>
        <w:rPr>
          <w:rFonts w:ascii="Arial" w:hAnsi="Arial" w:cs="Arial"/>
          <w:sz w:val="18"/>
          <w:szCs w:val="18"/>
        </w:rPr>
      </w:pPr>
      <w:r w:rsidRPr="0010140F">
        <w:rPr>
          <w:rStyle w:val="Znakapoznpodarou"/>
          <w:rFonts w:ascii="Arial" w:hAnsi="Arial" w:cs="Arial"/>
          <w:sz w:val="18"/>
          <w:szCs w:val="18"/>
        </w:rPr>
        <w:footnoteRef/>
      </w:r>
      <w:r w:rsidRPr="0010140F">
        <w:rPr>
          <w:rFonts w:ascii="Arial" w:hAnsi="Arial" w:cs="Arial"/>
          <w:sz w:val="18"/>
          <w:szCs w:val="18"/>
        </w:rPr>
        <w:tab/>
        <w:t>Uvedenou</w:t>
      </w:r>
      <w:r w:rsidRPr="006519C4">
        <w:rPr>
          <w:rFonts w:ascii="Arial" w:hAnsi="Arial" w:cs="Arial"/>
          <w:sz w:val="18"/>
          <w:szCs w:val="18"/>
        </w:rPr>
        <w:t xml:space="preserve"> skutečnost potvrzuje také informace projednaná ve vládě ČR dne 10. listopadu 2004 (bez čísla usnesení vlády). V předkládací zprávě k tomuto materiálu je uvedeno: „… </w:t>
      </w:r>
      <w:r w:rsidRPr="006519C4">
        <w:rPr>
          <w:rFonts w:ascii="Arial" w:hAnsi="Arial" w:cs="Arial"/>
          <w:i/>
          <w:sz w:val="18"/>
          <w:szCs w:val="18"/>
        </w:rPr>
        <w:t xml:space="preserve">Stát, prostřednictvím Ministerstva financí, tedy </w:t>
      </w:r>
      <w:r>
        <w:rPr>
          <w:rFonts w:ascii="Arial" w:hAnsi="Arial" w:cs="Arial"/>
          <w:i/>
          <w:sz w:val="18"/>
          <w:szCs w:val="18"/>
        </w:rPr>
        <w:t>v </w:t>
      </w:r>
      <w:r w:rsidRPr="006519C4">
        <w:rPr>
          <w:rFonts w:ascii="Arial" w:hAnsi="Arial" w:cs="Arial"/>
          <w:i/>
          <w:sz w:val="18"/>
          <w:szCs w:val="18"/>
        </w:rPr>
        <w:t xml:space="preserve">září tohoto roku, nabyl 60 709 493 kusů kmenových akcií společnosti ČEPS, a.s., a to za celkovou kupní cenu stanovenou znaleckým posudkem na 7 087 421 000,- Kč, tj. 116,74 Kč / za jednu akcii společnosti ČEPS, a.s. Ministerstvo financí eviduje výše uvedený podíl </w:t>
      </w:r>
      <w:r>
        <w:rPr>
          <w:rFonts w:ascii="Arial" w:hAnsi="Arial" w:cs="Arial"/>
          <w:i/>
          <w:sz w:val="18"/>
          <w:szCs w:val="18"/>
        </w:rPr>
        <w:t>v </w:t>
      </w:r>
      <w:r w:rsidRPr="006519C4">
        <w:rPr>
          <w:rFonts w:ascii="Arial" w:hAnsi="Arial" w:cs="Arial"/>
          <w:i/>
          <w:sz w:val="18"/>
          <w:szCs w:val="18"/>
        </w:rPr>
        <w:t xml:space="preserve">bilanci státních finančních aktiv </w:t>
      </w:r>
      <w:r>
        <w:rPr>
          <w:rFonts w:ascii="Arial" w:hAnsi="Arial" w:cs="Arial"/>
          <w:i/>
          <w:sz w:val="18"/>
          <w:szCs w:val="18"/>
        </w:rPr>
        <w:t>…</w:t>
      </w:r>
      <w:r w:rsidRPr="006519C4">
        <w:rPr>
          <w:rFonts w:ascii="Arial" w:hAnsi="Arial" w:cs="Arial"/>
          <w:sz w:val="18"/>
          <w:szCs w:val="18"/>
        </w:rPr>
        <w:t>“</w:t>
      </w:r>
    </w:p>
  </w:footnote>
  <w:footnote w:id="17">
    <w:p w14:paraId="00D91957" w14:textId="77777777" w:rsidR="003266CC" w:rsidRPr="006519C4" w:rsidRDefault="003266CC" w:rsidP="006519C4">
      <w:pPr>
        <w:pStyle w:val="Textpoznpodarou"/>
        <w:ind w:left="284" w:hanging="284"/>
        <w:jc w:val="both"/>
        <w:rPr>
          <w:rFonts w:ascii="Arial" w:hAnsi="Arial" w:cs="Arial"/>
          <w:bCs/>
          <w:sz w:val="18"/>
          <w:szCs w:val="18"/>
        </w:rPr>
      </w:pPr>
      <w:r w:rsidRPr="006519C4">
        <w:rPr>
          <w:rStyle w:val="Znakapoznpodarou"/>
          <w:rFonts w:ascii="Arial" w:hAnsi="Arial" w:cs="Arial"/>
          <w:sz w:val="18"/>
          <w:szCs w:val="18"/>
        </w:rPr>
        <w:footnoteRef/>
      </w:r>
      <w:r>
        <w:rPr>
          <w:rFonts w:ascii="Arial" w:hAnsi="Arial" w:cs="Arial"/>
          <w:sz w:val="18"/>
          <w:szCs w:val="18"/>
        </w:rPr>
        <w:tab/>
      </w:r>
      <w:r w:rsidRPr="006519C4">
        <w:rPr>
          <w:rFonts w:ascii="Arial" w:hAnsi="Arial" w:cs="Arial"/>
          <w:sz w:val="18"/>
          <w:szCs w:val="18"/>
        </w:rPr>
        <w:t xml:space="preserve">Kontrolní akce č. 12/28 – </w:t>
      </w:r>
      <w:r w:rsidRPr="006519C4">
        <w:rPr>
          <w:rFonts w:ascii="Arial" w:hAnsi="Arial" w:cs="Arial"/>
          <w:bCs/>
          <w:i/>
          <w:sz w:val="18"/>
          <w:szCs w:val="18"/>
        </w:rPr>
        <w:t xml:space="preserve">Závěrečný účet kapitoly státního rozpočtu </w:t>
      </w:r>
      <w:r w:rsidRPr="006519C4">
        <w:rPr>
          <w:rFonts w:ascii="Arial" w:hAnsi="Arial" w:cs="Arial"/>
          <w:bCs/>
          <w:i/>
          <w:iCs/>
          <w:sz w:val="18"/>
          <w:szCs w:val="18"/>
        </w:rPr>
        <w:t xml:space="preserve">Ministerstvo práce a sociálních věcí </w:t>
      </w:r>
      <w:r w:rsidRPr="006519C4">
        <w:rPr>
          <w:rFonts w:ascii="Arial" w:hAnsi="Arial" w:cs="Arial"/>
          <w:bCs/>
          <w:i/>
          <w:sz w:val="18"/>
          <w:szCs w:val="18"/>
        </w:rPr>
        <w:t>za rok 2012, účetní závěrka a finanční výkazy Ministerstva práce a sociálních věcí za rok 2012</w:t>
      </w:r>
      <w:r w:rsidRPr="006519C4">
        <w:rPr>
          <w:rFonts w:ascii="Arial" w:hAnsi="Arial" w:cs="Arial"/>
          <w:bCs/>
          <w:sz w:val="18"/>
          <w:szCs w:val="18"/>
        </w:rPr>
        <w:t xml:space="preserve"> (kontrolní závěr byl zveřejněn v částce 3/2013 </w:t>
      </w:r>
      <w:r w:rsidRPr="00260B0C">
        <w:rPr>
          <w:rFonts w:ascii="Arial" w:hAnsi="Arial" w:cs="Arial"/>
          <w:bCs/>
          <w:i/>
          <w:sz w:val="18"/>
          <w:szCs w:val="18"/>
        </w:rPr>
        <w:t>Věstníku NKÚ</w:t>
      </w:r>
      <w:r w:rsidRPr="006519C4">
        <w:rPr>
          <w:rFonts w:ascii="Arial" w:hAnsi="Arial" w:cs="Arial"/>
          <w:bCs/>
          <w:sz w:val="18"/>
          <w:szCs w:val="18"/>
        </w:rPr>
        <w:t>).</w:t>
      </w:r>
    </w:p>
  </w:footnote>
  <w:footnote w:id="18">
    <w:p w14:paraId="00D91958" w14:textId="77777777" w:rsidR="003266CC" w:rsidRPr="006519C4" w:rsidRDefault="003266CC" w:rsidP="006519C4">
      <w:pPr>
        <w:pStyle w:val="NormlnKZ"/>
        <w:ind w:left="284" w:hanging="284"/>
        <w:rPr>
          <w:rFonts w:ascii="Arial" w:hAnsi="Arial" w:cs="Arial"/>
          <w:bCs/>
          <w:iCs/>
          <w:sz w:val="18"/>
          <w:szCs w:val="18"/>
        </w:rPr>
      </w:pPr>
      <w:r w:rsidRPr="006519C4">
        <w:rPr>
          <w:rStyle w:val="Znakapoznpodarou"/>
          <w:rFonts w:ascii="Arial" w:hAnsi="Arial" w:cs="Arial"/>
          <w:sz w:val="18"/>
          <w:szCs w:val="18"/>
        </w:rPr>
        <w:footnoteRef/>
      </w:r>
      <w:r>
        <w:rPr>
          <w:rFonts w:ascii="Arial" w:hAnsi="Arial" w:cs="Arial"/>
          <w:sz w:val="18"/>
          <w:szCs w:val="18"/>
        </w:rPr>
        <w:tab/>
      </w:r>
      <w:r w:rsidRPr="006519C4">
        <w:rPr>
          <w:rFonts w:ascii="Arial" w:hAnsi="Arial" w:cs="Arial"/>
          <w:sz w:val="18"/>
          <w:szCs w:val="18"/>
        </w:rPr>
        <w:t>Citace z</w:t>
      </w:r>
      <w:r>
        <w:rPr>
          <w:rFonts w:ascii="Arial" w:hAnsi="Arial" w:cs="Arial"/>
          <w:sz w:val="18"/>
          <w:szCs w:val="18"/>
        </w:rPr>
        <w:t> </w:t>
      </w:r>
      <w:r w:rsidRPr="006519C4">
        <w:rPr>
          <w:rFonts w:ascii="Arial" w:hAnsi="Arial" w:cs="Arial"/>
          <w:sz w:val="18"/>
          <w:szCs w:val="18"/>
        </w:rPr>
        <w:t xml:space="preserve">kontrolního závěru </w:t>
      </w:r>
      <w:r>
        <w:rPr>
          <w:rFonts w:ascii="Arial" w:hAnsi="Arial" w:cs="Arial"/>
          <w:sz w:val="18"/>
          <w:szCs w:val="18"/>
        </w:rPr>
        <w:t xml:space="preserve">z kontrolní akce 12/28: </w:t>
      </w:r>
      <w:r w:rsidRPr="006519C4">
        <w:rPr>
          <w:rFonts w:ascii="Arial" w:hAnsi="Arial" w:cs="Arial"/>
          <w:sz w:val="18"/>
          <w:szCs w:val="18"/>
        </w:rPr>
        <w:t>„</w:t>
      </w:r>
      <w:r w:rsidRPr="006519C4">
        <w:rPr>
          <w:rFonts w:ascii="Arial" w:hAnsi="Arial" w:cs="Arial"/>
          <w:i/>
          <w:sz w:val="18"/>
          <w:szCs w:val="18"/>
        </w:rPr>
        <w:t>Vláda ČR svým usnesením č. 117 schválila dne 22.</w:t>
      </w:r>
      <w:r>
        <w:rPr>
          <w:rFonts w:ascii="Arial" w:hAnsi="Arial" w:cs="Arial"/>
          <w:i/>
          <w:sz w:val="18"/>
          <w:szCs w:val="18"/>
        </w:rPr>
        <w:t> </w:t>
      </w:r>
      <w:r w:rsidRPr="006519C4">
        <w:rPr>
          <w:rFonts w:ascii="Arial" w:hAnsi="Arial" w:cs="Arial"/>
          <w:i/>
          <w:sz w:val="18"/>
          <w:szCs w:val="18"/>
        </w:rPr>
        <w:t>února 2012 změnu příslušnosti hospodařit s 15% podílem na majetkové účasti státu ve společnosti ČEPS,</w:t>
      </w:r>
      <w:r>
        <w:rPr>
          <w:rFonts w:ascii="Arial" w:hAnsi="Arial" w:cs="Arial"/>
          <w:i/>
          <w:sz w:val="18"/>
          <w:szCs w:val="18"/>
        </w:rPr>
        <w:t> </w:t>
      </w:r>
      <w:r w:rsidRPr="006519C4">
        <w:rPr>
          <w:rFonts w:ascii="Arial" w:hAnsi="Arial" w:cs="Arial"/>
          <w:i/>
          <w:sz w:val="18"/>
          <w:szCs w:val="18"/>
        </w:rPr>
        <w:t>a.</w:t>
      </w:r>
      <w:r>
        <w:rPr>
          <w:rFonts w:ascii="Arial" w:hAnsi="Arial" w:cs="Arial"/>
          <w:i/>
          <w:sz w:val="18"/>
          <w:szCs w:val="18"/>
        </w:rPr>
        <w:t> </w:t>
      </w:r>
      <w:r w:rsidRPr="006519C4">
        <w:rPr>
          <w:rFonts w:ascii="Arial" w:hAnsi="Arial" w:cs="Arial"/>
          <w:i/>
          <w:sz w:val="18"/>
          <w:szCs w:val="18"/>
        </w:rPr>
        <w:t xml:space="preserve">s., z MPSV na Ministerstvo průmyslu a obchodu (dále jen „MPO“). </w:t>
      </w:r>
      <w:r w:rsidRPr="006519C4">
        <w:rPr>
          <w:rFonts w:ascii="Arial" w:hAnsi="Arial" w:cs="Arial"/>
          <w:bCs/>
          <w:i/>
          <w:iCs/>
          <w:sz w:val="18"/>
          <w:szCs w:val="18"/>
        </w:rPr>
        <w:t>Majetkový podíl byl MPO předán dne 29. února 2012. Bezúplatně předaný majetek mezi vybranými účetními jednotkami se dle právních předpisů oceňuje účetní hodnotou evidovanou u předávající vybrané účetní jednotky. MPSV v zápisu o změně příslušnosti hospodařit s majetkem státu vyčíslilo hodnotu předaného majetku (1 kus hromadné akcie č.</w:t>
      </w:r>
      <w:r>
        <w:rPr>
          <w:rFonts w:ascii="Arial" w:hAnsi="Arial" w:cs="Arial"/>
          <w:bCs/>
          <w:i/>
          <w:iCs/>
          <w:sz w:val="18"/>
          <w:szCs w:val="18"/>
        </w:rPr>
        <w:t> </w:t>
      </w:r>
      <w:r w:rsidRPr="006519C4">
        <w:rPr>
          <w:rFonts w:ascii="Arial" w:hAnsi="Arial" w:cs="Arial"/>
          <w:bCs/>
          <w:i/>
          <w:iCs/>
          <w:sz w:val="18"/>
          <w:szCs w:val="18"/>
        </w:rPr>
        <w:t>000005) ve výši 1,58 mld. Kč, která se rovnala jmenovité hodnotě předávaného majetkového podílu, ačkoli účetní hodnota uvedeného majetku byla ve výši 3,14 mld. Kč. MPSV tím, že v Zápisu o změně příslušnosti hospodařit s majetkem státu uvedlo hodnotu předávaného majetku nižší o 1,56 mld. Kč, nepostupovalo v souladu s § 14 odst. 2 vyhlášky č. 62/2001 Sb., o hospodaření OSS a státních organizací s majetkem státu</w:t>
      </w:r>
      <w:r w:rsidRPr="006519C4">
        <w:rPr>
          <w:rFonts w:ascii="Arial" w:hAnsi="Arial" w:cs="Arial"/>
          <w:bCs/>
          <w:iCs/>
          <w:sz w:val="18"/>
          <w:szCs w:val="18"/>
        </w:rPr>
        <w:t>.“</w:t>
      </w:r>
    </w:p>
  </w:footnote>
  <w:footnote w:id="19">
    <w:p w14:paraId="00D91959" w14:textId="77777777" w:rsidR="003266CC" w:rsidRPr="006519C4" w:rsidRDefault="003266CC" w:rsidP="006519C4">
      <w:pPr>
        <w:pStyle w:val="Textpoznpodarou"/>
        <w:ind w:left="284" w:hanging="284"/>
        <w:rPr>
          <w:rFonts w:ascii="Arial" w:hAnsi="Arial" w:cs="Arial"/>
          <w:sz w:val="18"/>
          <w:szCs w:val="18"/>
        </w:rPr>
      </w:pPr>
      <w:r w:rsidRPr="006519C4">
        <w:rPr>
          <w:rStyle w:val="Znakapoznpodarou"/>
          <w:rFonts w:ascii="Arial" w:hAnsi="Arial" w:cs="Arial"/>
          <w:sz w:val="18"/>
          <w:szCs w:val="18"/>
        </w:rPr>
        <w:footnoteRef/>
      </w:r>
      <w:r w:rsidRPr="006519C4">
        <w:rPr>
          <w:rFonts w:ascii="Arial" w:hAnsi="Arial" w:cs="Arial"/>
          <w:sz w:val="18"/>
          <w:szCs w:val="18"/>
        </w:rPr>
        <w:t xml:space="preserve"> </w:t>
      </w:r>
      <w:r>
        <w:rPr>
          <w:rFonts w:ascii="Arial" w:hAnsi="Arial" w:cs="Arial"/>
          <w:sz w:val="18"/>
          <w:szCs w:val="18"/>
        </w:rPr>
        <w:tab/>
      </w:r>
      <w:r w:rsidRPr="006519C4">
        <w:rPr>
          <w:rFonts w:ascii="Arial" w:hAnsi="Arial" w:cs="Arial"/>
          <w:sz w:val="18"/>
          <w:szCs w:val="18"/>
        </w:rPr>
        <w:t>Výkaz pro hodnocení plnění rozpočtu správců kapitol, organizačních složek státu a státních fondů.</w:t>
      </w:r>
    </w:p>
  </w:footnote>
  <w:footnote w:id="20">
    <w:p w14:paraId="00D9195A" w14:textId="77777777" w:rsidR="003266CC" w:rsidRPr="006519C4" w:rsidRDefault="003266CC" w:rsidP="006519C4">
      <w:pPr>
        <w:ind w:left="284" w:hanging="284"/>
        <w:jc w:val="both"/>
        <w:rPr>
          <w:rFonts w:ascii="Arial" w:hAnsi="Arial" w:cs="Arial"/>
          <w:b/>
          <w:color w:val="000000"/>
          <w:sz w:val="18"/>
          <w:szCs w:val="18"/>
        </w:rPr>
      </w:pPr>
      <w:r w:rsidRPr="006519C4">
        <w:rPr>
          <w:rStyle w:val="Znakapoznpodarou"/>
          <w:rFonts w:ascii="Arial" w:hAnsi="Arial" w:cs="Arial"/>
          <w:sz w:val="18"/>
          <w:szCs w:val="18"/>
        </w:rPr>
        <w:footnoteRef/>
      </w:r>
      <w:r w:rsidRPr="006519C4">
        <w:rPr>
          <w:rFonts w:ascii="Arial" w:hAnsi="Arial" w:cs="Arial"/>
          <w:sz w:val="18"/>
          <w:szCs w:val="18"/>
        </w:rPr>
        <w:t xml:space="preserve"> </w:t>
      </w:r>
      <w:r>
        <w:rPr>
          <w:rFonts w:ascii="Arial" w:hAnsi="Arial" w:cs="Arial"/>
          <w:sz w:val="18"/>
          <w:szCs w:val="18"/>
        </w:rPr>
        <w:tab/>
      </w:r>
      <w:r w:rsidRPr="006519C4">
        <w:rPr>
          <w:rFonts w:ascii="Arial" w:hAnsi="Arial" w:cs="Arial"/>
          <w:sz w:val="18"/>
          <w:szCs w:val="18"/>
        </w:rPr>
        <w:t>Nesprávně uvedený identifikátor partnera může vést k problémům ve finanční statistice, a to z důvodu zařazení transakce do nesprávného sektoru institucí. Může také narušovat funkčnost potenciálních křížových kontrol, při kterých by se prostřednictvím identifikátoru partnera měly k sobě „párovat“ odpovídající údaje protistran.</w:t>
      </w:r>
    </w:p>
  </w:footnote>
  <w:footnote w:id="21">
    <w:p w14:paraId="00D9195B" w14:textId="77777777" w:rsidR="003266CC" w:rsidRPr="006519C4" w:rsidRDefault="003266CC" w:rsidP="00591B0C">
      <w:pPr>
        <w:pStyle w:val="Textpoznpodarou"/>
        <w:ind w:left="284" w:hanging="284"/>
        <w:jc w:val="both"/>
        <w:rPr>
          <w:rFonts w:ascii="Arial" w:hAnsi="Arial" w:cs="Arial"/>
          <w:sz w:val="18"/>
          <w:szCs w:val="18"/>
        </w:rPr>
      </w:pPr>
      <w:r w:rsidRPr="006519C4">
        <w:rPr>
          <w:rStyle w:val="Znakapoznpodarou"/>
          <w:rFonts w:ascii="Arial" w:hAnsi="Arial" w:cs="Arial"/>
          <w:sz w:val="18"/>
          <w:szCs w:val="18"/>
        </w:rPr>
        <w:footnoteRef/>
      </w:r>
      <w:r>
        <w:rPr>
          <w:rFonts w:ascii="Arial" w:hAnsi="Arial" w:cs="Arial"/>
          <w:sz w:val="18"/>
          <w:szCs w:val="18"/>
        </w:rPr>
        <w:tab/>
      </w:r>
      <w:r w:rsidRPr="006519C4">
        <w:rPr>
          <w:rFonts w:ascii="Arial" w:hAnsi="Arial" w:cs="Arial"/>
          <w:sz w:val="18"/>
          <w:szCs w:val="18"/>
        </w:rPr>
        <w:t xml:space="preserve">Na důvěryhodnost statistických údajů týkajících se vládního deficitu a dluhu jednotlivých států vykazují velkou citlivost finanční trhy. </w:t>
      </w:r>
    </w:p>
  </w:footnote>
  <w:footnote w:id="22">
    <w:p w14:paraId="00D9195C" w14:textId="77777777" w:rsidR="003266CC" w:rsidRDefault="003266CC" w:rsidP="000D46B4">
      <w:pPr>
        <w:pStyle w:val="Textpoznpodarou"/>
        <w:ind w:left="284" w:hanging="284"/>
        <w:jc w:val="both"/>
        <w:rPr>
          <w:rFonts w:ascii="Arial" w:hAnsi="Arial" w:cs="Arial"/>
          <w:i/>
          <w:sz w:val="18"/>
          <w:szCs w:val="18"/>
        </w:rPr>
      </w:pPr>
      <w:r w:rsidRPr="006519C4">
        <w:rPr>
          <w:rStyle w:val="Znakapoznpodarou"/>
          <w:rFonts w:ascii="Arial" w:hAnsi="Arial" w:cs="Arial"/>
          <w:sz w:val="18"/>
          <w:szCs w:val="18"/>
        </w:rPr>
        <w:footnoteRef/>
      </w:r>
      <w:r>
        <w:rPr>
          <w:rFonts w:ascii="Arial" w:hAnsi="Arial" w:cs="Arial"/>
          <w:sz w:val="18"/>
          <w:szCs w:val="18"/>
        </w:rPr>
        <w:tab/>
      </w:r>
      <w:r w:rsidRPr="006519C4">
        <w:rPr>
          <w:rFonts w:ascii="Arial" w:hAnsi="Arial" w:cs="Arial"/>
          <w:sz w:val="18"/>
          <w:szCs w:val="18"/>
        </w:rPr>
        <w:t>Důvodová zpráva k návrhu novely vyhlášky č. 383/2009 Sb. uvádí, že v případě udělení výhrady ke kvalitě vykazovaných dat vládní finanční statistiky, kterou může udělit Eurostat členské zemi EU za neplnění požadavků Evropské komise</w:t>
      </w:r>
      <w:r>
        <w:rPr>
          <w:rFonts w:ascii="Arial" w:hAnsi="Arial" w:cs="Arial"/>
          <w:sz w:val="18"/>
          <w:szCs w:val="18"/>
        </w:rPr>
        <w:t>,</w:t>
      </w:r>
      <w:r w:rsidRPr="006519C4">
        <w:rPr>
          <w:rFonts w:ascii="Arial" w:hAnsi="Arial" w:cs="Arial"/>
          <w:sz w:val="18"/>
          <w:szCs w:val="18"/>
        </w:rPr>
        <w:t xml:space="preserve"> </w:t>
      </w:r>
      <w:r w:rsidRPr="006519C4">
        <w:rPr>
          <w:rFonts w:ascii="Arial" w:hAnsi="Arial" w:cs="Arial"/>
          <w:i/>
          <w:sz w:val="18"/>
          <w:szCs w:val="18"/>
        </w:rPr>
        <w:t xml:space="preserve">„… by dále mohlo dojít ke zhoršení stávajícího stupně investičního ratingu země, což by v konečném důsledku mohlo znamenat zpomalení celkové růstové dynamiky jejího </w:t>
      </w:r>
    </w:p>
    <w:p w14:paraId="00D9195D" w14:textId="77777777" w:rsidR="003266CC" w:rsidRPr="006519C4" w:rsidRDefault="003266CC" w:rsidP="00260B0C">
      <w:pPr>
        <w:pStyle w:val="Textpoznpodarou"/>
        <w:ind w:left="284"/>
        <w:rPr>
          <w:rFonts w:ascii="Arial" w:hAnsi="Arial" w:cs="Arial"/>
          <w:i/>
          <w:sz w:val="18"/>
          <w:szCs w:val="18"/>
        </w:rPr>
      </w:pPr>
      <w:r w:rsidRPr="006519C4">
        <w:rPr>
          <w:rFonts w:ascii="Arial" w:hAnsi="Arial" w:cs="Arial"/>
          <w:i/>
          <w:sz w:val="18"/>
          <w:szCs w:val="18"/>
        </w:rPr>
        <w:t>hospodářství …</w:t>
      </w:r>
      <w:r w:rsidRPr="00260B0C">
        <w:rPr>
          <w:rFonts w:ascii="Arial" w:hAnsi="Arial" w:cs="Arial"/>
          <w:sz w:val="18"/>
          <w:szCs w:val="18"/>
        </w:rPr>
        <w:t>“</w:t>
      </w:r>
    </w:p>
  </w:footnote>
  <w:footnote w:id="23">
    <w:p w14:paraId="00D9195E" w14:textId="77777777" w:rsidR="003266CC" w:rsidRPr="006519C4" w:rsidRDefault="003266CC" w:rsidP="006519C4">
      <w:pPr>
        <w:pStyle w:val="Textpoznpodarou"/>
        <w:ind w:left="284" w:hanging="284"/>
        <w:rPr>
          <w:rFonts w:ascii="Arial" w:hAnsi="Arial" w:cs="Arial"/>
          <w:sz w:val="18"/>
          <w:szCs w:val="18"/>
        </w:rPr>
      </w:pPr>
      <w:r w:rsidRPr="006519C4">
        <w:rPr>
          <w:rStyle w:val="Znakapoznpodarou"/>
          <w:rFonts w:ascii="Arial" w:hAnsi="Arial" w:cs="Arial"/>
          <w:sz w:val="18"/>
          <w:szCs w:val="18"/>
        </w:rPr>
        <w:footnoteRef/>
      </w:r>
      <w:r w:rsidRPr="006519C4">
        <w:rPr>
          <w:rFonts w:ascii="Arial" w:hAnsi="Arial" w:cs="Arial"/>
          <w:sz w:val="18"/>
          <w:szCs w:val="18"/>
        </w:rPr>
        <w:t xml:space="preserve"> </w:t>
      </w:r>
      <w:r>
        <w:rPr>
          <w:rFonts w:ascii="Arial" w:hAnsi="Arial" w:cs="Arial"/>
          <w:sz w:val="18"/>
          <w:szCs w:val="18"/>
        </w:rPr>
        <w:tab/>
      </w:r>
      <w:r w:rsidRPr="006519C4">
        <w:rPr>
          <w:rFonts w:ascii="Arial" w:hAnsi="Arial" w:cs="Arial"/>
          <w:sz w:val="18"/>
          <w:szCs w:val="18"/>
        </w:rPr>
        <w:t>Na základě zákona č. 219/2000 Sb., o majetku České republiky a jejím vystupování v právních vztazích.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040"/>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
    <w:nsid w:val="03D82421"/>
    <w:multiLevelType w:val="hybridMultilevel"/>
    <w:tmpl w:val="A08C89D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nsid w:val="087A6694"/>
    <w:multiLevelType w:val="hybridMultilevel"/>
    <w:tmpl w:val="E41EE774"/>
    <w:lvl w:ilvl="0" w:tplc="5176A458">
      <w:numFmt w:val="bullet"/>
      <w:lvlText w:val="-"/>
      <w:lvlJc w:val="left"/>
      <w:pPr>
        <w:ind w:left="360" w:hanging="360"/>
      </w:pPr>
      <w:rPr>
        <w:rFonts w:ascii="Arial" w:eastAsia="Calibr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BE625B0"/>
    <w:multiLevelType w:val="hybridMultilevel"/>
    <w:tmpl w:val="E4E48F64"/>
    <w:lvl w:ilvl="0" w:tplc="844E2B56">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B14AA4"/>
    <w:multiLevelType w:val="hybridMultilevel"/>
    <w:tmpl w:val="17381F2E"/>
    <w:lvl w:ilvl="0" w:tplc="69EC1214">
      <w:start w:val="1"/>
      <w:numFmt w:val="bullet"/>
      <w:pStyle w:val="Fousteka"/>
      <w:lvlText w:val=""/>
      <w:lvlJc w:val="left"/>
      <w:pPr>
        <w:tabs>
          <w:tab w:val="num" w:pos="721"/>
        </w:tabs>
        <w:ind w:left="721" w:hanging="381"/>
      </w:pPr>
      <w:rPr>
        <w:rFonts w:ascii="Symbol" w:hAnsi="Symbol" w:hint="default"/>
        <w:sz w:val="16"/>
      </w:rPr>
    </w:lvl>
    <w:lvl w:ilvl="1" w:tplc="5490A942">
      <w:numFmt w:val="bullet"/>
      <w:lvlText w:val="–"/>
      <w:lvlJc w:val="left"/>
      <w:pPr>
        <w:tabs>
          <w:tab w:val="num" w:pos="1441"/>
        </w:tabs>
        <w:ind w:left="1441" w:hanging="360"/>
      </w:pPr>
      <w:rPr>
        <w:rFonts w:ascii="Times New Roman" w:eastAsia="Times New Roman" w:hAnsi="Times New Roman" w:cs="Times New Roman" w:hint="default"/>
      </w:rPr>
    </w:lvl>
    <w:lvl w:ilvl="2" w:tplc="04050005" w:tentative="1">
      <w:start w:val="1"/>
      <w:numFmt w:val="bullet"/>
      <w:lvlText w:val=""/>
      <w:lvlJc w:val="left"/>
      <w:pPr>
        <w:tabs>
          <w:tab w:val="num" w:pos="2161"/>
        </w:tabs>
        <w:ind w:left="2161" w:hanging="360"/>
      </w:pPr>
      <w:rPr>
        <w:rFonts w:ascii="Wingdings" w:hAnsi="Wingdings"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5">
    <w:nsid w:val="226A795C"/>
    <w:multiLevelType w:val="hybridMultilevel"/>
    <w:tmpl w:val="41D2758E"/>
    <w:lvl w:ilvl="0" w:tplc="345AB776">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25794540"/>
    <w:multiLevelType w:val="hybridMultilevel"/>
    <w:tmpl w:val="CF2A0F24"/>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3E1316"/>
    <w:multiLevelType w:val="hybridMultilevel"/>
    <w:tmpl w:val="77A09FEE"/>
    <w:lvl w:ilvl="0" w:tplc="EEF821AE">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3975EB"/>
    <w:multiLevelType w:val="multilevel"/>
    <w:tmpl w:val="067C3A06"/>
    <w:lvl w:ilvl="0">
      <w:start w:val="1"/>
      <w:numFmt w:val="decimal"/>
      <w:lvlText w:val="%1."/>
      <w:lvlJc w:val="left"/>
      <w:pPr>
        <w:ind w:left="612" w:hanging="612"/>
      </w:pPr>
      <w:rPr>
        <w:rFonts w:hint="default"/>
      </w:rPr>
    </w:lvl>
    <w:lvl w:ilvl="1">
      <w:start w:val="4"/>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9">
    <w:nsid w:val="31AA0ED7"/>
    <w:multiLevelType w:val="hybridMultilevel"/>
    <w:tmpl w:val="BCF69AF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2B3A2A"/>
    <w:multiLevelType w:val="hybridMultilevel"/>
    <w:tmpl w:val="4ED0F222"/>
    <w:lvl w:ilvl="0" w:tplc="9C14396A">
      <w:start w:val="1"/>
      <w:numFmt w:val="decimal"/>
      <w:lvlText w:val="%1)"/>
      <w:lvlJc w:val="left"/>
      <w:pPr>
        <w:ind w:left="1080" w:hanging="720"/>
      </w:pPr>
      <w:rPr>
        <w:rFonts w:ascii="Arial" w:eastAsia="Times New Roman" w:hAnsi="Arial" w:cs="Arial"/>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42E0399"/>
    <w:multiLevelType w:val="hybridMultilevel"/>
    <w:tmpl w:val="5478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C223A7"/>
    <w:multiLevelType w:val="hybridMultilevel"/>
    <w:tmpl w:val="2C04F66A"/>
    <w:lvl w:ilvl="0" w:tplc="42542476">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71313B7"/>
    <w:multiLevelType w:val="hybridMultilevel"/>
    <w:tmpl w:val="8256BE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353DEF"/>
    <w:multiLevelType w:val="hybridMultilevel"/>
    <w:tmpl w:val="5CC217FE"/>
    <w:lvl w:ilvl="0" w:tplc="844E2B56">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627C43"/>
    <w:multiLevelType w:val="hybridMultilevel"/>
    <w:tmpl w:val="FAEAA224"/>
    <w:lvl w:ilvl="0" w:tplc="ADA2A1E2">
      <w:start w:val="33"/>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90E1887"/>
    <w:multiLevelType w:val="multilevel"/>
    <w:tmpl w:val="EE3AC992"/>
    <w:lvl w:ilvl="0">
      <w:start w:val="1"/>
      <w:numFmt w:val="decimal"/>
      <w:pStyle w:val="Styl1"/>
      <w:lvlText w:val="%1"/>
      <w:lvlJc w:val="left"/>
      <w:pPr>
        <w:ind w:left="360" w:hanging="360"/>
      </w:pPr>
      <w:rPr>
        <w:rFonts w:ascii="Arial" w:hAnsi="Arial" w:hint="default"/>
        <w:b/>
        <w:i w:val="0"/>
        <w:color w:val="auto"/>
        <w:sz w:val="3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39E67BF4"/>
    <w:multiLevelType w:val="hybridMultilevel"/>
    <w:tmpl w:val="A2B0B9A8"/>
    <w:lvl w:ilvl="0" w:tplc="008087FA">
      <w:start w:val="1"/>
      <w:numFmt w:val="bullet"/>
      <w:pStyle w:val="Fousnadpis"/>
      <w:lvlText w:val=""/>
      <w:lvlJc w:val="left"/>
      <w:pPr>
        <w:tabs>
          <w:tab w:val="num" w:pos="720"/>
        </w:tabs>
        <w:ind w:left="720" w:hanging="380"/>
      </w:pPr>
      <w:rPr>
        <w:rFonts w:ascii="Symbol" w:hAnsi="Symbol" w:hint="default"/>
      </w:rPr>
    </w:lvl>
    <w:lvl w:ilvl="1" w:tplc="5490A94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B020E43"/>
    <w:multiLevelType w:val="hybridMultilevel"/>
    <w:tmpl w:val="9AE4AA3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B3A52B1"/>
    <w:multiLevelType w:val="hybridMultilevel"/>
    <w:tmpl w:val="F190DF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7D6292"/>
    <w:multiLevelType w:val="hybridMultilevel"/>
    <w:tmpl w:val="1E028BDE"/>
    <w:lvl w:ilvl="0" w:tplc="FD1CDB4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3931DA"/>
    <w:multiLevelType w:val="hybridMultilevel"/>
    <w:tmpl w:val="BE7E5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9F5FC9"/>
    <w:multiLevelType w:val="hybridMultilevel"/>
    <w:tmpl w:val="A8F08086"/>
    <w:lvl w:ilvl="0" w:tplc="25F0C2E6">
      <w:start w:val="1"/>
      <w:numFmt w:val="upperLetter"/>
      <w:pStyle w:val="Nadpis1"/>
      <w:lvlText w:val="%1."/>
      <w:lvlJc w:val="left"/>
      <w:pPr>
        <w:tabs>
          <w:tab w:val="num" w:pos="720"/>
        </w:tabs>
        <w:ind w:left="720" w:hanging="360"/>
      </w:pPr>
      <w:rPr>
        <w:rFonts w:hint="default"/>
      </w:rPr>
    </w:lvl>
    <w:lvl w:ilvl="1" w:tplc="8F24BD06">
      <w:start w:val="1"/>
      <w:numFmt w:val="decimal"/>
      <w:lvlText w:val="%2)"/>
      <w:lvlJc w:val="left"/>
      <w:pPr>
        <w:tabs>
          <w:tab w:val="num" w:pos="1440"/>
        </w:tabs>
        <w:ind w:left="1440" w:hanging="360"/>
      </w:pPr>
      <w:rPr>
        <w:rFonts w:hint="default"/>
      </w:rPr>
    </w:lvl>
    <w:lvl w:ilvl="2" w:tplc="D936998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613E11"/>
    <w:multiLevelType w:val="multilevel"/>
    <w:tmpl w:val="6FD81BF2"/>
    <w:lvl w:ilvl="0">
      <w:start w:val="2"/>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4">
    <w:nsid w:val="471F2159"/>
    <w:multiLevelType w:val="multilevel"/>
    <w:tmpl w:val="2F589E66"/>
    <w:lvl w:ilvl="0">
      <w:start w:val="1"/>
      <w:numFmt w:val="decimal"/>
      <w:pStyle w:val="lenn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E902844"/>
    <w:multiLevelType w:val="hybridMultilevel"/>
    <w:tmpl w:val="C4DCD9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13112B"/>
    <w:multiLevelType w:val="hybridMultilevel"/>
    <w:tmpl w:val="BA84044C"/>
    <w:lvl w:ilvl="0" w:tplc="5328BFA0">
      <w:start w:val="2"/>
      <w:numFmt w:val="bullet"/>
      <w:lvlText w:val="-"/>
      <w:lvlJc w:val="left"/>
      <w:pPr>
        <w:ind w:left="720" w:hanging="360"/>
      </w:pPr>
      <w:rPr>
        <w:rFonts w:ascii="Arial" w:eastAsia="Times New Roman" w:hAnsi="Arial" w:cs="Arial" w:hint="default"/>
      </w:rPr>
    </w:lvl>
    <w:lvl w:ilvl="1" w:tplc="27EAB08E">
      <w:start w:val="1"/>
      <w:numFmt w:val="bullet"/>
      <w:lvlText w:val=""/>
      <w:lvlJc w:val="left"/>
      <w:pPr>
        <w:ind w:left="1920" w:hanging="360"/>
      </w:pPr>
      <w:rPr>
        <w:rFonts w:ascii="Symbol" w:hAnsi="Symbol"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AE13A7"/>
    <w:multiLevelType w:val="hybridMultilevel"/>
    <w:tmpl w:val="7EC02BD4"/>
    <w:lvl w:ilvl="0" w:tplc="E1CE5622">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5C7BBC"/>
    <w:multiLevelType w:val="multilevel"/>
    <w:tmpl w:val="B512E23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9">
    <w:nsid w:val="56BF2913"/>
    <w:multiLevelType w:val="hybridMultilevel"/>
    <w:tmpl w:val="B51A4BC2"/>
    <w:lvl w:ilvl="0" w:tplc="45E60D26">
      <w:start w:val="1"/>
      <w:numFmt w:val="decimal"/>
      <w:pStyle w:val="KZ-nadpis"/>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594411"/>
    <w:multiLevelType w:val="hybridMultilevel"/>
    <w:tmpl w:val="8D9C0494"/>
    <w:lvl w:ilvl="0" w:tplc="67AED8E6">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94D1805"/>
    <w:multiLevelType w:val="hybridMultilevel"/>
    <w:tmpl w:val="5290EF6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95F6C89"/>
    <w:multiLevelType w:val="hybridMultilevel"/>
    <w:tmpl w:val="25B4E8C8"/>
    <w:lvl w:ilvl="0" w:tplc="0C183A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ABC1A5E"/>
    <w:multiLevelType w:val="hybridMultilevel"/>
    <w:tmpl w:val="682CE73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C57399E"/>
    <w:multiLevelType w:val="hybridMultilevel"/>
    <w:tmpl w:val="FA926B96"/>
    <w:lvl w:ilvl="0" w:tplc="E01C13B6">
      <w:start w:val="1"/>
      <w:numFmt w:val="lowerLetter"/>
      <w:lvlText w:val="%1)"/>
      <w:lvlJc w:val="left"/>
      <w:pPr>
        <w:tabs>
          <w:tab w:val="num" w:pos="1104"/>
        </w:tabs>
        <w:ind w:left="1104" w:hanging="684"/>
      </w:pPr>
      <w:rPr>
        <w:rFonts w:ascii="Arial" w:hAnsi="Arial" w:cs="Arial"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5E425F1E"/>
    <w:multiLevelType w:val="hybridMultilevel"/>
    <w:tmpl w:val="DF0C6F32"/>
    <w:lvl w:ilvl="0" w:tplc="844E2B56">
      <w:start w:val="1"/>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2342A26"/>
    <w:multiLevelType w:val="hybridMultilevel"/>
    <w:tmpl w:val="FAB6C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293727C"/>
    <w:multiLevelType w:val="hybridMultilevel"/>
    <w:tmpl w:val="BE7E584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61E5469"/>
    <w:multiLevelType w:val="hybridMultilevel"/>
    <w:tmpl w:val="2C8C52F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nsid w:val="691B774F"/>
    <w:multiLevelType w:val="hybridMultilevel"/>
    <w:tmpl w:val="64963762"/>
    <w:lvl w:ilvl="0" w:tplc="04050017">
      <w:start w:val="1"/>
      <w:numFmt w:val="bullet"/>
      <w:pStyle w:val="Fous"/>
      <w:lvlText w:val=""/>
      <w:lvlJc w:val="left"/>
      <w:pPr>
        <w:tabs>
          <w:tab w:val="num" w:pos="722"/>
        </w:tabs>
        <w:ind w:left="722" w:hanging="382"/>
      </w:pPr>
      <w:rPr>
        <w:rFonts w:ascii="Symbol" w:hAnsi="Symbol" w:hint="default"/>
      </w:rPr>
    </w:lvl>
    <w:lvl w:ilvl="1" w:tplc="04050019" w:tentative="1">
      <w:start w:val="1"/>
      <w:numFmt w:val="bullet"/>
      <w:lvlText w:val="o"/>
      <w:lvlJc w:val="left"/>
      <w:pPr>
        <w:tabs>
          <w:tab w:val="num" w:pos="1442"/>
        </w:tabs>
        <w:ind w:left="1442" w:hanging="360"/>
      </w:pPr>
      <w:rPr>
        <w:rFonts w:ascii="Courier New" w:hAnsi="Courier New" w:hint="default"/>
      </w:rPr>
    </w:lvl>
    <w:lvl w:ilvl="2" w:tplc="0405001B" w:tentative="1">
      <w:start w:val="1"/>
      <w:numFmt w:val="bullet"/>
      <w:lvlText w:val=""/>
      <w:lvlJc w:val="left"/>
      <w:pPr>
        <w:tabs>
          <w:tab w:val="num" w:pos="2162"/>
        </w:tabs>
        <w:ind w:left="2162" w:hanging="360"/>
      </w:pPr>
      <w:rPr>
        <w:rFonts w:ascii="Wingdings" w:hAnsi="Wingdings" w:hint="default"/>
      </w:rPr>
    </w:lvl>
    <w:lvl w:ilvl="3" w:tplc="0405000F" w:tentative="1">
      <w:start w:val="1"/>
      <w:numFmt w:val="bullet"/>
      <w:lvlText w:val=""/>
      <w:lvlJc w:val="left"/>
      <w:pPr>
        <w:tabs>
          <w:tab w:val="num" w:pos="2882"/>
        </w:tabs>
        <w:ind w:left="2882" w:hanging="360"/>
      </w:pPr>
      <w:rPr>
        <w:rFonts w:ascii="Symbol" w:hAnsi="Symbol" w:hint="default"/>
      </w:rPr>
    </w:lvl>
    <w:lvl w:ilvl="4" w:tplc="04050019" w:tentative="1">
      <w:start w:val="1"/>
      <w:numFmt w:val="bullet"/>
      <w:lvlText w:val="o"/>
      <w:lvlJc w:val="left"/>
      <w:pPr>
        <w:tabs>
          <w:tab w:val="num" w:pos="3602"/>
        </w:tabs>
        <w:ind w:left="3602" w:hanging="360"/>
      </w:pPr>
      <w:rPr>
        <w:rFonts w:ascii="Courier New" w:hAnsi="Courier New" w:hint="default"/>
      </w:rPr>
    </w:lvl>
    <w:lvl w:ilvl="5" w:tplc="0405001B" w:tentative="1">
      <w:start w:val="1"/>
      <w:numFmt w:val="bullet"/>
      <w:lvlText w:val=""/>
      <w:lvlJc w:val="left"/>
      <w:pPr>
        <w:tabs>
          <w:tab w:val="num" w:pos="4322"/>
        </w:tabs>
        <w:ind w:left="4322" w:hanging="360"/>
      </w:pPr>
      <w:rPr>
        <w:rFonts w:ascii="Wingdings" w:hAnsi="Wingdings" w:hint="default"/>
      </w:rPr>
    </w:lvl>
    <w:lvl w:ilvl="6" w:tplc="0405000F" w:tentative="1">
      <w:start w:val="1"/>
      <w:numFmt w:val="bullet"/>
      <w:lvlText w:val=""/>
      <w:lvlJc w:val="left"/>
      <w:pPr>
        <w:tabs>
          <w:tab w:val="num" w:pos="5042"/>
        </w:tabs>
        <w:ind w:left="5042" w:hanging="360"/>
      </w:pPr>
      <w:rPr>
        <w:rFonts w:ascii="Symbol" w:hAnsi="Symbol" w:hint="default"/>
      </w:rPr>
    </w:lvl>
    <w:lvl w:ilvl="7" w:tplc="04050019" w:tentative="1">
      <w:start w:val="1"/>
      <w:numFmt w:val="bullet"/>
      <w:lvlText w:val="o"/>
      <w:lvlJc w:val="left"/>
      <w:pPr>
        <w:tabs>
          <w:tab w:val="num" w:pos="5762"/>
        </w:tabs>
        <w:ind w:left="5762" w:hanging="360"/>
      </w:pPr>
      <w:rPr>
        <w:rFonts w:ascii="Courier New" w:hAnsi="Courier New" w:hint="default"/>
      </w:rPr>
    </w:lvl>
    <w:lvl w:ilvl="8" w:tplc="0405001B" w:tentative="1">
      <w:start w:val="1"/>
      <w:numFmt w:val="bullet"/>
      <w:lvlText w:val=""/>
      <w:lvlJc w:val="left"/>
      <w:pPr>
        <w:tabs>
          <w:tab w:val="num" w:pos="6482"/>
        </w:tabs>
        <w:ind w:left="6482" w:hanging="360"/>
      </w:pPr>
      <w:rPr>
        <w:rFonts w:ascii="Wingdings" w:hAnsi="Wingdings" w:hint="default"/>
      </w:rPr>
    </w:lvl>
  </w:abstractNum>
  <w:abstractNum w:abstractNumId="40">
    <w:nsid w:val="6AF4726F"/>
    <w:multiLevelType w:val="hybridMultilevel"/>
    <w:tmpl w:val="0E7E409C"/>
    <w:lvl w:ilvl="0" w:tplc="142A0F52">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E370708"/>
    <w:multiLevelType w:val="hybridMultilevel"/>
    <w:tmpl w:val="B358B9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40A02FC"/>
    <w:multiLevelType w:val="hybridMultilevel"/>
    <w:tmpl w:val="ADF8B232"/>
    <w:lvl w:ilvl="0" w:tplc="685E6B7C">
      <w:start w:val="1"/>
      <w:numFmt w:val="upperRoman"/>
      <w:pStyle w:val="Nadpis5"/>
      <w:lvlText w:val="%1."/>
      <w:lvlJc w:val="right"/>
      <w:pPr>
        <w:tabs>
          <w:tab w:val="num" w:pos="540"/>
        </w:tabs>
        <w:ind w:left="540" w:hanging="180"/>
      </w:p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nsid w:val="7457789B"/>
    <w:multiLevelType w:val="multilevel"/>
    <w:tmpl w:val="D76843BC"/>
    <w:lvl w:ilvl="0">
      <w:start w:val="1"/>
      <w:numFmt w:val="decimal"/>
      <w:lvlText w:val="%1."/>
      <w:lvlJc w:val="left"/>
      <w:pPr>
        <w:ind w:left="502" w:hanging="360"/>
      </w:pPr>
      <w:rPr>
        <w:rFonts w:hint="default"/>
      </w:rPr>
    </w:lvl>
    <w:lvl w:ilvl="1">
      <w:start w:val="4"/>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num w:numId="1">
    <w:abstractNumId w:val="22"/>
  </w:num>
  <w:num w:numId="2">
    <w:abstractNumId w:val="42"/>
  </w:num>
  <w:num w:numId="3">
    <w:abstractNumId w:val="29"/>
  </w:num>
  <w:num w:numId="4">
    <w:abstractNumId w:val="4"/>
  </w:num>
  <w:num w:numId="5">
    <w:abstractNumId w:val="17"/>
  </w:num>
  <w:num w:numId="6">
    <w:abstractNumId w:val="39"/>
  </w:num>
  <w:num w:numId="7">
    <w:abstractNumId w:val="24"/>
  </w:num>
  <w:num w:numId="8">
    <w:abstractNumId w:val="43"/>
  </w:num>
  <w:num w:numId="9">
    <w:abstractNumId w:val="9"/>
  </w:num>
  <w:num w:numId="10">
    <w:abstractNumId w:val="31"/>
  </w:num>
  <w:num w:numId="11">
    <w:abstractNumId w:val="21"/>
  </w:num>
  <w:num w:numId="12">
    <w:abstractNumId w:val="33"/>
  </w:num>
  <w:num w:numId="13">
    <w:abstractNumId w:val="30"/>
  </w:num>
  <w:num w:numId="14">
    <w:abstractNumId w:val="27"/>
  </w:num>
  <w:num w:numId="15">
    <w:abstractNumId w:val="28"/>
  </w:num>
  <w:num w:numId="16">
    <w:abstractNumId w:val="0"/>
  </w:num>
  <w:num w:numId="17">
    <w:abstractNumId w:val="23"/>
  </w:num>
  <w:num w:numId="18">
    <w:abstractNumId w:val="18"/>
  </w:num>
  <w:num w:numId="19">
    <w:abstractNumId w:val="11"/>
  </w:num>
  <w:num w:numId="20">
    <w:abstractNumId w:val="6"/>
  </w:num>
  <w:num w:numId="21">
    <w:abstractNumId w:val="1"/>
  </w:num>
  <w:num w:numId="22">
    <w:abstractNumId w:val="34"/>
  </w:num>
  <w:num w:numId="23">
    <w:abstractNumId w:val="38"/>
  </w:num>
  <w:num w:numId="24">
    <w:abstractNumId w:val="25"/>
  </w:num>
  <w:num w:numId="25">
    <w:abstractNumId w:val="20"/>
  </w:num>
  <w:num w:numId="26">
    <w:abstractNumId w:val="37"/>
  </w:num>
  <w:num w:numId="27">
    <w:abstractNumId w:val="36"/>
  </w:num>
  <w:num w:numId="28">
    <w:abstractNumId w:val="41"/>
  </w:num>
  <w:num w:numId="29">
    <w:abstractNumId w:val="40"/>
  </w:num>
  <w:num w:numId="30">
    <w:abstractNumId w:val="7"/>
  </w:num>
  <w:num w:numId="31">
    <w:abstractNumId w:val="10"/>
  </w:num>
  <w:num w:numId="32">
    <w:abstractNumId w:val="5"/>
  </w:num>
  <w:num w:numId="33">
    <w:abstractNumId w:val="19"/>
  </w:num>
  <w:num w:numId="34">
    <w:abstractNumId w:val="12"/>
  </w:num>
  <w:num w:numId="35">
    <w:abstractNumId w:val="15"/>
  </w:num>
  <w:num w:numId="36">
    <w:abstractNumId w:val="26"/>
  </w:num>
  <w:num w:numId="37">
    <w:abstractNumId w:val="8"/>
  </w:num>
  <w:num w:numId="38">
    <w:abstractNumId w:val="2"/>
  </w:num>
  <w:num w:numId="39">
    <w:abstractNumId w:val="13"/>
  </w:num>
  <w:num w:numId="40">
    <w:abstractNumId w:val="32"/>
  </w:num>
  <w:num w:numId="41">
    <w:abstractNumId w:val="16"/>
  </w:num>
  <w:num w:numId="42">
    <w:abstractNumId w:val="3"/>
  </w:num>
  <w:num w:numId="43">
    <w:abstractNumId w:val="3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F2"/>
    <w:rsid w:val="00002545"/>
    <w:rsid w:val="00003A4D"/>
    <w:rsid w:val="00007FFE"/>
    <w:rsid w:val="00011DD6"/>
    <w:rsid w:val="00013FB5"/>
    <w:rsid w:val="00020DE7"/>
    <w:rsid w:val="00026F4C"/>
    <w:rsid w:val="00030923"/>
    <w:rsid w:val="00030BC8"/>
    <w:rsid w:val="00046EA3"/>
    <w:rsid w:val="00053782"/>
    <w:rsid w:val="00060592"/>
    <w:rsid w:val="00060A36"/>
    <w:rsid w:val="00064EB8"/>
    <w:rsid w:val="00081642"/>
    <w:rsid w:val="00086850"/>
    <w:rsid w:val="00086A10"/>
    <w:rsid w:val="000928E2"/>
    <w:rsid w:val="000A2E71"/>
    <w:rsid w:val="000A4B08"/>
    <w:rsid w:val="000B060F"/>
    <w:rsid w:val="000B6816"/>
    <w:rsid w:val="000C0D63"/>
    <w:rsid w:val="000D0F77"/>
    <w:rsid w:val="000D46B4"/>
    <w:rsid w:val="000E7852"/>
    <w:rsid w:val="000F03C1"/>
    <w:rsid w:val="000F0403"/>
    <w:rsid w:val="000F1FD6"/>
    <w:rsid w:val="000F4010"/>
    <w:rsid w:val="000F66B5"/>
    <w:rsid w:val="0010140F"/>
    <w:rsid w:val="00113677"/>
    <w:rsid w:val="00130A26"/>
    <w:rsid w:val="0013529F"/>
    <w:rsid w:val="00136385"/>
    <w:rsid w:val="001370C0"/>
    <w:rsid w:val="0013762C"/>
    <w:rsid w:val="00160863"/>
    <w:rsid w:val="00161C3C"/>
    <w:rsid w:val="001663DF"/>
    <w:rsid w:val="001A002D"/>
    <w:rsid w:val="001A0323"/>
    <w:rsid w:val="001A1612"/>
    <w:rsid w:val="001A3700"/>
    <w:rsid w:val="001B221B"/>
    <w:rsid w:val="001B49BA"/>
    <w:rsid w:val="001B4C27"/>
    <w:rsid w:val="001B63C9"/>
    <w:rsid w:val="001C4EE6"/>
    <w:rsid w:val="001C61B0"/>
    <w:rsid w:val="001E468F"/>
    <w:rsid w:val="001E670C"/>
    <w:rsid w:val="001F0DD2"/>
    <w:rsid w:val="00200056"/>
    <w:rsid w:val="00211981"/>
    <w:rsid w:val="0021320A"/>
    <w:rsid w:val="0021539A"/>
    <w:rsid w:val="002168C9"/>
    <w:rsid w:val="00221790"/>
    <w:rsid w:val="00227CCD"/>
    <w:rsid w:val="00240467"/>
    <w:rsid w:val="00244113"/>
    <w:rsid w:val="00245C09"/>
    <w:rsid w:val="0024609F"/>
    <w:rsid w:val="00260493"/>
    <w:rsid w:val="00260B0C"/>
    <w:rsid w:val="00264A47"/>
    <w:rsid w:val="002738F0"/>
    <w:rsid w:val="00276335"/>
    <w:rsid w:val="00280057"/>
    <w:rsid w:val="00280072"/>
    <w:rsid w:val="00283B73"/>
    <w:rsid w:val="002845DC"/>
    <w:rsid w:val="00286B82"/>
    <w:rsid w:val="00290C84"/>
    <w:rsid w:val="00293D1A"/>
    <w:rsid w:val="00294C09"/>
    <w:rsid w:val="00295A0B"/>
    <w:rsid w:val="002A07D5"/>
    <w:rsid w:val="002A7152"/>
    <w:rsid w:val="002B2600"/>
    <w:rsid w:val="002B3A3A"/>
    <w:rsid w:val="002B41D0"/>
    <w:rsid w:val="002B61A7"/>
    <w:rsid w:val="002C2600"/>
    <w:rsid w:val="002C2753"/>
    <w:rsid w:val="002D2C8D"/>
    <w:rsid w:val="002E4704"/>
    <w:rsid w:val="00304590"/>
    <w:rsid w:val="00306E1A"/>
    <w:rsid w:val="003111D3"/>
    <w:rsid w:val="0031209E"/>
    <w:rsid w:val="003135DB"/>
    <w:rsid w:val="00316A60"/>
    <w:rsid w:val="00317A07"/>
    <w:rsid w:val="003266CC"/>
    <w:rsid w:val="003366DD"/>
    <w:rsid w:val="00344858"/>
    <w:rsid w:val="0034684C"/>
    <w:rsid w:val="003541B7"/>
    <w:rsid w:val="00355694"/>
    <w:rsid w:val="00366BC8"/>
    <w:rsid w:val="003678EE"/>
    <w:rsid w:val="00373B37"/>
    <w:rsid w:val="00374B49"/>
    <w:rsid w:val="0037605A"/>
    <w:rsid w:val="003801A5"/>
    <w:rsid w:val="00381131"/>
    <w:rsid w:val="00387A30"/>
    <w:rsid w:val="00391D85"/>
    <w:rsid w:val="0039203C"/>
    <w:rsid w:val="0039290B"/>
    <w:rsid w:val="00395D89"/>
    <w:rsid w:val="003B69E9"/>
    <w:rsid w:val="003C209D"/>
    <w:rsid w:val="003C7961"/>
    <w:rsid w:val="003D588D"/>
    <w:rsid w:val="003E1CFF"/>
    <w:rsid w:val="003E6317"/>
    <w:rsid w:val="003F324A"/>
    <w:rsid w:val="00400444"/>
    <w:rsid w:val="004014F1"/>
    <w:rsid w:val="00402F00"/>
    <w:rsid w:val="0040551F"/>
    <w:rsid w:val="0041695F"/>
    <w:rsid w:val="004222D1"/>
    <w:rsid w:val="00426897"/>
    <w:rsid w:val="00430017"/>
    <w:rsid w:val="00433D6B"/>
    <w:rsid w:val="004424E1"/>
    <w:rsid w:val="0044492B"/>
    <w:rsid w:val="00470E36"/>
    <w:rsid w:val="00486470"/>
    <w:rsid w:val="004A0B19"/>
    <w:rsid w:val="004A7201"/>
    <w:rsid w:val="004B1893"/>
    <w:rsid w:val="004B18D4"/>
    <w:rsid w:val="004B2BD1"/>
    <w:rsid w:val="004B687C"/>
    <w:rsid w:val="004D1028"/>
    <w:rsid w:val="004D6FA2"/>
    <w:rsid w:val="004E1F40"/>
    <w:rsid w:val="004E2E7C"/>
    <w:rsid w:val="004F7A2A"/>
    <w:rsid w:val="00500153"/>
    <w:rsid w:val="00505AED"/>
    <w:rsid w:val="00506717"/>
    <w:rsid w:val="005172F5"/>
    <w:rsid w:val="00520885"/>
    <w:rsid w:val="00525767"/>
    <w:rsid w:val="00527554"/>
    <w:rsid w:val="0053213D"/>
    <w:rsid w:val="00534D05"/>
    <w:rsid w:val="0054144E"/>
    <w:rsid w:val="00546F1B"/>
    <w:rsid w:val="005529C6"/>
    <w:rsid w:val="0055686E"/>
    <w:rsid w:val="00560025"/>
    <w:rsid w:val="00564389"/>
    <w:rsid w:val="00591B0C"/>
    <w:rsid w:val="00596B09"/>
    <w:rsid w:val="005A1A1C"/>
    <w:rsid w:val="005A38E8"/>
    <w:rsid w:val="005C64AD"/>
    <w:rsid w:val="005E0ECC"/>
    <w:rsid w:val="005E19A9"/>
    <w:rsid w:val="005F3340"/>
    <w:rsid w:val="005F5A89"/>
    <w:rsid w:val="00600366"/>
    <w:rsid w:val="0060098F"/>
    <w:rsid w:val="006077E3"/>
    <w:rsid w:val="00607E92"/>
    <w:rsid w:val="006101C2"/>
    <w:rsid w:val="00610CF9"/>
    <w:rsid w:val="006129F3"/>
    <w:rsid w:val="00614305"/>
    <w:rsid w:val="00632D3E"/>
    <w:rsid w:val="00636A5A"/>
    <w:rsid w:val="00637E39"/>
    <w:rsid w:val="0064485B"/>
    <w:rsid w:val="0064772E"/>
    <w:rsid w:val="006519C4"/>
    <w:rsid w:val="006632BD"/>
    <w:rsid w:val="006666DD"/>
    <w:rsid w:val="00676C86"/>
    <w:rsid w:val="00677487"/>
    <w:rsid w:val="0068292B"/>
    <w:rsid w:val="0068565E"/>
    <w:rsid w:val="006917BF"/>
    <w:rsid w:val="006926F1"/>
    <w:rsid w:val="00692864"/>
    <w:rsid w:val="006A2603"/>
    <w:rsid w:val="006A5A2A"/>
    <w:rsid w:val="006C6729"/>
    <w:rsid w:val="006D0639"/>
    <w:rsid w:val="006D0B4B"/>
    <w:rsid w:val="006D12BB"/>
    <w:rsid w:val="006D1F9A"/>
    <w:rsid w:val="006D506C"/>
    <w:rsid w:val="006F2537"/>
    <w:rsid w:val="006F50D2"/>
    <w:rsid w:val="006F5F46"/>
    <w:rsid w:val="006F7E51"/>
    <w:rsid w:val="00700A26"/>
    <w:rsid w:val="007049E9"/>
    <w:rsid w:val="00705B16"/>
    <w:rsid w:val="007061BA"/>
    <w:rsid w:val="00707FAD"/>
    <w:rsid w:val="00713E6C"/>
    <w:rsid w:val="0071516F"/>
    <w:rsid w:val="00724F3E"/>
    <w:rsid w:val="00733AD8"/>
    <w:rsid w:val="0073430B"/>
    <w:rsid w:val="007476F7"/>
    <w:rsid w:val="00761CA8"/>
    <w:rsid w:val="00771591"/>
    <w:rsid w:val="007832AC"/>
    <w:rsid w:val="00783703"/>
    <w:rsid w:val="00785333"/>
    <w:rsid w:val="00795F71"/>
    <w:rsid w:val="00796676"/>
    <w:rsid w:val="00796921"/>
    <w:rsid w:val="007A21D3"/>
    <w:rsid w:val="007A24C1"/>
    <w:rsid w:val="007A6992"/>
    <w:rsid w:val="007A6EAA"/>
    <w:rsid w:val="007B2468"/>
    <w:rsid w:val="007B604A"/>
    <w:rsid w:val="007C0A7E"/>
    <w:rsid w:val="007C6D63"/>
    <w:rsid w:val="007C7817"/>
    <w:rsid w:val="007C7EE7"/>
    <w:rsid w:val="007D15A5"/>
    <w:rsid w:val="007D33AF"/>
    <w:rsid w:val="007D7BD5"/>
    <w:rsid w:val="007E13E9"/>
    <w:rsid w:val="007E3B5B"/>
    <w:rsid w:val="007E7B99"/>
    <w:rsid w:val="007F6DD5"/>
    <w:rsid w:val="00800679"/>
    <w:rsid w:val="00801662"/>
    <w:rsid w:val="00814435"/>
    <w:rsid w:val="00821B17"/>
    <w:rsid w:val="0082668B"/>
    <w:rsid w:val="00830E87"/>
    <w:rsid w:val="0084099F"/>
    <w:rsid w:val="00842C56"/>
    <w:rsid w:val="00845731"/>
    <w:rsid w:val="008462C6"/>
    <w:rsid w:val="00851FE4"/>
    <w:rsid w:val="00852230"/>
    <w:rsid w:val="00863DF7"/>
    <w:rsid w:val="00874F72"/>
    <w:rsid w:val="008751CF"/>
    <w:rsid w:val="0087706B"/>
    <w:rsid w:val="00882AC2"/>
    <w:rsid w:val="00886F7F"/>
    <w:rsid w:val="00890DA3"/>
    <w:rsid w:val="00891BB4"/>
    <w:rsid w:val="00893A2F"/>
    <w:rsid w:val="008A6D92"/>
    <w:rsid w:val="008A7C34"/>
    <w:rsid w:val="008B0B52"/>
    <w:rsid w:val="008B1BE7"/>
    <w:rsid w:val="008B540B"/>
    <w:rsid w:val="008C40C2"/>
    <w:rsid w:val="008C6B38"/>
    <w:rsid w:val="008C7447"/>
    <w:rsid w:val="008E0A48"/>
    <w:rsid w:val="008E1722"/>
    <w:rsid w:val="008F0104"/>
    <w:rsid w:val="008F0267"/>
    <w:rsid w:val="008F4C8D"/>
    <w:rsid w:val="008F7D79"/>
    <w:rsid w:val="0090609E"/>
    <w:rsid w:val="00907838"/>
    <w:rsid w:val="00922359"/>
    <w:rsid w:val="009407CF"/>
    <w:rsid w:val="00940FE7"/>
    <w:rsid w:val="00941930"/>
    <w:rsid w:val="00952D90"/>
    <w:rsid w:val="00954A48"/>
    <w:rsid w:val="009604B8"/>
    <w:rsid w:val="00963BC7"/>
    <w:rsid w:val="00966768"/>
    <w:rsid w:val="00970329"/>
    <w:rsid w:val="009725DF"/>
    <w:rsid w:val="00972FB6"/>
    <w:rsid w:val="009809A0"/>
    <w:rsid w:val="00983E6D"/>
    <w:rsid w:val="0098655E"/>
    <w:rsid w:val="00990AF0"/>
    <w:rsid w:val="009953B8"/>
    <w:rsid w:val="00995730"/>
    <w:rsid w:val="009A4784"/>
    <w:rsid w:val="009B0B99"/>
    <w:rsid w:val="009B528E"/>
    <w:rsid w:val="009B6745"/>
    <w:rsid w:val="009B6838"/>
    <w:rsid w:val="009C2A5A"/>
    <w:rsid w:val="009D3212"/>
    <w:rsid w:val="009D3D14"/>
    <w:rsid w:val="009F047D"/>
    <w:rsid w:val="009F388A"/>
    <w:rsid w:val="009F77EC"/>
    <w:rsid w:val="00A006BB"/>
    <w:rsid w:val="00A104C2"/>
    <w:rsid w:val="00A108CE"/>
    <w:rsid w:val="00A11EFE"/>
    <w:rsid w:val="00A1252B"/>
    <w:rsid w:val="00A278A7"/>
    <w:rsid w:val="00A30349"/>
    <w:rsid w:val="00A30487"/>
    <w:rsid w:val="00A52453"/>
    <w:rsid w:val="00A63887"/>
    <w:rsid w:val="00A65627"/>
    <w:rsid w:val="00A65C3A"/>
    <w:rsid w:val="00A65CEA"/>
    <w:rsid w:val="00A66D44"/>
    <w:rsid w:val="00A7200E"/>
    <w:rsid w:val="00A75386"/>
    <w:rsid w:val="00A77F94"/>
    <w:rsid w:val="00A92F77"/>
    <w:rsid w:val="00A93FCE"/>
    <w:rsid w:val="00A940B2"/>
    <w:rsid w:val="00A9478B"/>
    <w:rsid w:val="00AB4ADF"/>
    <w:rsid w:val="00AB6BB1"/>
    <w:rsid w:val="00AC0851"/>
    <w:rsid w:val="00AC6F6D"/>
    <w:rsid w:val="00AD1162"/>
    <w:rsid w:val="00AD6B3D"/>
    <w:rsid w:val="00AE4F91"/>
    <w:rsid w:val="00AE7167"/>
    <w:rsid w:val="00AE7EC5"/>
    <w:rsid w:val="00AF32F8"/>
    <w:rsid w:val="00AF3F47"/>
    <w:rsid w:val="00AF62D2"/>
    <w:rsid w:val="00B006FD"/>
    <w:rsid w:val="00B11CBB"/>
    <w:rsid w:val="00B201D4"/>
    <w:rsid w:val="00B228C9"/>
    <w:rsid w:val="00B22B4F"/>
    <w:rsid w:val="00B24310"/>
    <w:rsid w:val="00B31B6C"/>
    <w:rsid w:val="00B377B1"/>
    <w:rsid w:val="00B42BFC"/>
    <w:rsid w:val="00B43376"/>
    <w:rsid w:val="00B44841"/>
    <w:rsid w:val="00B5611C"/>
    <w:rsid w:val="00B6306B"/>
    <w:rsid w:val="00B71405"/>
    <w:rsid w:val="00B73C5C"/>
    <w:rsid w:val="00B80CAA"/>
    <w:rsid w:val="00B818C6"/>
    <w:rsid w:val="00B83269"/>
    <w:rsid w:val="00B91079"/>
    <w:rsid w:val="00B97171"/>
    <w:rsid w:val="00BA0003"/>
    <w:rsid w:val="00BA7586"/>
    <w:rsid w:val="00BB4DEB"/>
    <w:rsid w:val="00BB5150"/>
    <w:rsid w:val="00BC1E55"/>
    <w:rsid w:val="00BC7465"/>
    <w:rsid w:val="00BE6723"/>
    <w:rsid w:val="00BF0C90"/>
    <w:rsid w:val="00BF61BF"/>
    <w:rsid w:val="00C05A32"/>
    <w:rsid w:val="00C15B1D"/>
    <w:rsid w:val="00C20C5C"/>
    <w:rsid w:val="00C22025"/>
    <w:rsid w:val="00C22246"/>
    <w:rsid w:val="00C348AD"/>
    <w:rsid w:val="00C36097"/>
    <w:rsid w:val="00C41F0C"/>
    <w:rsid w:val="00C429BC"/>
    <w:rsid w:val="00C46F4F"/>
    <w:rsid w:val="00C52C50"/>
    <w:rsid w:val="00C57F4C"/>
    <w:rsid w:val="00C65C8C"/>
    <w:rsid w:val="00C67CCB"/>
    <w:rsid w:val="00C70B3E"/>
    <w:rsid w:val="00C74684"/>
    <w:rsid w:val="00C757A0"/>
    <w:rsid w:val="00C760D7"/>
    <w:rsid w:val="00C761D2"/>
    <w:rsid w:val="00C76284"/>
    <w:rsid w:val="00C84532"/>
    <w:rsid w:val="00C8744D"/>
    <w:rsid w:val="00C93BC3"/>
    <w:rsid w:val="00C956A5"/>
    <w:rsid w:val="00CA089E"/>
    <w:rsid w:val="00CB28D0"/>
    <w:rsid w:val="00CC4549"/>
    <w:rsid w:val="00CC64A0"/>
    <w:rsid w:val="00CD564F"/>
    <w:rsid w:val="00CD6291"/>
    <w:rsid w:val="00CD68F4"/>
    <w:rsid w:val="00CE2B8B"/>
    <w:rsid w:val="00CF1353"/>
    <w:rsid w:val="00CF3D57"/>
    <w:rsid w:val="00D05373"/>
    <w:rsid w:val="00D12778"/>
    <w:rsid w:val="00D1782A"/>
    <w:rsid w:val="00D2020E"/>
    <w:rsid w:val="00D244EA"/>
    <w:rsid w:val="00D26A66"/>
    <w:rsid w:val="00D31409"/>
    <w:rsid w:val="00D326C7"/>
    <w:rsid w:val="00D33D3E"/>
    <w:rsid w:val="00D37C7D"/>
    <w:rsid w:val="00D47CBD"/>
    <w:rsid w:val="00D47F64"/>
    <w:rsid w:val="00D571AA"/>
    <w:rsid w:val="00D631FC"/>
    <w:rsid w:val="00D64E11"/>
    <w:rsid w:val="00D660F6"/>
    <w:rsid w:val="00D67046"/>
    <w:rsid w:val="00D970B0"/>
    <w:rsid w:val="00DA0AEA"/>
    <w:rsid w:val="00DA4072"/>
    <w:rsid w:val="00DA7D84"/>
    <w:rsid w:val="00DB2C79"/>
    <w:rsid w:val="00DC618F"/>
    <w:rsid w:val="00DC69BE"/>
    <w:rsid w:val="00DD1641"/>
    <w:rsid w:val="00DD6DA9"/>
    <w:rsid w:val="00DE052F"/>
    <w:rsid w:val="00DF0462"/>
    <w:rsid w:val="00DF1E41"/>
    <w:rsid w:val="00DF4650"/>
    <w:rsid w:val="00E00DF2"/>
    <w:rsid w:val="00E03661"/>
    <w:rsid w:val="00E03926"/>
    <w:rsid w:val="00E41529"/>
    <w:rsid w:val="00E43A22"/>
    <w:rsid w:val="00E43B56"/>
    <w:rsid w:val="00E43BA3"/>
    <w:rsid w:val="00E4581B"/>
    <w:rsid w:val="00E46C72"/>
    <w:rsid w:val="00E54F84"/>
    <w:rsid w:val="00E60F36"/>
    <w:rsid w:val="00E725E7"/>
    <w:rsid w:val="00E73631"/>
    <w:rsid w:val="00E744A3"/>
    <w:rsid w:val="00E804E6"/>
    <w:rsid w:val="00E924B3"/>
    <w:rsid w:val="00E95303"/>
    <w:rsid w:val="00EA51D3"/>
    <w:rsid w:val="00EA5F7D"/>
    <w:rsid w:val="00EB2C59"/>
    <w:rsid w:val="00EF79B9"/>
    <w:rsid w:val="00F00A9B"/>
    <w:rsid w:val="00F0268F"/>
    <w:rsid w:val="00F13B10"/>
    <w:rsid w:val="00F329DB"/>
    <w:rsid w:val="00F32FD6"/>
    <w:rsid w:val="00F36DA2"/>
    <w:rsid w:val="00F408F0"/>
    <w:rsid w:val="00F422A7"/>
    <w:rsid w:val="00F42C21"/>
    <w:rsid w:val="00F431AF"/>
    <w:rsid w:val="00F45B52"/>
    <w:rsid w:val="00F5002C"/>
    <w:rsid w:val="00F556FE"/>
    <w:rsid w:val="00F61FA1"/>
    <w:rsid w:val="00F6447D"/>
    <w:rsid w:val="00F700EB"/>
    <w:rsid w:val="00F76359"/>
    <w:rsid w:val="00F77ABD"/>
    <w:rsid w:val="00F9285E"/>
    <w:rsid w:val="00FA09C9"/>
    <w:rsid w:val="00FA1E8F"/>
    <w:rsid w:val="00FA2112"/>
    <w:rsid w:val="00FA5E24"/>
    <w:rsid w:val="00FA6100"/>
    <w:rsid w:val="00FB1EC0"/>
    <w:rsid w:val="00FB2B93"/>
    <w:rsid w:val="00FB5478"/>
    <w:rsid w:val="00FC1C99"/>
    <w:rsid w:val="00FC554C"/>
    <w:rsid w:val="00FE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0DF2"/>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E00DF2"/>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E00DF2"/>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E00DF2"/>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link w:val="Nadpis4Char"/>
    <w:uiPriority w:val="9"/>
    <w:qFormat/>
    <w:rsid w:val="00E00DF2"/>
    <w:pPr>
      <w:keepNext/>
      <w:outlineLvl w:val="3"/>
    </w:pPr>
    <w:rPr>
      <w:sz w:val="28"/>
      <w:lang w:eastAsia="cs-CZ"/>
    </w:rPr>
  </w:style>
  <w:style w:type="paragraph" w:styleId="Nadpis5">
    <w:name w:val="heading 5"/>
    <w:basedOn w:val="Normln"/>
    <w:next w:val="Normln"/>
    <w:link w:val="Nadpis5Char"/>
    <w:uiPriority w:val="9"/>
    <w:qFormat/>
    <w:rsid w:val="00E00DF2"/>
    <w:pPr>
      <w:numPr>
        <w:numId w:val="2"/>
      </w:numPr>
      <w:spacing w:before="240" w:after="60"/>
      <w:outlineLvl w:val="4"/>
    </w:pPr>
    <w:rPr>
      <w:b/>
      <w:bCs/>
      <w:i/>
      <w:iCs/>
      <w:sz w:val="26"/>
      <w:szCs w:val="26"/>
    </w:rPr>
  </w:style>
  <w:style w:type="paragraph" w:styleId="Nadpis6">
    <w:name w:val="heading 6"/>
    <w:basedOn w:val="Normln"/>
    <w:next w:val="Normln"/>
    <w:link w:val="Nadpis6Char"/>
    <w:qFormat/>
    <w:rsid w:val="00E00DF2"/>
    <w:pPr>
      <w:keepNext/>
      <w:outlineLvl w:val="5"/>
    </w:pPr>
    <w:rPr>
      <w:b/>
      <w:bCs/>
      <w:sz w:val="32"/>
      <w:lang w:eastAsia="cs-CZ"/>
    </w:rPr>
  </w:style>
  <w:style w:type="paragraph" w:styleId="Nadpis7">
    <w:name w:val="heading 7"/>
    <w:basedOn w:val="Normln"/>
    <w:next w:val="Normln"/>
    <w:link w:val="Nadpis7Char"/>
    <w:qFormat/>
    <w:rsid w:val="00E00DF2"/>
    <w:pPr>
      <w:spacing w:before="240" w:after="60"/>
      <w:outlineLvl w:val="6"/>
    </w:pPr>
    <w:rPr>
      <w:lang w:eastAsia="cs-CZ"/>
    </w:rPr>
  </w:style>
  <w:style w:type="paragraph" w:styleId="Nadpis8">
    <w:name w:val="heading 8"/>
    <w:basedOn w:val="Normln"/>
    <w:next w:val="Normln"/>
    <w:link w:val="Nadpis8Char"/>
    <w:qFormat/>
    <w:rsid w:val="00E00DF2"/>
    <w:pPr>
      <w:spacing w:before="240" w:after="60"/>
      <w:outlineLvl w:val="7"/>
    </w:pPr>
    <w:rPr>
      <w:i/>
      <w:iCs/>
      <w:lang w:eastAsia="cs-CZ"/>
    </w:rPr>
  </w:style>
  <w:style w:type="paragraph" w:styleId="Nadpis9">
    <w:name w:val="heading 9"/>
    <w:basedOn w:val="Normln"/>
    <w:next w:val="Normln"/>
    <w:link w:val="Nadpis9Char"/>
    <w:qFormat/>
    <w:rsid w:val="00E00DF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0DF2"/>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rsid w:val="00E00DF2"/>
    <w:rPr>
      <w:rFonts w:ascii="Times New Roman" w:eastAsia="Times New Roman" w:hAnsi="Times New Roman" w:cs="Times New Roman"/>
      <w:b/>
      <w:bCs/>
      <w:iCs/>
      <w:sz w:val="28"/>
      <w:szCs w:val="24"/>
      <w:lang w:eastAsia="cs-CZ"/>
    </w:rPr>
  </w:style>
  <w:style w:type="character" w:customStyle="1" w:styleId="Nadpis3Char">
    <w:name w:val="Nadpis 3 Char"/>
    <w:basedOn w:val="Standardnpsmoodstavce"/>
    <w:link w:val="Nadpis3"/>
    <w:uiPriority w:val="9"/>
    <w:rsid w:val="00E00DF2"/>
    <w:rPr>
      <w:rFonts w:ascii="Arial" w:eastAsia="Times New Roman" w:hAnsi="Arial" w:cs="Arial"/>
      <w:b/>
      <w:bCs/>
      <w:iCs/>
      <w:sz w:val="26"/>
      <w:szCs w:val="26"/>
    </w:rPr>
  </w:style>
  <w:style w:type="character" w:customStyle="1" w:styleId="Nadpis4Char">
    <w:name w:val="Nadpis 4 Char"/>
    <w:basedOn w:val="Standardnpsmoodstavce"/>
    <w:link w:val="Nadpis4"/>
    <w:uiPriority w:val="9"/>
    <w:rsid w:val="00E00DF2"/>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uiPriority w:val="9"/>
    <w:rsid w:val="00E00DF2"/>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E00DF2"/>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E00DF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00DF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00DF2"/>
    <w:rPr>
      <w:rFonts w:ascii="Arial" w:eastAsia="Times New Roman" w:hAnsi="Arial" w:cs="Arial"/>
      <w:lang w:eastAsia="cs-CZ"/>
    </w:rPr>
  </w:style>
  <w:style w:type="paragraph" w:customStyle="1" w:styleId="Zpravodaj1">
    <w:name w:val="Zpravodaj 1"/>
    <w:basedOn w:val="Zkladntext2"/>
    <w:next w:val="Zkladntext2"/>
    <w:rsid w:val="00E00DF2"/>
    <w:pPr>
      <w:spacing w:after="0" w:line="240" w:lineRule="auto"/>
    </w:pPr>
    <w:rPr>
      <w:rFonts w:ascii="Palatino Linotype" w:hAnsi="Palatino Linotype" w:cs="Arial"/>
      <w:b/>
      <w:bCs/>
      <w:color w:val="000080"/>
      <w:sz w:val="40"/>
    </w:rPr>
  </w:style>
  <w:style w:type="paragraph" w:styleId="Zkladntext2">
    <w:name w:val="Body Text 2"/>
    <w:basedOn w:val="Normln"/>
    <w:link w:val="Zkladntext2Char"/>
    <w:semiHidden/>
    <w:rsid w:val="00E00DF2"/>
    <w:pPr>
      <w:spacing w:after="120" w:line="480" w:lineRule="auto"/>
    </w:pPr>
  </w:style>
  <w:style w:type="character" w:customStyle="1" w:styleId="Zkladntext2Char">
    <w:name w:val="Základní text 2 Char"/>
    <w:basedOn w:val="Standardnpsmoodstavce"/>
    <w:link w:val="Zkladntext2"/>
    <w:semiHidden/>
    <w:rsid w:val="00E00DF2"/>
    <w:rPr>
      <w:rFonts w:ascii="Times New Roman" w:eastAsia="Times New Roman" w:hAnsi="Times New Roman" w:cs="Times New Roman"/>
      <w:sz w:val="24"/>
      <w:szCs w:val="24"/>
    </w:rPr>
  </w:style>
  <w:style w:type="paragraph" w:customStyle="1" w:styleId="Zpravodaj2">
    <w:name w:val="Zpravodaj2"/>
    <w:basedOn w:val="Nadpis1"/>
    <w:next w:val="Zkladntext"/>
    <w:rsid w:val="00E00DF2"/>
    <w:pPr>
      <w:spacing w:before="0" w:after="0"/>
      <w:jc w:val="both"/>
    </w:pPr>
    <w:rPr>
      <w:rFonts w:ascii="Palatino Linotype" w:hAnsi="Palatino Linotype" w:cs="Times New Roman"/>
      <w:kern w:val="0"/>
      <w:sz w:val="28"/>
      <w:szCs w:val="24"/>
    </w:rPr>
  </w:style>
  <w:style w:type="paragraph" w:styleId="Zkladntext">
    <w:name w:val="Body Text"/>
    <w:basedOn w:val="Normln"/>
    <w:link w:val="ZkladntextChar"/>
    <w:semiHidden/>
    <w:rsid w:val="00E00DF2"/>
    <w:pPr>
      <w:spacing w:after="120"/>
    </w:pPr>
  </w:style>
  <w:style w:type="character" w:customStyle="1" w:styleId="ZkladntextChar">
    <w:name w:val="Základní text Char"/>
    <w:basedOn w:val="Standardnpsmoodstavce"/>
    <w:link w:val="Zkladntext"/>
    <w:semiHidden/>
    <w:rsid w:val="00E00DF2"/>
    <w:rPr>
      <w:rFonts w:ascii="Times New Roman" w:eastAsia="Times New Roman" w:hAnsi="Times New Roman" w:cs="Times New Roman"/>
      <w:sz w:val="24"/>
      <w:szCs w:val="24"/>
    </w:rPr>
  </w:style>
  <w:style w:type="paragraph" w:customStyle="1" w:styleId="Zpravodaj3">
    <w:name w:val="Zpravodaj3"/>
    <w:basedOn w:val="Nadpis5"/>
    <w:next w:val="Zkladntext"/>
    <w:rsid w:val="00E00DF2"/>
    <w:pPr>
      <w:keepNext/>
      <w:spacing w:before="0" w:after="0"/>
    </w:pPr>
    <w:rPr>
      <w:rFonts w:ascii="Palatino Linotype" w:hAnsi="Palatino Linotype"/>
      <w:sz w:val="28"/>
      <w:szCs w:val="24"/>
      <w:u w:val="single"/>
    </w:rPr>
  </w:style>
  <w:style w:type="paragraph" w:customStyle="1" w:styleId="KZ-nadpis">
    <w:name w:val="KZ-nadpis"/>
    <w:basedOn w:val="Normln"/>
    <w:next w:val="Normln"/>
    <w:rsid w:val="00E00DF2"/>
    <w:pPr>
      <w:numPr>
        <w:numId w:val="3"/>
      </w:numPr>
      <w:spacing w:after="120"/>
    </w:pPr>
    <w:rPr>
      <w:b/>
      <w:bCs/>
      <w:sz w:val="28"/>
    </w:rPr>
  </w:style>
  <w:style w:type="paragraph" w:customStyle="1" w:styleId="Pressrelease">
    <w:name w:val="Press release"/>
    <w:basedOn w:val="Normlnweb"/>
    <w:rsid w:val="00E00DF2"/>
    <w:pPr>
      <w:spacing w:after="120"/>
      <w:ind w:firstLine="720"/>
    </w:pPr>
    <w:rPr>
      <w:b/>
      <w:bCs/>
      <w:i/>
      <w:iCs/>
      <w:lang w:val="en-US"/>
    </w:rPr>
  </w:style>
  <w:style w:type="paragraph" w:styleId="Normlnweb">
    <w:name w:val="Normal (Web)"/>
    <w:basedOn w:val="Normln"/>
    <w:uiPriority w:val="99"/>
    <w:rsid w:val="00E00DF2"/>
  </w:style>
  <w:style w:type="paragraph" w:styleId="Zhlav">
    <w:name w:val="header"/>
    <w:basedOn w:val="Normln"/>
    <w:link w:val="ZhlavChar"/>
    <w:semiHidden/>
    <w:rsid w:val="00E00DF2"/>
    <w:pPr>
      <w:tabs>
        <w:tab w:val="center" w:pos="4536"/>
        <w:tab w:val="right" w:pos="9072"/>
      </w:tabs>
    </w:pPr>
  </w:style>
  <w:style w:type="character" w:customStyle="1" w:styleId="ZhlavChar">
    <w:name w:val="Záhlaví Char"/>
    <w:basedOn w:val="Standardnpsmoodstavce"/>
    <w:link w:val="Zhlav"/>
    <w:semiHidden/>
    <w:rsid w:val="00E00DF2"/>
    <w:rPr>
      <w:rFonts w:ascii="Times New Roman" w:eastAsia="Times New Roman" w:hAnsi="Times New Roman" w:cs="Times New Roman"/>
      <w:sz w:val="24"/>
      <w:szCs w:val="24"/>
    </w:rPr>
  </w:style>
  <w:style w:type="paragraph" w:styleId="Zpat">
    <w:name w:val="footer"/>
    <w:basedOn w:val="Normln"/>
    <w:link w:val="ZpatChar"/>
    <w:uiPriority w:val="99"/>
    <w:rsid w:val="00E00DF2"/>
    <w:pPr>
      <w:tabs>
        <w:tab w:val="center" w:pos="4536"/>
        <w:tab w:val="right" w:pos="9072"/>
      </w:tabs>
    </w:pPr>
  </w:style>
  <w:style w:type="character" w:customStyle="1" w:styleId="ZpatChar">
    <w:name w:val="Zápatí Char"/>
    <w:basedOn w:val="Standardnpsmoodstavce"/>
    <w:link w:val="Zpat"/>
    <w:uiPriority w:val="99"/>
    <w:rsid w:val="00E00DF2"/>
    <w:rPr>
      <w:rFonts w:ascii="Times New Roman" w:eastAsia="Times New Roman" w:hAnsi="Times New Roman" w:cs="Times New Roman"/>
      <w:sz w:val="24"/>
      <w:szCs w:val="24"/>
    </w:rPr>
  </w:style>
  <w:style w:type="character" w:styleId="Hypertextovodkaz">
    <w:name w:val="Hyperlink"/>
    <w:basedOn w:val="Standardnpsmoodstavce"/>
    <w:uiPriority w:val="99"/>
    <w:rsid w:val="00E00DF2"/>
    <w:rPr>
      <w:color w:val="0000FF"/>
      <w:u w:val="single"/>
    </w:rPr>
  </w:style>
  <w:style w:type="character" w:styleId="slostrnky">
    <w:name w:val="page number"/>
    <w:basedOn w:val="Standardnpsmoodstavce"/>
    <w:semiHidden/>
    <w:rsid w:val="00E00DF2"/>
  </w:style>
  <w:style w:type="paragraph" w:customStyle="1" w:styleId="Fousteka">
    <w:name w:val="Fous tečka"/>
    <w:basedOn w:val="Normln"/>
    <w:rsid w:val="00E00DF2"/>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E00DF2"/>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E00DF2"/>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E00DF2"/>
    <w:pPr>
      <w:numPr>
        <w:numId w:val="7"/>
      </w:numPr>
    </w:pPr>
    <w:rPr>
      <w:b/>
      <w:lang w:eastAsia="cs-CZ"/>
    </w:rPr>
  </w:style>
  <w:style w:type="paragraph" w:customStyle="1" w:styleId="NadpisKZ">
    <w:name w:val="Nadpis KZ"/>
    <w:basedOn w:val="Zkladntext2"/>
    <w:rsid w:val="00E00DF2"/>
    <w:pPr>
      <w:spacing w:before="120" w:after="360" w:line="240" w:lineRule="auto"/>
    </w:pPr>
    <w:rPr>
      <w:b/>
      <w:bCs/>
      <w:sz w:val="32"/>
      <w:lang w:eastAsia="cs-CZ"/>
    </w:rPr>
  </w:style>
  <w:style w:type="paragraph" w:customStyle="1" w:styleId="NormlnKZ">
    <w:name w:val="Normální KZ"/>
    <w:basedOn w:val="Normln"/>
    <w:rsid w:val="00E00DF2"/>
    <w:pPr>
      <w:spacing w:after="120"/>
      <w:ind w:firstLine="425"/>
      <w:jc w:val="both"/>
    </w:pPr>
    <w:rPr>
      <w:sz w:val="22"/>
      <w:lang w:eastAsia="cs-CZ"/>
    </w:rPr>
  </w:style>
  <w:style w:type="paragraph" w:customStyle="1" w:styleId="vod">
    <w:name w:val="Úvod"/>
    <w:basedOn w:val="Nadpisvod"/>
    <w:rsid w:val="00E00DF2"/>
    <w:pPr>
      <w:tabs>
        <w:tab w:val="clear" w:pos="360"/>
      </w:tabs>
      <w:ind w:left="0" w:firstLine="0"/>
    </w:pPr>
  </w:style>
  <w:style w:type="paragraph" w:customStyle="1" w:styleId="Nadpisvod">
    <w:name w:val="Nadpis úvod"/>
    <w:basedOn w:val="Nadpis1"/>
    <w:rsid w:val="00E00DF2"/>
    <w:pPr>
      <w:numPr>
        <w:numId w:val="0"/>
      </w:num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basedOn w:val="Standardnpsmoodstavce"/>
    <w:uiPriority w:val="99"/>
    <w:rsid w:val="00E00DF2"/>
    <w:rPr>
      <w:vertAlign w:val="superscript"/>
    </w:rPr>
  </w:style>
  <w:style w:type="paragraph" w:styleId="Titulek">
    <w:name w:val="caption"/>
    <w:basedOn w:val="Normln"/>
    <w:next w:val="Normln"/>
    <w:uiPriority w:val="35"/>
    <w:qFormat/>
    <w:rsid w:val="00E00DF2"/>
    <w:pPr>
      <w:spacing w:before="120" w:after="120"/>
    </w:pPr>
    <w:rPr>
      <w:b/>
      <w:bCs/>
      <w:sz w:val="20"/>
      <w:szCs w:val="20"/>
      <w:lang w:eastAsia="cs-CZ"/>
    </w:rPr>
  </w:style>
  <w:style w:type="paragraph" w:styleId="Zkladntext3">
    <w:name w:val="Body Text 3"/>
    <w:basedOn w:val="Normln"/>
    <w:link w:val="Zkladntext3Char"/>
    <w:semiHidden/>
    <w:rsid w:val="00E00DF2"/>
    <w:pPr>
      <w:jc w:val="center"/>
    </w:pPr>
    <w:rPr>
      <w:szCs w:val="20"/>
    </w:rPr>
  </w:style>
  <w:style w:type="character" w:customStyle="1" w:styleId="Zkladntext3Char">
    <w:name w:val="Základní text 3 Char"/>
    <w:basedOn w:val="Standardnpsmoodstavce"/>
    <w:link w:val="Zkladntext3"/>
    <w:semiHidden/>
    <w:rsid w:val="00E00DF2"/>
    <w:rPr>
      <w:rFonts w:ascii="Times New Roman" w:eastAsia="Times New Roman" w:hAnsi="Times New Roman" w:cs="Times New Roman"/>
      <w:sz w:val="24"/>
      <w:szCs w:val="20"/>
    </w:rPr>
  </w:style>
  <w:style w:type="paragraph" w:styleId="Textpoznpodarou">
    <w:name w:val="footnote text"/>
    <w:basedOn w:val="Normln"/>
    <w:link w:val="TextpoznpodarouChar"/>
    <w:uiPriority w:val="99"/>
    <w:rsid w:val="00E00DF2"/>
    <w:rPr>
      <w:sz w:val="20"/>
      <w:szCs w:val="20"/>
      <w:lang w:eastAsia="cs-CZ"/>
    </w:rPr>
  </w:style>
  <w:style w:type="character" w:customStyle="1" w:styleId="TextpoznpodarouChar">
    <w:name w:val="Text pozn. pod čarou Char"/>
    <w:basedOn w:val="Standardnpsmoodstavce"/>
    <w:link w:val="Textpoznpodarou"/>
    <w:uiPriority w:val="99"/>
    <w:rsid w:val="00E00DF2"/>
    <w:rPr>
      <w:rFonts w:ascii="Times New Roman" w:eastAsia="Times New Roman" w:hAnsi="Times New Roman" w:cs="Times New Roman"/>
      <w:sz w:val="20"/>
      <w:szCs w:val="20"/>
      <w:lang w:eastAsia="cs-CZ"/>
    </w:rPr>
  </w:style>
  <w:style w:type="paragraph" w:customStyle="1" w:styleId="Normln0">
    <w:name w:val="Norm‡ln’"/>
    <w:rsid w:val="00E00D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styleId="Sledovanodkaz">
    <w:name w:val="FollowedHyperlink"/>
    <w:basedOn w:val="Standardnpsmoodstavce"/>
    <w:semiHidden/>
    <w:rsid w:val="00E00DF2"/>
    <w:rPr>
      <w:color w:val="800080"/>
      <w:u w:val="single"/>
    </w:rPr>
  </w:style>
  <w:style w:type="paragraph" w:styleId="Odstavecseseznamem">
    <w:name w:val="List Paragraph"/>
    <w:aliases w:val="Nadpis pro KZ"/>
    <w:basedOn w:val="Normln"/>
    <w:link w:val="OdstavecseseznamemChar"/>
    <w:uiPriority w:val="34"/>
    <w:qFormat/>
    <w:rsid w:val="00E00DF2"/>
    <w:pPr>
      <w:ind w:left="720"/>
      <w:contextualSpacing/>
    </w:pPr>
  </w:style>
  <w:style w:type="paragraph" w:styleId="Textbubliny">
    <w:name w:val="Balloon Text"/>
    <w:basedOn w:val="Normln"/>
    <w:link w:val="TextbublinyChar"/>
    <w:semiHidden/>
    <w:unhideWhenUsed/>
    <w:rsid w:val="00E00DF2"/>
    <w:rPr>
      <w:rFonts w:ascii="Tahoma" w:hAnsi="Tahoma" w:cs="Tahoma"/>
      <w:sz w:val="16"/>
      <w:szCs w:val="16"/>
    </w:rPr>
  </w:style>
  <w:style w:type="character" w:customStyle="1" w:styleId="TextbublinyChar">
    <w:name w:val="Text bubliny Char"/>
    <w:basedOn w:val="Standardnpsmoodstavce"/>
    <w:link w:val="Textbubliny"/>
    <w:semiHidden/>
    <w:rsid w:val="00E00DF2"/>
    <w:rPr>
      <w:rFonts w:ascii="Tahoma" w:eastAsia="Times New Roman" w:hAnsi="Tahoma" w:cs="Tahoma"/>
      <w:sz w:val="16"/>
      <w:szCs w:val="16"/>
    </w:rPr>
  </w:style>
  <w:style w:type="paragraph" w:styleId="Textvysvtlivek">
    <w:name w:val="endnote text"/>
    <w:basedOn w:val="Normln"/>
    <w:link w:val="TextvysvtlivekChar"/>
    <w:semiHidden/>
    <w:unhideWhenUsed/>
    <w:rsid w:val="00E00DF2"/>
    <w:rPr>
      <w:sz w:val="20"/>
      <w:szCs w:val="20"/>
    </w:rPr>
  </w:style>
  <w:style w:type="character" w:customStyle="1" w:styleId="TextvysvtlivekChar">
    <w:name w:val="Text vysvětlivek Char"/>
    <w:basedOn w:val="Standardnpsmoodstavce"/>
    <w:link w:val="Textvysvtlivek"/>
    <w:semiHidden/>
    <w:rsid w:val="00E00DF2"/>
    <w:rPr>
      <w:rFonts w:ascii="Times New Roman" w:eastAsia="Times New Roman" w:hAnsi="Times New Roman" w:cs="Times New Roman"/>
      <w:sz w:val="20"/>
      <w:szCs w:val="20"/>
    </w:rPr>
  </w:style>
  <w:style w:type="character" w:styleId="Odkaznavysvtlivky">
    <w:name w:val="endnote reference"/>
    <w:basedOn w:val="Standardnpsmoodstavce"/>
    <w:semiHidden/>
    <w:unhideWhenUsed/>
    <w:rsid w:val="00E00DF2"/>
    <w:rPr>
      <w:vertAlign w:val="superscript"/>
    </w:rPr>
  </w:style>
  <w:style w:type="character" w:styleId="Odkaznakoment">
    <w:name w:val="annotation reference"/>
    <w:basedOn w:val="Standardnpsmoodstavce"/>
    <w:semiHidden/>
    <w:unhideWhenUsed/>
    <w:rsid w:val="00E00DF2"/>
    <w:rPr>
      <w:sz w:val="16"/>
      <w:szCs w:val="16"/>
    </w:rPr>
  </w:style>
  <w:style w:type="paragraph" w:styleId="Textkomente">
    <w:name w:val="annotation text"/>
    <w:basedOn w:val="Normln"/>
    <w:link w:val="TextkomenteChar"/>
    <w:semiHidden/>
    <w:unhideWhenUsed/>
    <w:rsid w:val="00E00DF2"/>
    <w:rPr>
      <w:sz w:val="20"/>
      <w:szCs w:val="20"/>
    </w:rPr>
  </w:style>
  <w:style w:type="character" w:customStyle="1" w:styleId="TextkomenteChar">
    <w:name w:val="Text komentáře Char"/>
    <w:basedOn w:val="Standardnpsmoodstavce"/>
    <w:link w:val="Textkomente"/>
    <w:semiHidden/>
    <w:rsid w:val="00E00DF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unhideWhenUsed/>
    <w:rsid w:val="00E00DF2"/>
    <w:rPr>
      <w:b/>
      <w:bCs/>
    </w:rPr>
  </w:style>
  <w:style w:type="character" w:customStyle="1" w:styleId="PedmtkomenteChar">
    <w:name w:val="Předmět komentáře Char"/>
    <w:basedOn w:val="TextkomenteChar"/>
    <w:link w:val="Pedmtkomente"/>
    <w:semiHidden/>
    <w:rsid w:val="00E00DF2"/>
    <w:rPr>
      <w:rFonts w:ascii="Times New Roman" w:eastAsia="Times New Roman" w:hAnsi="Times New Roman" w:cs="Times New Roman"/>
      <w:b/>
      <w:bCs/>
      <w:sz w:val="20"/>
      <w:szCs w:val="20"/>
    </w:rPr>
  </w:style>
  <w:style w:type="paragraph" w:styleId="Revize">
    <w:name w:val="Revision"/>
    <w:hidden/>
    <w:semiHidden/>
    <w:rsid w:val="00E00DF2"/>
    <w:pPr>
      <w:spacing w:after="0" w:line="240" w:lineRule="auto"/>
    </w:pPr>
    <w:rPr>
      <w:rFonts w:ascii="Times New Roman" w:eastAsia="Times New Roman" w:hAnsi="Times New Roman" w:cs="Times New Roman"/>
      <w:sz w:val="24"/>
      <w:szCs w:val="24"/>
    </w:rPr>
  </w:style>
  <w:style w:type="paragraph" w:customStyle="1" w:styleId="Nadpisrovn3">
    <w:name w:val="Nadpis úrovně 3"/>
    <w:basedOn w:val="NormlnKZ"/>
    <w:next w:val="NormlnKZ"/>
    <w:rsid w:val="00E00DF2"/>
    <w:pPr>
      <w:keepNext/>
      <w:spacing w:before="240"/>
      <w:ind w:firstLine="0"/>
      <w:jc w:val="left"/>
    </w:pPr>
    <w:rPr>
      <w:b/>
      <w:sz w:val="26"/>
    </w:rPr>
  </w:style>
  <w:style w:type="paragraph" w:styleId="Bezmezer">
    <w:name w:val="No Spacing"/>
    <w:aliases w:val="KP,Bez mezer1,No Spacing"/>
    <w:basedOn w:val="Normln"/>
    <w:uiPriority w:val="1"/>
    <w:qFormat/>
    <w:rsid w:val="00E00DF2"/>
    <w:pPr>
      <w:spacing w:after="120"/>
      <w:ind w:firstLine="567"/>
      <w:jc w:val="both"/>
    </w:pPr>
    <w:rPr>
      <w:rFonts w:ascii="Arial" w:hAnsi="Arial" w:cs="Arial"/>
      <w:sz w:val="22"/>
      <w:szCs w:val="22"/>
    </w:rPr>
  </w:style>
  <w:style w:type="paragraph" w:customStyle="1" w:styleId="Default">
    <w:name w:val="Default"/>
    <w:rsid w:val="00E00DF2"/>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aliases w:val="Nadpis pro KZ Char"/>
    <w:link w:val="Odstavecseseznamem"/>
    <w:uiPriority w:val="34"/>
    <w:rsid w:val="00E00DF2"/>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unhideWhenUsed/>
    <w:rsid w:val="00E00DF2"/>
    <w:pPr>
      <w:spacing w:after="120"/>
      <w:ind w:left="283"/>
    </w:pPr>
    <w:rPr>
      <w:rFonts w:ascii="Arial" w:hAnsi="Arial"/>
      <w:sz w:val="22"/>
    </w:rPr>
  </w:style>
  <w:style w:type="character" w:customStyle="1" w:styleId="ZkladntextodsazenChar">
    <w:name w:val="Základní text odsazený Char"/>
    <w:basedOn w:val="Standardnpsmoodstavce"/>
    <w:link w:val="Zkladntextodsazen"/>
    <w:uiPriority w:val="99"/>
    <w:rsid w:val="00E00DF2"/>
    <w:rPr>
      <w:rFonts w:ascii="Arial" w:eastAsia="Times New Roman" w:hAnsi="Arial" w:cs="Times New Roman"/>
      <w:szCs w:val="24"/>
    </w:rPr>
  </w:style>
  <w:style w:type="character" w:styleId="Zvraznn">
    <w:name w:val="Emphasis"/>
    <w:basedOn w:val="Standardnpsmoodstavce"/>
    <w:uiPriority w:val="20"/>
    <w:qFormat/>
    <w:rsid w:val="00E00DF2"/>
    <w:rPr>
      <w:b/>
      <w:bCs/>
      <w:i w:val="0"/>
      <w:iCs w:val="0"/>
    </w:rPr>
  </w:style>
  <w:style w:type="character" w:customStyle="1" w:styleId="st1">
    <w:name w:val="st1"/>
    <w:basedOn w:val="Standardnpsmoodstavce"/>
    <w:rsid w:val="00E00DF2"/>
  </w:style>
  <w:style w:type="paragraph" w:customStyle="1" w:styleId="Styl1">
    <w:name w:val="Styl1"/>
    <w:basedOn w:val="Normln"/>
    <w:qFormat/>
    <w:rsid w:val="00E00DF2"/>
    <w:pPr>
      <w:keepNext/>
      <w:numPr>
        <w:numId w:val="41"/>
      </w:numPr>
      <w:spacing w:before="240" w:after="60"/>
      <w:jc w:val="both"/>
      <w:outlineLvl w:val="0"/>
    </w:pPr>
    <w:rPr>
      <w:rFonts w:ascii="Arial" w:hAnsi="Arial" w:cs="Arial"/>
      <w:b/>
      <w:bCs/>
      <w:kern w:val="32"/>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0DF2"/>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E00DF2"/>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E00DF2"/>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E00DF2"/>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link w:val="Nadpis4Char"/>
    <w:uiPriority w:val="9"/>
    <w:qFormat/>
    <w:rsid w:val="00E00DF2"/>
    <w:pPr>
      <w:keepNext/>
      <w:outlineLvl w:val="3"/>
    </w:pPr>
    <w:rPr>
      <w:sz w:val="28"/>
      <w:lang w:eastAsia="cs-CZ"/>
    </w:rPr>
  </w:style>
  <w:style w:type="paragraph" w:styleId="Nadpis5">
    <w:name w:val="heading 5"/>
    <w:basedOn w:val="Normln"/>
    <w:next w:val="Normln"/>
    <w:link w:val="Nadpis5Char"/>
    <w:uiPriority w:val="9"/>
    <w:qFormat/>
    <w:rsid w:val="00E00DF2"/>
    <w:pPr>
      <w:numPr>
        <w:numId w:val="2"/>
      </w:numPr>
      <w:spacing w:before="240" w:after="60"/>
      <w:outlineLvl w:val="4"/>
    </w:pPr>
    <w:rPr>
      <w:b/>
      <w:bCs/>
      <w:i/>
      <w:iCs/>
      <w:sz w:val="26"/>
      <w:szCs w:val="26"/>
    </w:rPr>
  </w:style>
  <w:style w:type="paragraph" w:styleId="Nadpis6">
    <w:name w:val="heading 6"/>
    <w:basedOn w:val="Normln"/>
    <w:next w:val="Normln"/>
    <w:link w:val="Nadpis6Char"/>
    <w:qFormat/>
    <w:rsid w:val="00E00DF2"/>
    <w:pPr>
      <w:keepNext/>
      <w:outlineLvl w:val="5"/>
    </w:pPr>
    <w:rPr>
      <w:b/>
      <w:bCs/>
      <w:sz w:val="32"/>
      <w:lang w:eastAsia="cs-CZ"/>
    </w:rPr>
  </w:style>
  <w:style w:type="paragraph" w:styleId="Nadpis7">
    <w:name w:val="heading 7"/>
    <w:basedOn w:val="Normln"/>
    <w:next w:val="Normln"/>
    <w:link w:val="Nadpis7Char"/>
    <w:qFormat/>
    <w:rsid w:val="00E00DF2"/>
    <w:pPr>
      <w:spacing w:before="240" w:after="60"/>
      <w:outlineLvl w:val="6"/>
    </w:pPr>
    <w:rPr>
      <w:lang w:eastAsia="cs-CZ"/>
    </w:rPr>
  </w:style>
  <w:style w:type="paragraph" w:styleId="Nadpis8">
    <w:name w:val="heading 8"/>
    <w:basedOn w:val="Normln"/>
    <w:next w:val="Normln"/>
    <w:link w:val="Nadpis8Char"/>
    <w:qFormat/>
    <w:rsid w:val="00E00DF2"/>
    <w:pPr>
      <w:spacing w:before="240" w:after="60"/>
      <w:outlineLvl w:val="7"/>
    </w:pPr>
    <w:rPr>
      <w:i/>
      <w:iCs/>
      <w:lang w:eastAsia="cs-CZ"/>
    </w:rPr>
  </w:style>
  <w:style w:type="paragraph" w:styleId="Nadpis9">
    <w:name w:val="heading 9"/>
    <w:basedOn w:val="Normln"/>
    <w:next w:val="Normln"/>
    <w:link w:val="Nadpis9Char"/>
    <w:qFormat/>
    <w:rsid w:val="00E00DF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0DF2"/>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rsid w:val="00E00DF2"/>
    <w:rPr>
      <w:rFonts w:ascii="Times New Roman" w:eastAsia="Times New Roman" w:hAnsi="Times New Roman" w:cs="Times New Roman"/>
      <w:b/>
      <w:bCs/>
      <w:iCs/>
      <w:sz w:val="28"/>
      <w:szCs w:val="24"/>
      <w:lang w:eastAsia="cs-CZ"/>
    </w:rPr>
  </w:style>
  <w:style w:type="character" w:customStyle="1" w:styleId="Nadpis3Char">
    <w:name w:val="Nadpis 3 Char"/>
    <w:basedOn w:val="Standardnpsmoodstavce"/>
    <w:link w:val="Nadpis3"/>
    <w:uiPriority w:val="9"/>
    <w:rsid w:val="00E00DF2"/>
    <w:rPr>
      <w:rFonts w:ascii="Arial" w:eastAsia="Times New Roman" w:hAnsi="Arial" w:cs="Arial"/>
      <w:b/>
      <w:bCs/>
      <w:iCs/>
      <w:sz w:val="26"/>
      <w:szCs w:val="26"/>
    </w:rPr>
  </w:style>
  <w:style w:type="character" w:customStyle="1" w:styleId="Nadpis4Char">
    <w:name w:val="Nadpis 4 Char"/>
    <w:basedOn w:val="Standardnpsmoodstavce"/>
    <w:link w:val="Nadpis4"/>
    <w:uiPriority w:val="9"/>
    <w:rsid w:val="00E00DF2"/>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uiPriority w:val="9"/>
    <w:rsid w:val="00E00DF2"/>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E00DF2"/>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E00DF2"/>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E00DF2"/>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00DF2"/>
    <w:rPr>
      <w:rFonts w:ascii="Arial" w:eastAsia="Times New Roman" w:hAnsi="Arial" w:cs="Arial"/>
      <w:lang w:eastAsia="cs-CZ"/>
    </w:rPr>
  </w:style>
  <w:style w:type="paragraph" w:customStyle="1" w:styleId="Zpravodaj1">
    <w:name w:val="Zpravodaj 1"/>
    <w:basedOn w:val="Zkladntext2"/>
    <w:next w:val="Zkladntext2"/>
    <w:rsid w:val="00E00DF2"/>
    <w:pPr>
      <w:spacing w:after="0" w:line="240" w:lineRule="auto"/>
    </w:pPr>
    <w:rPr>
      <w:rFonts w:ascii="Palatino Linotype" w:hAnsi="Palatino Linotype" w:cs="Arial"/>
      <w:b/>
      <w:bCs/>
      <w:color w:val="000080"/>
      <w:sz w:val="40"/>
    </w:rPr>
  </w:style>
  <w:style w:type="paragraph" w:styleId="Zkladntext2">
    <w:name w:val="Body Text 2"/>
    <w:basedOn w:val="Normln"/>
    <w:link w:val="Zkladntext2Char"/>
    <w:semiHidden/>
    <w:rsid w:val="00E00DF2"/>
    <w:pPr>
      <w:spacing w:after="120" w:line="480" w:lineRule="auto"/>
    </w:pPr>
  </w:style>
  <w:style w:type="character" w:customStyle="1" w:styleId="Zkladntext2Char">
    <w:name w:val="Základní text 2 Char"/>
    <w:basedOn w:val="Standardnpsmoodstavce"/>
    <w:link w:val="Zkladntext2"/>
    <w:semiHidden/>
    <w:rsid w:val="00E00DF2"/>
    <w:rPr>
      <w:rFonts w:ascii="Times New Roman" w:eastAsia="Times New Roman" w:hAnsi="Times New Roman" w:cs="Times New Roman"/>
      <w:sz w:val="24"/>
      <w:szCs w:val="24"/>
    </w:rPr>
  </w:style>
  <w:style w:type="paragraph" w:customStyle="1" w:styleId="Zpravodaj2">
    <w:name w:val="Zpravodaj2"/>
    <w:basedOn w:val="Nadpis1"/>
    <w:next w:val="Zkladntext"/>
    <w:rsid w:val="00E00DF2"/>
    <w:pPr>
      <w:spacing w:before="0" w:after="0"/>
      <w:jc w:val="both"/>
    </w:pPr>
    <w:rPr>
      <w:rFonts w:ascii="Palatino Linotype" w:hAnsi="Palatino Linotype" w:cs="Times New Roman"/>
      <w:kern w:val="0"/>
      <w:sz w:val="28"/>
      <w:szCs w:val="24"/>
    </w:rPr>
  </w:style>
  <w:style w:type="paragraph" w:styleId="Zkladntext">
    <w:name w:val="Body Text"/>
    <w:basedOn w:val="Normln"/>
    <w:link w:val="ZkladntextChar"/>
    <w:semiHidden/>
    <w:rsid w:val="00E00DF2"/>
    <w:pPr>
      <w:spacing w:after="120"/>
    </w:pPr>
  </w:style>
  <w:style w:type="character" w:customStyle="1" w:styleId="ZkladntextChar">
    <w:name w:val="Základní text Char"/>
    <w:basedOn w:val="Standardnpsmoodstavce"/>
    <w:link w:val="Zkladntext"/>
    <w:semiHidden/>
    <w:rsid w:val="00E00DF2"/>
    <w:rPr>
      <w:rFonts w:ascii="Times New Roman" w:eastAsia="Times New Roman" w:hAnsi="Times New Roman" w:cs="Times New Roman"/>
      <w:sz w:val="24"/>
      <w:szCs w:val="24"/>
    </w:rPr>
  </w:style>
  <w:style w:type="paragraph" w:customStyle="1" w:styleId="Zpravodaj3">
    <w:name w:val="Zpravodaj3"/>
    <w:basedOn w:val="Nadpis5"/>
    <w:next w:val="Zkladntext"/>
    <w:rsid w:val="00E00DF2"/>
    <w:pPr>
      <w:keepNext/>
      <w:spacing w:before="0" w:after="0"/>
    </w:pPr>
    <w:rPr>
      <w:rFonts w:ascii="Palatino Linotype" w:hAnsi="Palatino Linotype"/>
      <w:sz w:val="28"/>
      <w:szCs w:val="24"/>
      <w:u w:val="single"/>
    </w:rPr>
  </w:style>
  <w:style w:type="paragraph" w:customStyle="1" w:styleId="KZ-nadpis">
    <w:name w:val="KZ-nadpis"/>
    <w:basedOn w:val="Normln"/>
    <w:next w:val="Normln"/>
    <w:rsid w:val="00E00DF2"/>
    <w:pPr>
      <w:numPr>
        <w:numId w:val="3"/>
      </w:numPr>
      <w:spacing w:after="120"/>
    </w:pPr>
    <w:rPr>
      <w:b/>
      <w:bCs/>
      <w:sz w:val="28"/>
    </w:rPr>
  </w:style>
  <w:style w:type="paragraph" w:customStyle="1" w:styleId="Pressrelease">
    <w:name w:val="Press release"/>
    <w:basedOn w:val="Normlnweb"/>
    <w:rsid w:val="00E00DF2"/>
    <w:pPr>
      <w:spacing w:after="120"/>
      <w:ind w:firstLine="720"/>
    </w:pPr>
    <w:rPr>
      <w:b/>
      <w:bCs/>
      <w:i/>
      <w:iCs/>
      <w:lang w:val="en-US"/>
    </w:rPr>
  </w:style>
  <w:style w:type="paragraph" w:styleId="Normlnweb">
    <w:name w:val="Normal (Web)"/>
    <w:basedOn w:val="Normln"/>
    <w:uiPriority w:val="99"/>
    <w:rsid w:val="00E00DF2"/>
  </w:style>
  <w:style w:type="paragraph" w:styleId="Zhlav">
    <w:name w:val="header"/>
    <w:basedOn w:val="Normln"/>
    <w:link w:val="ZhlavChar"/>
    <w:semiHidden/>
    <w:rsid w:val="00E00DF2"/>
    <w:pPr>
      <w:tabs>
        <w:tab w:val="center" w:pos="4536"/>
        <w:tab w:val="right" w:pos="9072"/>
      </w:tabs>
    </w:pPr>
  </w:style>
  <w:style w:type="character" w:customStyle="1" w:styleId="ZhlavChar">
    <w:name w:val="Záhlaví Char"/>
    <w:basedOn w:val="Standardnpsmoodstavce"/>
    <w:link w:val="Zhlav"/>
    <w:semiHidden/>
    <w:rsid w:val="00E00DF2"/>
    <w:rPr>
      <w:rFonts w:ascii="Times New Roman" w:eastAsia="Times New Roman" w:hAnsi="Times New Roman" w:cs="Times New Roman"/>
      <w:sz w:val="24"/>
      <w:szCs w:val="24"/>
    </w:rPr>
  </w:style>
  <w:style w:type="paragraph" w:styleId="Zpat">
    <w:name w:val="footer"/>
    <w:basedOn w:val="Normln"/>
    <w:link w:val="ZpatChar"/>
    <w:uiPriority w:val="99"/>
    <w:rsid w:val="00E00DF2"/>
    <w:pPr>
      <w:tabs>
        <w:tab w:val="center" w:pos="4536"/>
        <w:tab w:val="right" w:pos="9072"/>
      </w:tabs>
    </w:pPr>
  </w:style>
  <w:style w:type="character" w:customStyle="1" w:styleId="ZpatChar">
    <w:name w:val="Zápatí Char"/>
    <w:basedOn w:val="Standardnpsmoodstavce"/>
    <w:link w:val="Zpat"/>
    <w:uiPriority w:val="99"/>
    <w:rsid w:val="00E00DF2"/>
    <w:rPr>
      <w:rFonts w:ascii="Times New Roman" w:eastAsia="Times New Roman" w:hAnsi="Times New Roman" w:cs="Times New Roman"/>
      <w:sz w:val="24"/>
      <w:szCs w:val="24"/>
    </w:rPr>
  </w:style>
  <w:style w:type="character" w:styleId="Hypertextovodkaz">
    <w:name w:val="Hyperlink"/>
    <w:basedOn w:val="Standardnpsmoodstavce"/>
    <w:uiPriority w:val="99"/>
    <w:rsid w:val="00E00DF2"/>
    <w:rPr>
      <w:color w:val="0000FF"/>
      <w:u w:val="single"/>
    </w:rPr>
  </w:style>
  <w:style w:type="character" w:styleId="slostrnky">
    <w:name w:val="page number"/>
    <w:basedOn w:val="Standardnpsmoodstavce"/>
    <w:semiHidden/>
    <w:rsid w:val="00E00DF2"/>
  </w:style>
  <w:style w:type="paragraph" w:customStyle="1" w:styleId="Fousteka">
    <w:name w:val="Fous tečka"/>
    <w:basedOn w:val="Normln"/>
    <w:rsid w:val="00E00DF2"/>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E00DF2"/>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E00DF2"/>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E00DF2"/>
    <w:pPr>
      <w:numPr>
        <w:numId w:val="7"/>
      </w:numPr>
    </w:pPr>
    <w:rPr>
      <w:b/>
      <w:lang w:eastAsia="cs-CZ"/>
    </w:rPr>
  </w:style>
  <w:style w:type="paragraph" w:customStyle="1" w:styleId="NadpisKZ">
    <w:name w:val="Nadpis KZ"/>
    <w:basedOn w:val="Zkladntext2"/>
    <w:rsid w:val="00E00DF2"/>
    <w:pPr>
      <w:spacing w:before="120" w:after="360" w:line="240" w:lineRule="auto"/>
    </w:pPr>
    <w:rPr>
      <w:b/>
      <w:bCs/>
      <w:sz w:val="32"/>
      <w:lang w:eastAsia="cs-CZ"/>
    </w:rPr>
  </w:style>
  <w:style w:type="paragraph" w:customStyle="1" w:styleId="NormlnKZ">
    <w:name w:val="Normální KZ"/>
    <w:basedOn w:val="Normln"/>
    <w:rsid w:val="00E00DF2"/>
    <w:pPr>
      <w:spacing w:after="120"/>
      <w:ind w:firstLine="425"/>
      <w:jc w:val="both"/>
    </w:pPr>
    <w:rPr>
      <w:sz w:val="22"/>
      <w:lang w:eastAsia="cs-CZ"/>
    </w:rPr>
  </w:style>
  <w:style w:type="paragraph" w:customStyle="1" w:styleId="vod">
    <w:name w:val="Úvod"/>
    <w:basedOn w:val="Nadpisvod"/>
    <w:rsid w:val="00E00DF2"/>
    <w:pPr>
      <w:tabs>
        <w:tab w:val="clear" w:pos="360"/>
      </w:tabs>
      <w:ind w:left="0" w:firstLine="0"/>
    </w:pPr>
  </w:style>
  <w:style w:type="paragraph" w:customStyle="1" w:styleId="Nadpisvod">
    <w:name w:val="Nadpis úvod"/>
    <w:basedOn w:val="Nadpis1"/>
    <w:rsid w:val="00E00DF2"/>
    <w:pPr>
      <w:numPr>
        <w:numId w:val="0"/>
      </w:num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basedOn w:val="Standardnpsmoodstavce"/>
    <w:uiPriority w:val="99"/>
    <w:rsid w:val="00E00DF2"/>
    <w:rPr>
      <w:vertAlign w:val="superscript"/>
    </w:rPr>
  </w:style>
  <w:style w:type="paragraph" w:styleId="Titulek">
    <w:name w:val="caption"/>
    <w:basedOn w:val="Normln"/>
    <w:next w:val="Normln"/>
    <w:uiPriority w:val="35"/>
    <w:qFormat/>
    <w:rsid w:val="00E00DF2"/>
    <w:pPr>
      <w:spacing w:before="120" w:after="120"/>
    </w:pPr>
    <w:rPr>
      <w:b/>
      <w:bCs/>
      <w:sz w:val="20"/>
      <w:szCs w:val="20"/>
      <w:lang w:eastAsia="cs-CZ"/>
    </w:rPr>
  </w:style>
  <w:style w:type="paragraph" w:styleId="Zkladntext3">
    <w:name w:val="Body Text 3"/>
    <w:basedOn w:val="Normln"/>
    <w:link w:val="Zkladntext3Char"/>
    <w:semiHidden/>
    <w:rsid w:val="00E00DF2"/>
    <w:pPr>
      <w:jc w:val="center"/>
    </w:pPr>
    <w:rPr>
      <w:szCs w:val="20"/>
    </w:rPr>
  </w:style>
  <w:style w:type="character" w:customStyle="1" w:styleId="Zkladntext3Char">
    <w:name w:val="Základní text 3 Char"/>
    <w:basedOn w:val="Standardnpsmoodstavce"/>
    <w:link w:val="Zkladntext3"/>
    <w:semiHidden/>
    <w:rsid w:val="00E00DF2"/>
    <w:rPr>
      <w:rFonts w:ascii="Times New Roman" w:eastAsia="Times New Roman" w:hAnsi="Times New Roman" w:cs="Times New Roman"/>
      <w:sz w:val="24"/>
      <w:szCs w:val="20"/>
    </w:rPr>
  </w:style>
  <w:style w:type="paragraph" w:styleId="Textpoznpodarou">
    <w:name w:val="footnote text"/>
    <w:basedOn w:val="Normln"/>
    <w:link w:val="TextpoznpodarouChar"/>
    <w:uiPriority w:val="99"/>
    <w:rsid w:val="00E00DF2"/>
    <w:rPr>
      <w:sz w:val="20"/>
      <w:szCs w:val="20"/>
      <w:lang w:eastAsia="cs-CZ"/>
    </w:rPr>
  </w:style>
  <w:style w:type="character" w:customStyle="1" w:styleId="TextpoznpodarouChar">
    <w:name w:val="Text pozn. pod čarou Char"/>
    <w:basedOn w:val="Standardnpsmoodstavce"/>
    <w:link w:val="Textpoznpodarou"/>
    <w:uiPriority w:val="99"/>
    <w:rsid w:val="00E00DF2"/>
    <w:rPr>
      <w:rFonts w:ascii="Times New Roman" w:eastAsia="Times New Roman" w:hAnsi="Times New Roman" w:cs="Times New Roman"/>
      <w:sz w:val="20"/>
      <w:szCs w:val="20"/>
      <w:lang w:eastAsia="cs-CZ"/>
    </w:rPr>
  </w:style>
  <w:style w:type="paragraph" w:customStyle="1" w:styleId="Normln0">
    <w:name w:val="Norm‡ln’"/>
    <w:rsid w:val="00E00DF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styleId="Sledovanodkaz">
    <w:name w:val="FollowedHyperlink"/>
    <w:basedOn w:val="Standardnpsmoodstavce"/>
    <w:semiHidden/>
    <w:rsid w:val="00E00DF2"/>
    <w:rPr>
      <w:color w:val="800080"/>
      <w:u w:val="single"/>
    </w:rPr>
  </w:style>
  <w:style w:type="paragraph" w:styleId="Odstavecseseznamem">
    <w:name w:val="List Paragraph"/>
    <w:aliases w:val="Nadpis pro KZ"/>
    <w:basedOn w:val="Normln"/>
    <w:link w:val="OdstavecseseznamemChar"/>
    <w:uiPriority w:val="34"/>
    <w:qFormat/>
    <w:rsid w:val="00E00DF2"/>
    <w:pPr>
      <w:ind w:left="720"/>
      <w:contextualSpacing/>
    </w:pPr>
  </w:style>
  <w:style w:type="paragraph" w:styleId="Textbubliny">
    <w:name w:val="Balloon Text"/>
    <w:basedOn w:val="Normln"/>
    <w:link w:val="TextbublinyChar"/>
    <w:semiHidden/>
    <w:unhideWhenUsed/>
    <w:rsid w:val="00E00DF2"/>
    <w:rPr>
      <w:rFonts w:ascii="Tahoma" w:hAnsi="Tahoma" w:cs="Tahoma"/>
      <w:sz w:val="16"/>
      <w:szCs w:val="16"/>
    </w:rPr>
  </w:style>
  <w:style w:type="character" w:customStyle="1" w:styleId="TextbublinyChar">
    <w:name w:val="Text bubliny Char"/>
    <w:basedOn w:val="Standardnpsmoodstavce"/>
    <w:link w:val="Textbubliny"/>
    <w:semiHidden/>
    <w:rsid w:val="00E00DF2"/>
    <w:rPr>
      <w:rFonts w:ascii="Tahoma" w:eastAsia="Times New Roman" w:hAnsi="Tahoma" w:cs="Tahoma"/>
      <w:sz w:val="16"/>
      <w:szCs w:val="16"/>
    </w:rPr>
  </w:style>
  <w:style w:type="paragraph" w:styleId="Textvysvtlivek">
    <w:name w:val="endnote text"/>
    <w:basedOn w:val="Normln"/>
    <w:link w:val="TextvysvtlivekChar"/>
    <w:semiHidden/>
    <w:unhideWhenUsed/>
    <w:rsid w:val="00E00DF2"/>
    <w:rPr>
      <w:sz w:val="20"/>
      <w:szCs w:val="20"/>
    </w:rPr>
  </w:style>
  <w:style w:type="character" w:customStyle="1" w:styleId="TextvysvtlivekChar">
    <w:name w:val="Text vysvětlivek Char"/>
    <w:basedOn w:val="Standardnpsmoodstavce"/>
    <w:link w:val="Textvysvtlivek"/>
    <w:semiHidden/>
    <w:rsid w:val="00E00DF2"/>
    <w:rPr>
      <w:rFonts w:ascii="Times New Roman" w:eastAsia="Times New Roman" w:hAnsi="Times New Roman" w:cs="Times New Roman"/>
      <w:sz w:val="20"/>
      <w:szCs w:val="20"/>
    </w:rPr>
  </w:style>
  <w:style w:type="character" w:styleId="Odkaznavysvtlivky">
    <w:name w:val="endnote reference"/>
    <w:basedOn w:val="Standardnpsmoodstavce"/>
    <w:semiHidden/>
    <w:unhideWhenUsed/>
    <w:rsid w:val="00E00DF2"/>
    <w:rPr>
      <w:vertAlign w:val="superscript"/>
    </w:rPr>
  </w:style>
  <w:style w:type="character" w:styleId="Odkaznakoment">
    <w:name w:val="annotation reference"/>
    <w:basedOn w:val="Standardnpsmoodstavce"/>
    <w:semiHidden/>
    <w:unhideWhenUsed/>
    <w:rsid w:val="00E00DF2"/>
    <w:rPr>
      <w:sz w:val="16"/>
      <w:szCs w:val="16"/>
    </w:rPr>
  </w:style>
  <w:style w:type="paragraph" w:styleId="Textkomente">
    <w:name w:val="annotation text"/>
    <w:basedOn w:val="Normln"/>
    <w:link w:val="TextkomenteChar"/>
    <w:semiHidden/>
    <w:unhideWhenUsed/>
    <w:rsid w:val="00E00DF2"/>
    <w:rPr>
      <w:sz w:val="20"/>
      <w:szCs w:val="20"/>
    </w:rPr>
  </w:style>
  <w:style w:type="character" w:customStyle="1" w:styleId="TextkomenteChar">
    <w:name w:val="Text komentáře Char"/>
    <w:basedOn w:val="Standardnpsmoodstavce"/>
    <w:link w:val="Textkomente"/>
    <w:semiHidden/>
    <w:rsid w:val="00E00DF2"/>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unhideWhenUsed/>
    <w:rsid w:val="00E00DF2"/>
    <w:rPr>
      <w:b/>
      <w:bCs/>
    </w:rPr>
  </w:style>
  <w:style w:type="character" w:customStyle="1" w:styleId="PedmtkomenteChar">
    <w:name w:val="Předmět komentáře Char"/>
    <w:basedOn w:val="TextkomenteChar"/>
    <w:link w:val="Pedmtkomente"/>
    <w:semiHidden/>
    <w:rsid w:val="00E00DF2"/>
    <w:rPr>
      <w:rFonts w:ascii="Times New Roman" w:eastAsia="Times New Roman" w:hAnsi="Times New Roman" w:cs="Times New Roman"/>
      <w:b/>
      <w:bCs/>
      <w:sz w:val="20"/>
      <w:szCs w:val="20"/>
    </w:rPr>
  </w:style>
  <w:style w:type="paragraph" w:styleId="Revize">
    <w:name w:val="Revision"/>
    <w:hidden/>
    <w:semiHidden/>
    <w:rsid w:val="00E00DF2"/>
    <w:pPr>
      <w:spacing w:after="0" w:line="240" w:lineRule="auto"/>
    </w:pPr>
    <w:rPr>
      <w:rFonts w:ascii="Times New Roman" w:eastAsia="Times New Roman" w:hAnsi="Times New Roman" w:cs="Times New Roman"/>
      <w:sz w:val="24"/>
      <w:szCs w:val="24"/>
    </w:rPr>
  </w:style>
  <w:style w:type="paragraph" w:customStyle="1" w:styleId="Nadpisrovn3">
    <w:name w:val="Nadpis úrovně 3"/>
    <w:basedOn w:val="NormlnKZ"/>
    <w:next w:val="NormlnKZ"/>
    <w:rsid w:val="00E00DF2"/>
    <w:pPr>
      <w:keepNext/>
      <w:spacing w:before="240"/>
      <w:ind w:firstLine="0"/>
      <w:jc w:val="left"/>
    </w:pPr>
    <w:rPr>
      <w:b/>
      <w:sz w:val="26"/>
    </w:rPr>
  </w:style>
  <w:style w:type="paragraph" w:styleId="Bezmezer">
    <w:name w:val="No Spacing"/>
    <w:aliases w:val="KP,Bez mezer1,No Spacing"/>
    <w:basedOn w:val="Normln"/>
    <w:uiPriority w:val="1"/>
    <w:qFormat/>
    <w:rsid w:val="00E00DF2"/>
    <w:pPr>
      <w:spacing w:after="120"/>
      <w:ind w:firstLine="567"/>
      <w:jc w:val="both"/>
    </w:pPr>
    <w:rPr>
      <w:rFonts w:ascii="Arial" w:hAnsi="Arial" w:cs="Arial"/>
      <w:sz w:val="22"/>
      <w:szCs w:val="22"/>
    </w:rPr>
  </w:style>
  <w:style w:type="paragraph" w:customStyle="1" w:styleId="Default">
    <w:name w:val="Default"/>
    <w:rsid w:val="00E00DF2"/>
    <w:pPr>
      <w:autoSpaceDE w:val="0"/>
      <w:autoSpaceDN w:val="0"/>
      <w:adjustRightInd w:val="0"/>
      <w:spacing w:after="0" w:line="240" w:lineRule="auto"/>
    </w:pPr>
    <w:rPr>
      <w:rFonts w:ascii="Arial" w:hAnsi="Arial" w:cs="Arial"/>
      <w:color w:val="000000"/>
      <w:sz w:val="24"/>
      <w:szCs w:val="24"/>
    </w:rPr>
  </w:style>
  <w:style w:type="character" w:customStyle="1" w:styleId="OdstavecseseznamemChar">
    <w:name w:val="Odstavec se seznamem Char"/>
    <w:aliases w:val="Nadpis pro KZ Char"/>
    <w:link w:val="Odstavecseseznamem"/>
    <w:uiPriority w:val="34"/>
    <w:rsid w:val="00E00DF2"/>
    <w:rPr>
      <w:rFonts w:ascii="Times New Roman" w:eastAsia="Times New Roman" w:hAnsi="Times New Roman" w:cs="Times New Roman"/>
      <w:sz w:val="24"/>
      <w:szCs w:val="24"/>
    </w:rPr>
  </w:style>
  <w:style w:type="paragraph" w:styleId="Zkladntextodsazen">
    <w:name w:val="Body Text Indent"/>
    <w:basedOn w:val="Normln"/>
    <w:link w:val="ZkladntextodsazenChar"/>
    <w:uiPriority w:val="99"/>
    <w:unhideWhenUsed/>
    <w:rsid w:val="00E00DF2"/>
    <w:pPr>
      <w:spacing w:after="120"/>
      <w:ind w:left="283"/>
    </w:pPr>
    <w:rPr>
      <w:rFonts w:ascii="Arial" w:hAnsi="Arial"/>
      <w:sz w:val="22"/>
    </w:rPr>
  </w:style>
  <w:style w:type="character" w:customStyle="1" w:styleId="ZkladntextodsazenChar">
    <w:name w:val="Základní text odsazený Char"/>
    <w:basedOn w:val="Standardnpsmoodstavce"/>
    <w:link w:val="Zkladntextodsazen"/>
    <w:uiPriority w:val="99"/>
    <w:rsid w:val="00E00DF2"/>
    <w:rPr>
      <w:rFonts w:ascii="Arial" w:eastAsia="Times New Roman" w:hAnsi="Arial" w:cs="Times New Roman"/>
      <w:szCs w:val="24"/>
    </w:rPr>
  </w:style>
  <w:style w:type="character" w:styleId="Zvraznn">
    <w:name w:val="Emphasis"/>
    <w:basedOn w:val="Standardnpsmoodstavce"/>
    <w:uiPriority w:val="20"/>
    <w:qFormat/>
    <w:rsid w:val="00E00DF2"/>
    <w:rPr>
      <w:b/>
      <w:bCs/>
      <w:i w:val="0"/>
      <w:iCs w:val="0"/>
    </w:rPr>
  </w:style>
  <w:style w:type="character" w:customStyle="1" w:styleId="st1">
    <w:name w:val="st1"/>
    <w:basedOn w:val="Standardnpsmoodstavce"/>
    <w:rsid w:val="00E00DF2"/>
  </w:style>
  <w:style w:type="paragraph" w:customStyle="1" w:styleId="Styl1">
    <w:name w:val="Styl1"/>
    <w:basedOn w:val="Normln"/>
    <w:qFormat/>
    <w:rsid w:val="00E00DF2"/>
    <w:pPr>
      <w:keepNext/>
      <w:numPr>
        <w:numId w:val="41"/>
      </w:numPr>
      <w:spacing w:before="240" w:after="60"/>
      <w:jc w:val="both"/>
      <w:outlineLvl w:val="0"/>
    </w:pPr>
    <w:rPr>
      <w:rFonts w:ascii="Arial" w:hAnsi="Arial" w:cs="Arial"/>
      <w:b/>
      <w:bCs/>
      <w:kern w:val="32"/>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mfcr.cz/cs/legislativa/metodiky/2012/aktualizovana-metodika-tvorby-pap-vc-pri-11412" TargetMode="External"/><Relationship Id="rId3" Type="http://schemas.openxmlformats.org/officeDocument/2006/relationships/hyperlink" Target="http://www.mfcr/cps/rde/xchg/mfcr/xsl/dane_ucetni_reforma_vf_pravpred_platna_leg_vyhlasky_70935.html" TargetMode="External"/><Relationship Id="rId7" Type="http://schemas.openxmlformats.org/officeDocument/2006/relationships/hyperlink" Target="http://www2012.mfcr.cz/cps/rde/xchg/mfcr/xsl/dane_ucetni_reforma_vf_pravpred_platna_leg_vyhlasky_70936.html" TargetMode="External"/><Relationship Id="rId2" Type="http://schemas.openxmlformats.org/officeDocument/2006/relationships/hyperlink" Target="http://www.mfcr/cps/rde/xchg/mfcr/xsl/dane_ucetni_reforma_vf_pravpred_platna_leg_vyhlasky2011_67128.html" TargetMode="External"/><Relationship Id="rId1" Type="http://schemas.openxmlformats.org/officeDocument/2006/relationships/hyperlink" Target="http://www.statnipokladna.cz/cs/o-statni-pokladne/katalog-multimedia-sp" TargetMode="External"/><Relationship Id="rId6" Type="http://schemas.openxmlformats.org/officeDocument/2006/relationships/hyperlink" Target="http://www2012.mfcr.cz/cps/rde/xchg/mfcr/xsl/dane_ucetni_reforma_vf_pravpred_platna_leg_vyhlasky2011_67128.html" TargetMode="External"/><Relationship Id="rId5" Type="http://schemas.openxmlformats.org/officeDocument/2006/relationships/hyperlink" Target="http://www2012.mfcr.cz/cps/rde/xchg/mfcr/xsl/dane_ucetni_reforma_vf_pravpred_platna_leg_vyhlasky_70935.html" TargetMode="External"/><Relationship Id="rId4" Type="http://schemas.openxmlformats.org/officeDocument/2006/relationships/hyperlink" Target="http://www.mfcr/cps/rde/xchg/mfcr/xsl/dane_ucetni_reforma_vf_pravpred_platna_leg_vyhlasky_70936.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D0F22-9E7C-4EE5-9BB6-F3CEF821B534}"/>
</file>

<file path=customXml/itemProps2.xml><?xml version="1.0" encoding="utf-8"?>
<ds:datastoreItem xmlns:ds="http://schemas.openxmlformats.org/officeDocument/2006/customXml" ds:itemID="{87522AF2-84C6-4219-B0C6-62DB42914860}"/>
</file>

<file path=customXml/itemProps3.xml><?xml version="1.0" encoding="utf-8"?>
<ds:datastoreItem xmlns:ds="http://schemas.openxmlformats.org/officeDocument/2006/customXml" ds:itemID="{5FA6260C-2B4D-4DE0-973C-CCB24A3F65DD}"/>
</file>

<file path=customXml/itemProps4.xml><?xml version="1.0" encoding="utf-8"?>
<ds:datastoreItem xmlns:ds="http://schemas.openxmlformats.org/officeDocument/2006/customXml" ds:itemID="{98F76163-EE09-4916-B5BE-4E08E3EEE2A1}"/>
</file>

<file path=docProps/app.xml><?xml version="1.0" encoding="utf-8"?>
<Properties xmlns="http://schemas.openxmlformats.org/officeDocument/2006/extended-properties" xmlns:vt="http://schemas.openxmlformats.org/officeDocument/2006/docPropsVTypes">
  <Template>Normal</Template>
  <TotalTime>113</TotalTime>
  <Pages>21</Pages>
  <Words>7988</Words>
  <Characters>47131</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55009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13/11</dc:title>
  <dc:creator>STEIDLOVÁ Jaromíra</dc:creator>
  <cp:lastModifiedBy>KOKRDA Daniel</cp:lastModifiedBy>
  <cp:revision>10</cp:revision>
  <cp:lastPrinted>2013-11-27T08:24:00Z</cp:lastPrinted>
  <dcterms:created xsi:type="dcterms:W3CDTF">2013-11-26T09:29:00Z</dcterms:created>
  <dcterms:modified xsi:type="dcterms:W3CDTF">2013-12-31T12:51:00Z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y fmtid="{D5CDD505-2E9C-101B-9397-08002B2CF9AE}" pid="3" name="CJ">
    <vt:lpwstr>13/11-NKU30/666/13</vt:lpwstr>
  </property>
  <property fmtid="{D5CDD505-2E9C-101B-9397-08002B2CF9AE}" pid="4" name="Contact_PostaOdes_All">
    <vt:lpwstr>ROZDĚLOVNÍK...</vt:lpwstr>
  </property>
  <property fmtid="{D5CDD505-2E9C-101B-9397-08002B2CF9AE}" pid="5" name="SZ_Spis_Pisemnost">
    <vt:lpwstr>13/11</vt:lpwstr>
  </property>
  <property fmtid="{D5CDD505-2E9C-101B-9397-08002B2CF9AE}" pid="6" name="DisplayName_SpisovyUzel_PoziceZodpo_Pisemnost">
    <vt:lpwstr>30</vt:lpwstr>
  </property>
  <property fmtid="{D5CDD505-2E9C-101B-9397-08002B2CF9AE}" pid="7" name="Zkratka_SpisovyUzel_PoziceZodpo_Pisemnost">
    <vt:lpwstr>30</vt:lpwstr>
  </property>
  <property fmtid="{D5CDD505-2E9C-101B-9397-08002B2CF9AE}" pid="8" name="Key_BarCode_Pisemnost">
    <vt:lpwstr>*B000191872*</vt:lpwstr>
  </property>
  <property fmtid="{D5CDD505-2E9C-101B-9397-08002B2CF9AE}" pid="9" name="EC_Pisemnost">
    <vt:lpwstr>13-16232</vt:lpwstr>
  </property>
  <property fmtid="{D5CDD505-2E9C-101B-9397-08002B2CF9AE}" pid="10" name="Odkaz">
    <vt:lpwstr>ODKAZ</vt:lpwstr>
  </property>
  <property fmtid="{D5CDD505-2E9C-101B-9397-08002B2CF9AE}" pid="11" name="SkartacniZnakLhuta_PisemnostZnak">
    <vt:lpwstr>/0</vt:lpwstr>
  </property>
  <property fmtid="{D5CDD505-2E9C-101B-9397-08002B2CF9AE}" pid="12" name="CJ_Spis_Pisemnost">
    <vt:lpwstr>CJ/SPIS/ROK</vt:lpwstr>
  </property>
  <property fmtid="{D5CDD505-2E9C-101B-9397-08002B2CF9AE}" pid="13" name="UserName_PisemnostTypZpristupneniInformaciZOSZ_Pisemnost">
    <vt:lpwstr>ZOSZ_UserName</vt:lpwstr>
  </property>
  <property fmtid="{D5CDD505-2E9C-101B-9397-08002B2CF9AE}" pid="14" name="Password_PisemnostTypZpristupneniInformaciZOSZ_Pisemnost">
    <vt:lpwstr>ZOSZ_Password</vt:lpwstr>
  </property>
  <property fmtid="{D5CDD505-2E9C-101B-9397-08002B2CF9AE}" pid="15" name="DatumPlatnosti_PisemnostTypZpristupneniInformaciZOSZ_Pisemnost">
    <vt:lpwstr>ZOSZ_DatumPlatnosti</vt:lpwstr>
  </property>
  <property fmtid="{D5CDD505-2E9C-101B-9397-08002B2CF9AE}" pid="16" name="TEST">
    <vt:lpwstr>testovací pole</vt:lpwstr>
  </property>
  <property fmtid="{D5CDD505-2E9C-101B-9397-08002B2CF9AE}" pid="17" name="PocetListu_Pisemnost">
    <vt:lpwstr>1</vt:lpwstr>
  </property>
  <property fmtid="{D5CDD505-2E9C-101B-9397-08002B2CF9AE}" pid="18" name="Vec_Pisemnost">
    <vt:lpwstr>Návrh kontrolního závěru č. 13/11 do připomínek</vt:lpwstr>
  </property>
  <property fmtid="{D5CDD505-2E9C-101B-9397-08002B2CF9AE}" pid="19" name="DatumPoriz_Pisemnost">
    <vt:lpwstr>22.10.2013</vt:lpwstr>
  </property>
  <property fmtid="{D5CDD505-2E9C-101B-9397-08002B2CF9AE}" pid="20" name="KRukam">
    <vt:lpwstr>{KRukam}</vt:lpwstr>
  </property>
  <property fmtid="{D5CDD505-2E9C-101B-9397-08002B2CF9AE}" pid="21" name="PocetListuDokumentu_Pisemnost">
    <vt:lpwstr>1</vt:lpwstr>
  </property>
  <property fmtid="{D5CDD505-2E9C-101B-9397-08002B2CF9AE}" pid="22" name="PocetPriloh_Pisemnost">
    <vt:lpwstr>POČET PŘÍLOH</vt:lpwstr>
  </property>
  <property fmtid="{D5CDD505-2E9C-101B-9397-08002B2CF9AE}" pid="23" name="TypPrilohy_Pisemnost">
    <vt:lpwstr>TYP PŘÍLOHY</vt:lpwstr>
  </property>
  <property fmtid="{D5CDD505-2E9C-101B-9397-08002B2CF9AE}" pid="24" name="DisplayName_UserPoriz_Pisemnost">
    <vt:lpwstr>Bc. Jana Pokorná</vt:lpwstr>
  </property>
  <property fmtid="{D5CDD505-2E9C-101B-9397-08002B2CF9AE}" pid="25" name="Podpis">
    <vt:lpwstr/>
  </property>
  <property fmtid="{D5CDD505-2E9C-101B-9397-08002B2CF9AE}" pid="26" name="SmlouvaCislo">
    <vt:lpwstr>ČÍSLO SMLOUVY</vt:lpwstr>
  </property>
</Properties>
</file>