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64" w:rsidRPr="005B599E" w:rsidRDefault="003B3B64" w:rsidP="003B3B64">
      <w:pPr>
        <w:pStyle w:val="Nzev"/>
        <w:rPr>
          <w:rFonts w:ascii="Arial" w:hAnsi="Arial" w:cs="Arial"/>
          <w:sz w:val="22"/>
          <w:szCs w:val="22"/>
        </w:rPr>
      </w:pPr>
    </w:p>
    <w:p w:rsidR="003B3B64" w:rsidRPr="005B599E" w:rsidRDefault="003B3B64" w:rsidP="003B3B64">
      <w:pPr>
        <w:pStyle w:val="Nzev"/>
        <w:rPr>
          <w:rFonts w:ascii="Arial" w:hAnsi="Arial" w:cs="Arial"/>
          <w:sz w:val="22"/>
          <w:szCs w:val="22"/>
        </w:rPr>
      </w:pPr>
    </w:p>
    <w:p w:rsidR="003B3B64" w:rsidRPr="00EC49E0" w:rsidRDefault="003B3B64" w:rsidP="003B3B64">
      <w:pPr>
        <w:pStyle w:val="Nzev"/>
        <w:rPr>
          <w:rFonts w:ascii="Arial" w:hAnsi="Arial" w:cs="Arial"/>
          <w:sz w:val="22"/>
          <w:szCs w:val="22"/>
        </w:rPr>
      </w:pPr>
      <w:r w:rsidRPr="00EC49E0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2B3E19F6" wp14:editId="0876B9DA">
            <wp:simplePos x="0" y="0"/>
            <wp:positionH relativeFrom="column">
              <wp:posOffset>2484755</wp:posOffset>
            </wp:positionH>
            <wp:positionV relativeFrom="paragraph">
              <wp:posOffset>-346710</wp:posOffset>
            </wp:positionV>
            <wp:extent cx="791210" cy="559435"/>
            <wp:effectExtent l="0" t="0" r="8890" b="0"/>
            <wp:wrapSquare wrapText="bothSides"/>
            <wp:docPr id="1" name="Obrázek 1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64" w:rsidRPr="00EC49E0" w:rsidRDefault="003B3B64" w:rsidP="003B3B64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:rsidR="003B3B64" w:rsidRPr="00EC49E0" w:rsidRDefault="003B3B64" w:rsidP="003B3B64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:rsidR="003B3B64" w:rsidRPr="00222BAE" w:rsidRDefault="003B3B64" w:rsidP="003B3B64">
      <w:pPr>
        <w:pStyle w:val="Nzev"/>
        <w:outlineLvl w:val="0"/>
        <w:rPr>
          <w:rFonts w:ascii="Arial" w:hAnsi="Arial" w:cs="Arial"/>
          <w:sz w:val="28"/>
          <w:szCs w:val="28"/>
        </w:rPr>
      </w:pPr>
      <w:r w:rsidRPr="00222BAE">
        <w:rPr>
          <w:rFonts w:ascii="Arial" w:hAnsi="Arial" w:cs="Arial"/>
          <w:sz w:val="28"/>
          <w:szCs w:val="28"/>
        </w:rPr>
        <w:t>Kontrolní závěr z kontrolní akce</w:t>
      </w:r>
    </w:p>
    <w:p w:rsidR="003B3B64" w:rsidRPr="00222BAE" w:rsidRDefault="003B3B64" w:rsidP="003B3B64">
      <w:pPr>
        <w:pStyle w:val="Nzev"/>
        <w:rPr>
          <w:rFonts w:ascii="Arial" w:hAnsi="Arial" w:cs="Arial"/>
          <w:sz w:val="28"/>
          <w:szCs w:val="28"/>
        </w:rPr>
      </w:pPr>
    </w:p>
    <w:p w:rsidR="003B3B64" w:rsidRPr="00222BAE" w:rsidRDefault="003B3B64" w:rsidP="003B3B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BAE">
        <w:rPr>
          <w:rFonts w:ascii="Arial" w:hAnsi="Arial" w:cs="Arial"/>
          <w:b/>
          <w:bCs/>
          <w:sz w:val="28"/>
          <w:szCs w:val="28"/>
        </w:rPr>
        <w:t>13/10</w:t>
      </w:r>
    </w:p>
    <w:p w:rsidR="003B3B64" w:rsidRPr="00222BAE" w:rsidRDefault="003B3B64" w:rsidP="003B3B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B3B64" w:rsidRPr="00222BAE" w:rsidRDefault="003B3B64" w:rsidP="003B3B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2BAE">
        <w:rPr>
          <w:rFonts w:ascii="Arial" w:hAnsi="Arial" w:cs="Arial"/>
          <w:b/>
          <w:sz w:val="28"/>
          <w:szCs w:val="28"/>
        </w:rPr>
        <w:t>Zahraniční pohledávky</w:t>
      </w:r>
      <w:r w:rsidR="00355C8E" w:rsidRPr="00222BAE">
        <w:rPr>
          <w:rFonts w:ascii="Arial" w:hAnsi="Arial" w:cs="Arial"/>
          <w:b/>
          <w:sz w:val="28"/>
          <w:szCs w:val="28"/>
        </w:rPr>
        <w:t xml:space="preserve"> České republiky</w:t>
      </w:r>
      <w:r w:rsidRPr="00222BAE">
        <w:rPr>
          <w:rFonts w:ascii="Arial" w:hAnsi="Arial" w:cs="Arial"/>
          <w:b/>
          <w:sz w:val="28"/>
          <w:szCs w:val="28"/>
        </w:rPr>
        <w:t xml:space="preserve"> ve správě Ministerstva financí</w:t>
      </w:r>
    </w:p>
    <w:p w:rsidR="003B3B64" w:rsidRPr="00D06937" w:rsidRDefault="003B3B64" w:rsidP="003B3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3B64" w:rsidRPr="00EC49E0" w:rsidRDefault="003B3B64" w:rsidP="003B3B64">
      <w:pPr>
        <w:spacing w:after="0" w:line="240" w:lineRule="auto"/>
        <w:rPr>
          <w:rFonts w:ascii="Arial" w:hAnsi="Arial" w:cs="Arial"/>
        </w:rPr>
      </w:pP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Kontrolní akce byla zařazena do plánu kontrolní činnosti Nejvyššího kontrolního úřadu (dále jen „NKÚ“) na rok 2013 pod číslem 13/10. Kontrolní akci řídila a kontrolní závěr vypracovala členka NKÚ JUDr. Eliška Kadaňová.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Cílem kontroly bylo prověřit postupy Ministerstva financí při správě a zajišťování návratnosti pohledávek České republiky civilního charakteru </w:t>
      </w:r>
      <w:r w:rsidR="00186265">
        <w:rPr>
          <w:rFonts w:ascii="Arial" w:hAnsi="Arial" w:cs="Arial"/>
        </w:rPr>
        <w:t>v </w:t>
      </w:r>
      <w:r w:rsidRPr="00EC49E0">
        <w:rPr>
          <w:rFonts w:ascii="Arial" w:hAnsi="Arial" w:cs="Arial"/>
        </w:rPr>
        <w:t xml:space="preserve">zahraničí včetně pohledávek </w:t>
      </w:r>
      <w:r w:rsidR="00186265">
        <w:rPr>
          <w:rFonts w:ascii="Arial" w:hAnsi="Arial" w:cs="Arial"/>
        </w:rPr>
        <w:t>z </w:t>
      </w:r>
      <w:r w:rsidRPr="00EC49E0">
        <w:rPr>
          <w:rFonts w:ascii="Arial" w:hAnsi="Arial" w:cs="Arial"/>
        </w:rPr>
        <w:t>deblokací a realizovaných státních záruk a finančních výpomocí.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Kontrolováno bylo období let 2011 a 2012, </w:t>
      </w:r>
      <w:r w:rsidR="00186265">
        <w:rPr>
          <w:rFonts w:ascii="Arial" w:hAnsi="Arial" w:cs="Arial"/>
        </w:rPr>
        <w:t>v </w:t>
      </w:r>
      <w:r w:rsidRPr="00EC49E0">
        <w:rPr>
          <w:rFonts w:ascii="Arial" w:hAnsi="Arial" w:cs="Arial"/>
        </w:rPr>
        <w:t>případě věcných souvislostí i období předcházející a následující.</w:t>
      </w:r>
      <w:r w:rsidR="00F048A8">
        <w:rPr>
          <w:rFonts w:ascii="Arial" w:hAnsi="Arial" w:cs="Arial"/>
        </w:rPr>
        <w:t xml:space="preserve"> </w:t>
      </w:r>
      <w:r w:rsidR="00F048A8" w:rsidRPr="00EC49E0">
        <w:rPr>
          <w:rFonts w:ascii="Arial" w:hAnsi="Arial" w:cs="Arial"/>
        </w:rPr>
        <w:t xml:space="preserve">Kontrola byla prováděna </w:t>
      </w:r>
      <w:r w:rsidR="00F048A8">
        <w:rPr>
          <w:rFonts w:ascii="Arial" w:hAnsi="Arial" w:cs="Arial"/>
        </w:rPr>
        <w:t>v </w:t>
      </w:r>
      <w:r w:rsidR="00F048A8" w:rsidRPr="00EC49E0">
        <w:rPr>
          <w:rFonts w:ascii="Arial" w:hAnsi="Arial" w:cs="Arial"/>
        </w:rPr>
        <w:t>době od března do října 2013</w:t>
      </w:r>
      <w:r w:rsidR="00F048A8">
        <w:rPr>
          <w:rFonts w:ascii="Arial" w:hAnsi="Arial" w:cs="Arial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BE439A" w:rsidRDefault="00BE439A" w:rsidP="003B3B64">
      <w:pPr>
        <w:pStyle w:val="Zkladntext"/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Kontrolovaná osoba: Ministerstvo financí</w:t>
      </w:r>
      <w:r w:rsidR="00912811">
        <w:rPr>
          <w:rFonts w:ascii="Arial" w:hAnsi="Arial" w:cs="Arial"/>
        </w:rPr>
        <w:t>.</w:t>
      </w:r>
    </w:p>
    <w:p w:rsidR="003B3B64" w:rsidRPr="00EC49E0" w:rsidRDefault="003B3B64" w:rsidP="00222BAE">
      <w:pPr>
        <w:pStyle w:val="Zkladntext"/>
        <w:spacing w:after="0" w:line="240" w:lineRule="auto"/>
        <w:jc w:val="both"/>
        <w:outlineLvl w:val="0"/>
        <w:rPr>
          <w:rFonts w:ascii="Arial" w:hAnsi="Arial" w:cs="Arial"/>
        </w:rPr>
      </w:pPr>
    </w:p>
    <w:p w:rsidR="003B3B64" w:rsidRPr="00EC49E0" w:rsidRDefault="003B3B64" w:rsidP="00C34349">
      <w:pPr>
        <w:pStyle w:val="Zkladntext"/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Námitky </w:t>
      </w:r>
      <w:r w:rsidR="00F048A8">
        <w:rPr>
          <w:rFonts w:ascii="Arial" w:hAnsi="Arial" w:cs="Arial"/>
        </w:rPr>
        <w:t xml:space="preserve">Ministerstva financí </w:t>
      </w:r>
      <w:r w:rsidRPr="00EC49E0">
        <w:rPr>
          <w:rFonts w:ascii="Arial" w:hAnsi="Arial" w:cs="Arial"/>
        </w:rPr>
        <w:t>proti kontrolnímu protokolu byly vypořádány vedoucím skupiny kontrolujících rozhodnutím o námitkách</w:t>
      </w:r>
      <w:r w:rsidR="00E54973" w:rsidRPr="00EC49E0">
        <w:rPr>
          <w:rFonts w:ascii="Arial" w:hAnsi="Arial" w:cs="Arial"/>
        </w:rPr>
        <w:t>.</w:t>
      </w:r>
      <w:r w:rsidR="00C34349" w:rsidRPr="00EC49E0">
        <w:rPr>
          <w:rFonts w:ascii="Arial" w:hAnsi="Arial" w:cs="Arial"/>
        </w:rPr>
        <w:t xml:space="preserve"> Odvolání podáno</w:t>
      </w:r>
      <w:r w:rsidR="00BE439A" w:rsidRPr="00BE439A">
        <w:rPr>
          <w:rFonts w:ascii="Arial" w:hAnsi="Arial" w:cs="Arial"/>
        </w:rPr>
        <w:t xml:space="preserve"> </w:t>
      </w:r>
      <w:r w:rsidR="00BE439A" w:rsidRPr="00EC49E0">
        <w:rPr>
          <w:rFonts w:ascii="Arial" w:hAnsi="Arial" w:cs="Arial"/>
        </w:rPr>
        <w:t>nebylo</w:t>
      </w:r>
      <w:r w:rsidR="00C34349" w:rsidRPr="00EC49E0">
        <w:rPr>
          <w:rFonts w:ascii="Arial" w:hAnsi="Arial" w:cs="Arial"/>
        </w:rPr>
        <w:t xml:space="preserve">. 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3B3B64">
      <w:pPr>
        <w:spacing w:after="0"/>
        <w:rPr>
          <w:rFonts w:ascii="Arial" w:hAnsi="Arial" w:cs="Arial"/>
        </w:rPr>
      </w:pPr>
      <w:proofErr w:type="gramStart"/>
      <w:r w:rsidRPr="00EC49E0">
        <w:rPr>
          <w:rFonts w:ascii="Arial" w:hAnsi="Arial" w:cs="Arial"/>
          <w:b/>
          <w:bCs/>
          <w:i/>
          <w:iCs/>
        </w:rPr>
        <w:t>K o l e g i u m</w:t>
      </w:r>
      <w:r w:rsidRPr="00EC49E0">
        <w:rPr>
          <w:rFonts w:ascii="Arial" w:hAnsi="Arial" w:cs="Arial"/>
          <w:b/>
          <w:bCs/>
        </w:rPr>
        <w:t xml:space="preserve">   </w:t>
      </w:r>
      <w:r w:rsidRPr="00222BAE">
        <w:rPr>
          <w:rFonts w:ascii="Arial" w:hAnsi="Arial" w:cs="Arial"/>
          <w:b/>
          <w:i/>
        </w:rPr>
        <w:t>N</w:t>
      </w:r>
      <w:r w:rsidR="00F048A8" w:rsidRPr="00222BAE">
        <w:rPr>
          <w:rFonts w:ascii="Arial" w:hAnsi="Arial" w:cs="Arial"/>
          <w:b/>
          <w:i/>
        </w:rPr>
        <w:t xml:space="preserve"> </w:t>
      </w:r>
      <w:r w:rsidRPr="00222BAE">
        <w:rPr>
          <w:rFonts w:ascii="Arial" w:hAnsi="Arial" w:cs="Arial"/>
          <w:b/>
          <w:i/>
        </w:rPr>
        <w:t>K</w:t>
      </w:r>
      <w:r w:rsidR="00F048A8" w:rsidRPr="00222BAE">
        <w:rPr>
          <w:rFonts w:ascii="Arial" w:hAnsi="Arial" w:cs="Arial"/>
          <w:b/>
          <w:i/>
        </w:rPr>
        <w:t xml:space="preserve"> </w:t>
      </w:r>
      <w:r w:rsidRPr="00222BAE">
        <w:rPr>
          <w:rFonts w:ascii="Arial" w:hAnsi="Arial" w:cs="Arial"/>
          <w:b/>
          <w:i/>
        </w:rPr>
        <w:t>Ú</w:t>
      </w:r>
      <w:r w:rsidRPr="00EC49E0">
        <w:rPr>
          <w:rFonts w:ascii="Arial" w:hAnsi="Arial" w:cs="Arial"/>
        </w:rPr>
        <w:t xml:space="preserve"> </w:t>
      </w:r>
      <w:r w:rsidR="00F048A8">
        <w:rPr>
          <w:rFonts w:ascii="Arial" w:hAnsi="Arial" w:cs="Arial"/>
        </w:rPr>
        <w:t xml:space="preserve">  </w:t>
      </w:r>
      <w:r w:rsidRPr="00EC49E0">
        <w:rPr>
          <w:rFonts w:ascii="Arial" w:hAnsi="Arial" w:cs="Arial"/>
        </w:rPr>
        <w:t>na</w:t>
      </w:r>
      <w:proofErr w:type="gramEnd"/>
      <w:r w:rsidRPr="00EC49E0">
        <w:rPr>
          <w:rFonts w:ascii="Arial" w:hAnsi="Arial" w:cs="Arial"/>
        </w:rPr>
        <w:t xml:space="preserve"> svém </w:t>
      </w:r>
      <w:r w:rsidR="00912811">
        <w:rPr>
          <w:rFonts w:ascii="Arial" w:hAnsi="Arial" w:cs="Arial"/>
        </w:rPr>
        <w:t>XX</w:t>
      </w:r>
      <w:r w:rsidR="00026D67">
        <w:rPr>
          <w:rFonts w:ascii="Arial" w:hAnsi="Arial" w:cs="Arial"/>
        </w:rPr>
        <w:t>I</w:t>
      </w:r>
      <w:r w:rsidR="00912811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zasedání, konaném dne </w:t>
      </w:r>
      <w:r w:rsidR="00912811">
        <w:rPr>
          <w:rFonts w:ascii="Arial" w:hAnsi="Arial" w:cs="Arial"/>
        </w:rPr>
        <w:t>16. prosince</w:t>
      </w:r>
      <w:r w:rsidRPr="00EC49E0">
        <w:rPr>
          <w:rFonts w:ascii="Arial" w:hAnsi="Arial" w:cs="Arial"/>
        </w:rPr>
        <w:t xml:space="preserve"> 2013, </w:t>
      </w:r>
    </w:p>
    <w:p w:rsidR="003B3B64" w:rsidRPr="00EC49E0" w:rsidRDefault="003B3B64" w:rsidP="003B3B64">
      <w:pPr>
        <w:spacing w:after="0"/>
        <w:rPr>
          <w:rFonts w:ascii="Arial" w:hAnsi="Arial" w:cs="Arial"/>
        </w:rPr>
      </w:pPr>
      <w:r w:rsidRPr="00EC49E0">
        <w:rPr>
          <w:rFonts w:ascii="Arial" w:hAnsi="Arial" w:cs="Arial"/>
          <w:b/>
          <w:bCs/>
          <w:i/>
          <w:iCs/>
        </w:rPr>
        <w:t>s c h v á l i l o</w:t>
      </w:r>
      <w:r w:rsidRPr="00EC49E0">
        <w:rPr>
          <w:rFonts w:ascii="Arial" w:hAnsi="Arial" w:cs="Arial"/>
        </w:rPr>
        <w:t xml:space="preserve">   usnesením č. </w:t>
      </w:r>
      <w:r w:rsidR="00B2778D">
        <w:rPr>
          <w:rFonts w:ascii="Arial" w:hAnsi="Arial" w:cs="Arial"/>
        </w:rPr>
        <w:t>7</w:t>
      </w:r>
      <w:r w:rsidRPr="00EC49E0">
        <w:rPr>
          <w:rFonts w:ascii="Arial" w:hAnsi="Arial" w:cs="Arial"/>
        </w:rPr>
        <w:t>/</w:t>
      </w:r>
      <w:r w:rsidR="00912811">
        <w:rPr>
          <w:rFonts w:ascii="Arial" w:hAnsi="Arial" w:cs="Arial"/>
        </w:rPr>
        <w:t>XX</w:t>
      </w:r>
      <w:r w:rsidR="00026D67">
        <w:rPr>
          <w:rFonts w:ascii="Arial" w:hAnsi="Arial" w:cs="Arial"/>
        </w:rPr>
        <w:t>I</w:t>
      </w:r>
      <w:r w:rsidRPr="00EC49E0">
        <w:rPr>
          <w:rFonts w:ascii="Arial" w:hAnsi="Arial" w:cs="Arial"/>
        </w:rPr>
        <w:t>/2013</w:t>
      </w:r>
    </w:p>
    <w:p w:rsidR="003B3B64" w:rsidRPr="00EC49E0" w:rsidRDefault="003B3B64" w:rsidP="003B3B64">
      <w:pPr>
        <w:spacing w:after="0"/>
        <w:rPr>
          <w:rFonts w:ascii="Arial" w:hAnsi="Arial" w:cs="Arial"/>
        </w:rPr>
      </w:pPr>
      <w:r w:rsidRPr="00EC49E0">
        <w:rPr>
          <w:rFonts w:ascii="Arial" w:hAnsi="Arial" w:cs="Arial"/>
          <w:b/>
          <w:bCs/>
          <w:i/>
          <w:iCs/>
        </w:rPr>
        <w:t>k o n t r o l n í   z á v ě r</w:t>
      </w:r>
      <w:r w:rsidRPr="00EC49E0">
        <w:rPr>
          <w:rFonts w:ascii="Arial" w:hAnsi="Arial" w:cs="Arial"/>
        </w:rPr>
        <w:t xml:space="preserve">   v tomto znění:</w:t>
      </w:r>
    </w:p>
    <w:p w:rsidR="003B3B64" w:rsidRPr="0025362C" w:rsidRDefault="003B3B64" w:rsidP="003B3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B64" w:rsidRPr="0025362C" w:rsidRDefault="003B3B64" w:rsidP="003B3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B64" w:rsidRPr="00222BAE" w:rsidRDefault="0025362C" w:rsidP="0025362C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222BAE">
        <w:rPr>
          <w:rFonts w:ascii="Arial" w:hAnsi="Arial" w:cs="Arial"/>
          <w:b/>
          <w:bCs/>
          <w:sz w:val="24"/>
          <w:szCs w:val="24"/>
        </w:rPr>
        <w:t xml:space="preserve">I. </w:t>
      </w:r>
      <w:r w:rsidR="003B3B64" w:rsidRPr="00222BAE">
        <w:rPr>
          <w:rFonts w:ascii="Arial" w:hAnsi="Arial" w:cs="Arial"/>
          <w:b/>
          <w:bCs/>
          <w:sz w:val="24"/>
          <w:szCs w:val="24"/>
        </w:rPr>
        <w:t>Úvod</w:t>
      </w:r>
    </w:p>
    <w:p w:rsidR="00C34349" w:rsidRPr="0025362C" w:rsidRDefault="00C34349" w:rsidP="00C34349">
      <w:pPr>
        <w:pStyle w:val="Odstavecseseznamem"/>
        <w:spacing w:after="0" w:line="240" w:lineRule="auto"/>
        <w:ind w:left="1077"/>
        <w:rPr>
          <w:rFonts w:ascii="Arial" w:hAnsi="Arial" w:cs="Arial"/>
          <w:b/>
          <w:bCs/>
          <w:sz w:val="24"/>
          <w:szCs w:val="24"/>
        </w:rPr>
      </w:pPr>
    </w:p>
    <w:p w:rsidR="003B3B64" w:rsidRPr="00EC49E0" w:rsidRDefault="00BE439A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Ministerstvo financí (dále také „MF“) </w:t>
      </w:r>
      <w:r w:rsidR="003B3B64" w:rsidRPr="00EC49E0">
        <w:rPr>
          <w:rFonts w:ascii="Arial" w:hAnsi="Arial" w:cs="Arial"/>
          <w:sz w:val="22"/>
          <w:szCs w:val="22"/>
        </w:rPr>
        <w:t xml:space="preserve">je </w:t>
      </w:r>
      <w:r w:rsidR="0017689E" w:rsidRPr="00EC49E0">
        <w:rPr>
          <w:rFonts w:ascii="Arial" w:hAnsi="Arial" w:cs="Arial"/>
          <w:sz w:val="22"/>
          <w:szCs w:val="22"/>
        </w:rPr>
        <w:t xml:space="preserve">dle </w:t>
      </w:r>
      <w:r w:rsidR="003B3B64" w:rsidRPr="00EC49E0">
        <w:rPr>
          <w:rFonts w:ascii="Arial" w:hAnsi="Arial" w:cs="Arial"/>
          <w:sz w:val="22"/>
          <w:szCs w:val="22"/>
        </w:rPr>
        <w:t>zákona č. 2/1969 Sb.</w:t>
      </w:r>
      <w:r w:rsidR="00604C7B" w:rsidRPr="00EC49E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3B3B64" w:rsidRPr="00EC49E0">
        <w:rPr>
          <w:rFonts w:ascii="Arial" w:hAnsi="Arial" w:cs="Arial"/>
          <w:sz w:val="22"/>
          <w:szCs w:val="22"/>
        </w:rPr>
        <w:t xml:space="preserve"> ústředním orgánem státní správy mj. pro věci devizové včetně pohledávek a závazků státu vůči zahraničí. MF vykonává </w:t>
      </w:r>
      <w:r w:rsidR="0017689E" w:rsidRPr="00EC49E0">
        <w:rPr>
          <w:rFonts w:ascii="Arial" w:hAnsi="Arial" w:cs="Arial"/>
          <w:sz w:val="22"/>
          <w:szCs w:val="22"/>
        </w:rPr>
        <w:t xml:space="preserve">dle </w:t>
      </w:r>
      <w:r w:rsidR="003B3B64" w:rsidRPr="00EC49E0">
        <w:rPr>
          <w:rFonts w:ascii="Arial" w:hAnsi="Arial" w:cs="Arial"/>
          <w:sz w:val="22"/>
          <w:szCs w:val="22"/>
        </w:rPr>
        <w:t>zákona č. 218/2000 Sb.</w:t>
      </w:r>
      <w:r w:rsidR="00EA6A5C" w:rsidRPr="00EC49E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A6A5C" w:rsidRPr="00EC49E0">
        <w:rPr>
          <w:rFonts w:ascii="Arial" w:hAnsi="Arial" w:cs="Arial"/>
          <w:sz w:val="22"/>
          <w:szCs w:val="22"/>
        </w:rPr>
        <w:t xml:space="preserve"> </w:t>
      </w:r>
      <w:r w:rsidR="003B3B64" w:rsidRPr="00EC49E0">
        <w:rPr>
          <w:rFonts w:ascii="Arial" w:hAnsi="Arial" w:cs="Arial"/>
          <w:sz w:val="22"/>
          <w:szCs w:val="22"/>
        </w:rPr>
        <w:t xml:space="preserve">správu státních finančních aktiv, </w:t>
      </w:r>
      <w:r w:rsidR="00AB7511">
        <w:rPr>
          <w:rFonts w:ascii="Arial" w:hAnsi="Arial" w:cs="Arial"/>
          <w:sz w:val="22"/>
          <w:szCs w:val="22"/>
        </w:rPr>
        <w:t xml:space="preserve">kam jsou zahrnuty </w:t>
      </w:r>
      <w:r w:rsidR="00AB7511" w:rsidRPr="00F048A8">
        <w:rPr>
          <w:rFonts w:ascii="Arial" w:hAnsi="Arial" w:cs="Arial"/>
          <w:sz w:val="22"/>
          <w:szCs w:val="22"/>
        </w:rPr>
        <w:t>i </w:t>
      </w:r>
      <w:r w:rsidR="0017689E" w:rsidRPr="00222BAE">
        <w:rPr>
          <w:rFonts w:ascii="Arial" w:hAnsi="Arial" w:cs="Arial"/>
          <w:sz w:val="22"/>
          <w:szCs w:val="22"/>
        </w:rPr>
        <w:t>„</w:t>
      </w:r>
      <w:r w:rsidR="00BF4048" w:rsidRPr="00F048A8">
        <w:rPr>
          <w:rFonts w:ascii="Arial" w:hAnsi="Arial" w:cs="Arial"/>
          <w:i/>
          <w:sz w:val="22"/>
          <w:szCs w:val="22"/>
        </w:rPr>
        <w:t>…</w:t>
      </w:r>
      <w:r w:rsidR="00AB7511">
        <w:rPr>
          <w:rFonts w:ascii="Arial" w:hAnsi="Arial" w:cs="Arial"/>
          <w:i/>
          <w:sz w:val="22"/>
          <w:szCs w:val="22"/>
        </w:rPr>
        <w:t xml:space="preserve"> </w:t>
      </w:r>
      <w:r w:rsidR="003B3B64" w:rsidRPr="00EC49E0">
        <w:rPr>
          <w:rFonts w:ascii="Arial" w:hAnsi="Arial" w:cs="Arial"/>
          <w:i/>
          <w:sz w:val="22"/>
          <w:szCs w:val="22"/>
        </w:rPr>
        <w:t>pohledávky státu z úvěrů a</w:t>
      </w:r>
      <w:r w:rsidR="00DD308D">
        <w:rPr>
          <w:rFonts w:ascii="Arial" w:hAnsi="Arial" w:cs="Arial"/>
          <w:i/>
          <w:sz w:val="22"/>
          <w:szCs w:val="22"/>
        </w:rPr>
        <w:t> </w:t>
      </w:r>
      <w:r w:rsidR="003B3B64" w:rsidRPr="00EC49E0">
        <w:rPr>
          <w:rFonts w:ascii="Arial" w:hAnsi="Arial" w:cs="Arial"/>
          <w:i/>
          <w:sz w:val="22"/>
          <w:szCs w:val="22"/>
        </w:rPr>
        <w:t>návratných finančních výpomocí poskytnutých ze státních finančních aktiv, jakož i</w:t>
      </w:r>
      <w:r w:rsidR="00DD308D">
        <w:rPr>
          <w:rFonts w:ascii="Arial" w:hAnsi="Arial" w:cs="Arial"/>
          <w:i/>
          <w:sz w:val="22"/>
          <w:szCs w:val="22"/>
        </w:rPr>
        <w:t> </w:t>
      </w:r>
      <w:r w:rsidR="003B3B64" w:rsidRPr="00EC49E0">
        <w:rPr>
          <w:rFonts w:ascii="Arial" w:hAnsi="Arial" w:cs="Arial"/>
          <w:i/>
          <w:sz w:val="22"/>
          <w:szCs w:val="22"/>
        </w:rPr>
        <w:t>pohledávky ze státních záruk realizovaných ze státních finančních aktiv a pohledávky státu, které mu postoupily jiné subjekty</w:t>
      </w:r>
      <w:r w:rsidR="00F048A8">
        <w:rPr>
          <w:rFonts w:ascii="Arial" w:hAnsi="Arial" w:cs="Arial"/>
          <w:i/>
          <w:sz w:val="22"/>
          <w:szCs w:val="22"/>
        </w:rPr>
        <w:t>,</w:t>
      </w:r>
      <w:r w:rsidR="003B3B64" w:rsidRPr="00EC49E0">
        <w:rPr>
          <w:rFonts w:ascii="Arial" w:hAnsi="Arial" w:cs="Arial"/>
          <w:i/>
          <w:sz w:val="22"/>
          <w:szCs w:val="22"/>
        </w:rPr>
        <w:t xml:space="preserve"> a jiné pohledávky</w:t>
      </w:r>
      <w:r w:rsidR="0017689E" w:rsidRPr="00222BAE">
        <w:rPr>
          <w:rFonts w:ascii="Arial" w:hAnsi="Arial" w:cs="Arial"/>
          <w:sz w:val="22"/>
          <w:szCs w:val="22"/>
        </w:rPr>
        <w:t>“</w:t>
      </w:r>
      <w:r w:rsidR="003B3B64" w:rsidRPr="00F048A8">
        <w:rPr>
          <w:rFonts w:ascii="Arial" w:hAnsi="Arial" w:cs="Arial"/>
          <w:sz w:val="22"/>
          <w:szCs w:val="22"/>
        </w:rPr>
        <w:t>.</w:t>
      </w:r>
    </w:p>
    <w:p w:rsidR="003B3B64" w:rsidRPr="00EC49E0" w:rsidRDefault="003B3B64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B3B64" w:rsidRPr="00EC49E0" w:rsidRDefault="00A233B2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C49E0">
        <w:rPr>
          <w:rFonts w:ascii="Arial" w:hAnsi="Arial" w:cs="Arial"/>
          <w:sz w:val="22"/>
          <w:szCs w:val="22"/>
        </w:rPr>
        <w:t>Hospodaření a nakládání s</w:t>
      </w:r>
      <w:r w:rsidR="0017689E" w:rsidRPr="00EC49E0">
        <w:rPr>
          <w:rFonts w:ascii="Arial" w:hAnsi="Arial" w:cs="Arial"/>
          <w:sz w:val="22"/>
          <w:szCs w:val="22"/>
        </w:rPr>
        <w:t> p</w:t>
      </w:r>
      <w:r w:rsidR="003B3B64" w:rsidRPr="00EC49E0">
        <w:rPr>
          <w:rFonts w:ascii="Arial" w:hAnsi="Arial" w:cs="Arial"/>
          <w:sz w:val="22"/>
          <w:szCs w:val="22"/>
        </w:rPr>
        <w:t>ohledávk</w:t>
      </w:r>
      <w:r w:rsidRPr="00EC49E0">
        <w:rPr>
          <w:rFonts w:ascii="Arial" w:hAnsi="Arial" w:cs="Arial"/>
          <w:sz w:val="22"/>
          <w:szCs w:val="22"/>
        </w:rPr>
        <w:t xml:space="preserve">ami </w:t>
      </w:r>
      <w:r w:rsidR="003B3B64" w:rsidRPr="00EC49E0">
        <w:rPr>
          <w:rFonts w:ascii="Arial" w:hAnsi="Arial" w:cs="Arial"/>
          <w:sz w:val="22"/>
          <w:szCs w:val="22"/>
        </w:rPr>
        <w:t>státu</w:t>
      </w:r>
      <w:r w:rsidR="0017689E" w:rsidRPr="00EC49E0">
        <w:rPr>
          <w:rFonts w:ascii="Arial" w:hAnsi="Arial" w:cs="Arial"/>
          <w:sz w:val="22"/>
          <w:szCs w:val="22"/>
        </w:rPr>
        <w:t xml:space="preserve"> </w:t>
      </w:r>
      <w:r w:rsidRPr="00EC49E0">
        <w:rPr>
          <w:rFonts w:ascii="Arial" w:hAnsi="Arial" w:cs="Arial"/>
          <w:sz w:val="22"/>
          <w:szCs w:val="22"/>
        </w:rPr>
        <w:t xml:space="preserve">upravuje </w:t>
      </w:r>
      <w:r w:rsidR="003B3B64" w:rsidRPr="00EC49E0">
        <w:rPr>
          <w:rFonts w:ascii="Arial" w:hAnsi="Arial" w:cs="Arial"/>
          <w:sz w:val="22"/>
          <w:szCs w:val="22"/>
        </w:rPr>
        <w:t>zákon č. 219/2000 Sb</w:t>
      </w:r>
      <w:r w:rsidR="00F10699">
        <w:rPr>
          <w:rFonts w:ascii="Arial" w:hAnsi="Arial" w:cs="Arial"/>
          <w:sz w:val="22"/>
          <w:szCs w:val="22"/>
        </w:rPr>
        <w:t>.</w:t>
      </w:r>
      <w:r w:rsidR="00EA6A5C" w:rsidRPr="00EC49E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B3B64" w:rsidRPr="00EC49E0">
        <w:rPr>
          <w:rFonts w:ascii="Arial" w:hAnsi="Arial" w:cs="Arial"/>
          <w:sz w:val="22"/>
          <w:szCs w:val="22"/>
        </w:rPr>
        <w:t xml:space="preserve"> Specifikem pro většinu zahraničních pohledávek </w:t>
      </w:r>
      <w:r w:rsidRPr="00EC49E0">
        <w:rPr>
          <w:rFonts w:ascii="Arial" w:hAnsi="Arial" w:cs="Arial"/>
          <w:sz w:val="22"/>
          <w:szCs w:val="22"/>
        </w:rPr>
        <w:t xml:space="preserve">České republiky </w:t>
      </w:r>
      <w:r w:rsidR="003B3B64" w:rsidRPr="00EC49E0">
        <w:rPr>
          <w:rFonts w:ascii="Arial" w:hAnsi="Arial" w:cs="Arial"/>
          <w:sz w:val="22"/>
          <w:szCs w:val="22"/>
        </w:rPr>
        <w:t>je, že jsou</w:t>
      </w:r>
      <w:r w:rsidR="00E16FAE">
        <w:rPr>
          <w:rFonts w:ascii="Arial" w:hAnsi="Arial" w:cs="Arial"/>
          <w:sz w:val="22"/>
          <w:szCs w:val="22"/>
        </w:rPr>
        <w:t>,</w:t>
      </w:r>
      <w:r w:rsidR="003B3B64" w:rsidRPr="00EC49E0">
        <w:rPr>
          <w:rFonts w:ascii="Arial" w:hAnsi="Arial" w:cs="Arial"/>
          <w:sz w:val="22"/>
          <w:szCs w:val="22"/>
        </w:rPr>
        <w:t xml:space="preserve"> případně byly v době svého vzniku</w:t>
      </w:r>
      <w:r w:rsidR="00E16FAE">
        <w:rPr>
          <w:rFonts w:ascii="Arial" w:hAnsi="Arial" w:cs="Arial"/>
          <w:sz w:val="22"/>
          <w:szCs w:val="22"/>
        </w:rPr>
        <w:t>,</w:t>
      </w:r>
      <w:r w:rsidR="003B3B64" w:rsidRPr="00EC49E0">
        <w:rPr>
          <w:rFonts w:ascii="Arial" w:hAnsi="Arial" w:cs="Arial"/>
          <w:sz w:val="22"/>
          <w:szCs w:val="22"/>
        </w:rPr>
        <w:t xml:space="preserve"> </w:t>
      </w:r>
      <w:r w:rsidRPr="00EC49E0">
        <w:rPr>
          <w:rFonts w:ascii="Arial" w:hAnsi="Arial" w:cs="Arial"/>
          <w:sz w:val="22"/>
          <w:szCs w:val="22"/>
        </w:rPr>
        <w:t xml:space="preserve">pohledávkou </w:t>
      </w:r>
      <w:r w:rsidR="003B3B64" w:rsidRPr="00EC49E0">
        <w:rPr>
          <w:rFonts w:ascii="Arial" w:hAnsi="Arial" w:cs="Arial"/>
          <w:sz w:val="22"/>
          <w:szCs w:val="22"/>
        </w:rPr>
        <w:t>vůči jinému státu. Na takové pohledávky se uplatňují pravidla mezinárodního práva, zejména tzv. imunity států navz</w:t>
      </w:r>
      <w:r w:rsidR="00F40E34" w:rsidRPr="00EC49E0">
        <w:rPr>
          <w:rFonts w:ascii="Arial" w:hAnsi="Arial" w:cs="Arial"/>
          <w:sz w:val="22"/>
          <w:szCs w:val="22"/>
        </w:rPr>
        <w:t xml:space="preserve">ájem, což znamená, že vymáhání pohledávek </w:t>
      </w:r>
      <w:r w:rsidRPr="00EC49E0">
        <w:rPr>
          <w:rFonts w:ascii="Arial" w:hAnsi="Arial" w:cs="Arial"/>
          <w:sz w:val="22"/>
          <w:szCs w:val="22"/>
        </w:rPr>
        <w:t xml:space="preserve">se </w:t>
      </w:r>
      <w:r w:rsidR="003B3B64" w:rsidRPr="00EC49E0">
        <w:rPr>
          <w:rFonts w:ascii="Arial" w:hAnsi="Arial" w:cs="Arial"/>
          <w:sz w:val="22"/>
          <w:szCs w:val="22"/>
        </w:rPr>
        <w:t>řeší především dohodou mezi státy.</w:t>
      </w:r>
    </w:p>
    <w:p w:rsidR="00F40E34" w:rsidRPr="00EC49E0" w:rsidRDefault="00F40E34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D31A2" w:rsidRDefault="003B3B64" w:rsidP="00B84A16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Základem pro převod zahraničních pohledávek do státních finančních aktiv</w:t>
      </w:r>
      <w:r w:rsidR="00F40E34" w:rsidRPr="00EC49E0">
        <w:rPr>
          <w:rFonts w:ascii="Arial" w:hAnsi="Arial" w:cs="Arial"/>
        </w:rPr>
        <w:t xml:space="preserve"> České republiky</w:t>
      </w:r>
      <w:r w:rsidRPr="00EC49E0">
        <w:rPr>
          <w:rFonts w:ascii="Arial" w:hAnsi="Arial" w:cs="Arial"/>
        </w:rPr>
        <w:t xml:space="preserve"> a</w:t>
      </w:r>
      <w:r w:rsidR="00C34349" w:rsidRPr="00EC49E0">
        <w:rPr>
          <w:rFonts w:ascii="Arial" w:hAnsi="Arial" w:cs="Arial"/>
        </w:rPr>
        <w:t xml:space="preserve"> specifické</w:t>
      </w:r>
      <w:r w:rsidRPr="00EC49E0">
        <w:rPr>
          <w:rFonts w:ascii="Arial" w:hAnsi="Arial" w:cs="Arial"/>
        </w:rPr>
        <w:t xml:space="preserve"> evidence MF byly dohody</w:t>
      </w:r>
      <w:r w:rsidR="00CD7AC2" w:rsidRPr="00EC49E0">
        <w:rPr>
          <w:rStyle w:val="Znakapoznpodarou"/>
          <w:rFonts w:ascii="Arial" w:hAnsi="Arial" w:cs="Arial"/>
        </w:rPr>
        <w:footnoteReference w:id="4"/>
      </w:r>
      <w:r w:rsidRPr="00EC49E0">
        <w:rPr>
          <w:rFonts w:ascii="Arial" w:hAnsi="Arial" w:cs="Arial"/>
        </w:rPr>
        <w:t xml:space="preserve"> uzavřené</w:t>
      </w:r>
      <w:r w:rsidR="00A233B2" w:rsidRPr="00EC49E0">
        <w:rPr>
          <w:rFonts w:ascii="Arial" w:hAnsi="Arial" w:cs="Arial"/>
        </w:rPr>
        <w:t xml:space="preserve"> v devadesátých letech minulého století</w:t>
      </w:r>
      <w:r w:rsidRPr="00EC49E0">
        <w:rPr>
          <w:rFonts w:ascii="Arial" w:hAnsi="Arial" w:cs="Arial"/>
        </w:rPr>
        <w:t xml:space="preserve"> mezi </w:t>
      </w:r>
      <w:r w:rsidR="00A233B2" w:rsidRPr="00EC49E0">
        <w:rPr>
          <w:rFonts w:ascii="Arial" w:hAnsi="Arial" w:cs="Arial"/>
        </w:rPr>
        <w:t xml:space="preserve">ministerstvy financí </w:t>
      </w:r>
      <w:r w:rsidRPr="00EC49E0">
        <w:rPr>
          <w:rFonts w:ascii="Arial" w:hAnsi="Arial" w:cs="Arial"/>
        </w:rPr>
        <w:t>České republiky</w:t>
      </w:r>
      <w:r w:rsidR="00A233B2" w:rsidRPr="00EC49E0">
        <w:rPr>
          <w:rFonts w:ascii="Arial" w:hAnsi="Arial" w:cs="Arial"/>
        </w:rPr>
        <w:t xml:space="preserve"> a</w:t>
      </w:r>
      <w:r w:rsidRPr="00EC49E0">
        <w:rPr>
          <w:rFonts w:ascii="Arial" w:hAnsi="Arial" w:cs="Arial"/>
        </w:rPr>
        <w:t xml:space="preserve"> Slovenské republiky a Československou obchodní bankou, a.</w:t>
      </w:r>
      <w:r w:rsidR="00DF30D9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s.</w:t>
      </w:r>
      <w:r w:rsidR="00DF30D9">
        <w:rPr>
          <w:rFonts w:ascii="Arial" w:hAnsi="Arial" w:cs="Arial"/>
        </w:rPr>
        <w:t>,</w:t>
      </w:r>
      <w:r w:rsidRPr="00EC49E0">
        <w:rPr>
          <w:rFonts w:ascii="Arial" w:hAnsi="Arial" w:cs="Arial"/>
        </w:rPr>
        <w:t xml:space="preserve"> (dále také „ČSOB“)</w:t>
      </w:r>
      <w:r w:rsidR="0017689E" w:rsidRPr="00EC49E0">
        <w:rPr>
          <w:rFonts w:ascii="Arial" w:hAnsi="Arial" w:cs="Arial"/>
        </w:rPr>
        <w:t xml:space="preserve">. </w:t>
      </w:r>
    </w:p>
    <w:p w:rsidR="00D53C6D" w:rsidRPr="00EC49E0" w:rsidRDefault="00D53C6D" w:rsidP="00B84A16">
      <w:pPr>
        <w:spacing w:after="0" w:line="240" w:lineRule="auto"/>
        <w:jc w:val="both"/>
        <w:rPr>
          <w:rFonts w:ascii="Arial" w:hAnsi="Arial" w:cs="Arial"/>
        </w:rPr>
      </w:pPr>
    </w:p>
    <w:p w:rsidR="00C34349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Na základě uvedených dohod byl </w:t>
      </w:r>
      <w:r w:rsidR="000776A2" w:rsidRPr="00EC49E0">
        <w:rPr>
          <w:rFonts w:ascii="Arial" w:hAnsi="Arial" w:cs="Arial"/>
        </w:rPr>
        <w:t>v roce 1999</w:t>
      </w:r>
      <w:r w:rsidRPr="00EC49E0">
        <w:rPr>
          <w:rFonts w:ascii="Arial" w:hAnsi="Arial" w:cs="Arial"/>
        </w:rPr>
        <w:t xml:space="preserve"> uzavřen </w:t>
      </w:r>
      <w:r w:rsidRPr="00EC49E0">
        <w:rPr>
          <w:rFonts w:ascii="Arial" w:hAnsi="Arial" w:cs="Arial"/>
          <w:i/>
        </w:rPr>
        <w:t>Protokol mezi MF ČR a MF SR o</w:t>
      </w:r>
      <w:r w:rsidR="0025362C">
        <w:rPr>
          <w:rFonts w:ascii="Arial" w:hAnsi="Arial" w:cs="Arial"/>
          <w:i/>
        </w:rPr>
        <w:t> </w:t>
      </w:r>
      <w:r w:rsidRPr="00EC49E0">
        <w:rPr>
          <w:rFonts w:ascii="Arial" w:hAnsi="Arial" w:cs="Arial"/>
          <w:i/>
        </w:rPr>
        <w:t>dalším postupu při vypořádání pohledávek a závazků České republiky a Slovenské republiky vůči zahraničí</w:t>
      </w:r>
      <w:r w:rsidRPr="00EC49E0">
        <w:rPr>
          <w:rFonts w:ascii="Arial" w:hAnsi="Arial" w:cs="Arial"/>
        </w:rPr>
        <w:t xml:space="preserve"> (dále jen „protokol o vypořádání“).</w:t>
      </w:r>
      <w:r w:rsidR="00604C7B" w:rsidRPr="00EC49E0">
        <w:rPr>
          <w:rFonts w:ascii="Arial" w:hAnsi="Arial" w:cs="Arial"/>
        </w:rPr>
        <w:t xml:space="preserve"> </w:t>
      </w:r>
      <w:r w:rsidR="00E16FAE" w:rsidRPr="00EC49E0">
        <w:rPr>
          <w:rFonts w:ascii="Arial" w:hAnsi="Arial" w:cs="Arial"/>
        </w:rPr>
        <w:t>MF rozlišuje zahraniční pohledávky civilního charakteru a speciálního charakteru s tím, že pohledávky speciálního charakteru vznikly z dodávek a úvěrů pro vojenské účely a vztahují se na ně zvláštní zákony.</w:t>
      </w:r>
      <w:r w:rsidR="00E16FAE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Účelem protokolu o vypořádání</w:t>
      </w:r>
      <w:r w:rsidR="000776A2" w:rsidRPr="00EC49E0">
        <w:rPr>
          <w:rFonts w:ascii="Arial" w:hAnsi="Arial" w:cs="Arial"/>
        </w:rPr>
        <w:t xml:space="preserve"> </w:t>
      </w:r>
      <w:r w:rsidR="00DF30D9" w:rsidRPr="00EC49E0">
        <w:rPr>
          <w:rFonts w:ascii="Arial" w:hAnsi="Arial" w:cs="Arial"/>
        </w:rPr>
        <w:t xml:space="preserve">bylo </w:t>
      </w:r>
      <w:r w:rsidR="000776A2" w:rsidRPr="00EC49E0">
        <w:rPr>
          <w:rFonts w:ascii="Arial" w:hAnsi="Arial" w:cs="Arial"/>
        </w:rPr>
        <w:t xml:space="preserve">mimo jiné </w:t>
      </w:r>
      <w:r w:rsidRPr="00EC49E0">
        <w:rPr>
          <w:rFonts w:ascii="Arial" w:hAnsi="Arial" w:cs="Arial"/>
        </w:rPr>
        <w:t>stanovi</w:t>
      </w:r>
      <w:r w:rsidR="00912811">
        <w:rPr>
          <w:rFonts w:ascii="Arial" w:hAnsi="Arial" w:cs="Arial"/>
        </w:rPr>
        <w:t>t postup při zajištění správy a </w:t>
      </w:r>
      <w:r w:rsidRPr="00EC49E0">
        <w:rPr>
          <w:rFonts w:ascii="Arial" w:hAnsi="Arial" w:cs="Arial"/>
        </w:rPr>
        <w:t>vymáhání pohledávek vůči zahraničí</w:t>
      </w:r>
      <w:r w:rsidR="00BE439A">
        <w:rPr>
          <w:rFonts w:ascii="Arial" w:hAnsi="Arial" w:cs="Arial"/>
        </w:rPr>
        <w:t xml:space="preserve">. </w:t>
      </w:r>
      <w:r w:rsidR="00E16FAE">
        <w:rPr>
          <w:rFonts w:ascii="Arial" w:hAnsi="Arial" w:cs="Arial"/>
        </w:rPr>
        <w:t xml:space="preserve">Protokol o vypořádání </w:t>
      </w:r>
      <w:r w:rsidR="00186265">
        <w:rPr>
          <w:rFonts w:ascii="Arial" w:hAnsi="Arial" w:cs="Arial"/>
        </w:rPr>
        <w:t>v </w:t>
      </w:r>
      <w:r w:rsidR="00DF30D9">
        <w:rPr>
          <w:rFonts w:ascii="Arial" w:hAnsi="Arial" w:cs="Arial"/>
        </w:rPr>
        <w:t>p</w:t>
      </w:r>
      <w:r w:rsidR="00AF4629">
        <w:rPr>
          <w:rFonts w:ascii="Arial" w:hAnsi="Arial" w:cs="Arial"/>
        </w:rPr>
        <w:t>řílo</w:t>
      </w:r>
      <w:r w:rsidR="00E16FAE">
        <w:rPr>
          <w:rFonts w:ascii="Arial" w:hAnsi="Arial" w:cs="Arial"/>
        </w:rPr>
        <w:t>ze</w:t>
      </w:r>
      <w:r w:rsidR="00AB7511">
        <w:rPr>
          <w:rFonts w:ascii="Arial" w:hAnsi="Arial" w:cs="Arial"/>
        </w:rPr>
        <w:t xml:space="preserve"> č. 1 obsahuje p</w:t>
      </w:r>
      <w:r w:rsidR="00AF4629">
        <w:rPr>
          <w:rFonts w:ascii="Arial" w:hAnsi="Arial" w:cs="Arial"/>
        </w:rPr>
        <w:t xml:space="preserve">řehled </w:t>
      </w:r>
      <w:r w:rsidRPr="00EC49E0">
        <w:rPr>
          <w:rFonts w:ascii="Arial" w:hAnsi="Arial" w:cs="Arial"/>
        </w:rPr>
        <w:t>stavů pohledávek civilního charakteru</w:t>
      </w:r>
      <w:r w:rsidR="00E16FAE">
        <w:rPr>
          <w:rFonts w:ascii="Arial" w:hAnsi="Arial" w:cs="Arial"/>
        </w:rPr>
        <w:t xml:space="preserve"> k 31. </w:t>
      </w:r>
      <w:r w:rsidR="00912811">
        <w:rPr>
          <w:rFonts w:ascii="Arial" w:hAnsi="Arial" w:cs="Arial"/>
        </w:rPr>
        <w:t>prosinci</w:t>
      </w:r>
      <w:r w:rsidR="00E16FAE">
        <w:rPr>
          <w:rFonts w:ascii="Arial" w:hAnsi="Arial" w:cs="Arial"/>
        </w:rPr>
        <w:t xml:space="preserve"> 1998</w:t>
      </w:r>
      <w:r w:rsidR="00AB7511">
        <w:rPr>
          <w:rFonts w:ascii="Arial" w:hAnsi="Arial" w:cs="Arial"/>
        </w:rPr>
        <w:t xml:space="preserve">. </w:t>
      </w:r>
      <w:r w:rsidRPr="00EC49E0">
        <w:rPr>
          <w:rFonts w:ascii="Arial" w:hAnsi="Arial" w:cs="Arial"/>
        </w:rPr>
        <w:t xml:space="preserve"> </w:t>
      </w:r>
    </w:p>
    <w:p w:rsidR="000776A2" w:rsidRPr="00EC49E0" w:rsidRDefault="000776A2" w:rsidP="003B3B64">
      <w:pPr>
        <w:spacing w:after="0" w:line="240" w:lineRule="auto"/>
        <w:jc w:val="both"/>
        <w:rPr>
          <w:rFonts w:ascii="Arial" w:hAnsi="Arial" w:cs="Arial"/>
        </w:rPr>
      </w:pPr>
    </w:p>
    <w:p w:rsidR="000776A2" w:rsidRPr="00EC49E0" w:rsidRDefault="000776A2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0C7BDC">
      <w:pPr>
        <w:tabs>
          <w:tab w:val="right" w:pos="9072"/>
        </w:tabs>
        <w:spacing w:after="40" w:line="240" w:lineRule="auto"/>
        <w:ind w:left="1503" w:hanging="1503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  <w:b/>
        </w:rPr>
        <w:t>Tabulka č. 1 –</w:t>
      </w:r>
      <w:r w:rsidR="00BE2BA3">
        <w:rPr>
          <w:rFonts w:ascii="Arial" w:hAnsi="Arial" w:cs="Arial"/>
          <w:b/>
        </w:rPr>
        <w:tab/>
      </w:r>
      <w:r w:rsidRPr="00EC49E0">
        <w:rPr>
          <w:rFonts w:ascii="Arial" w:hAnsi="Arial" w:cs="Arial"/>
          <w:b/>
        </w:rPr>
        <w:t>Celkový stav zahraničních pohledávek civilního charakteru vedených na účtech ČSOB k 31. 12. 1998</w:t>
      </w:r>
      <w:r w:rsidR="007C5C6F">
        <w:rPr>
          <w:rFonts w:ascii="Arial" w:hAnsi="Arial" w:cs="Arial"/>
          <w:b/>
        </w:rPr>
        <w:t xml:space="preserve"> </w:t>
      </w:r>
      <w:r w:rsidR="00DF30D9">
        <w:rPr>
          <w:rFonts w:ascii="Arial" w:hAnsi="Arial" w:cs="Arial"/>
          <w:b/>
        </w:rPr>
        <w:tab/>
      </w:r>
      <w:r w:rsidR="002804FD">
        <w:rPr>
          <w:rFonts w:ascii="Arial" w:hAnsi="Arial" w:cs="Arial"/>
          <w:b/>
        </w:rPr>
        <w:t>(</w:t>
      </w:r>
      <w:r w:rsidR="00186265">
        <w:rPr>
          <w:rFonts w:ascii="Arial" w:hAnsi="Arial" w:cs="Arial"/>
          <w:b/>
        </w:rPr>
        <w:t>v </w:t>
      </w:r>
      <w:r w:rsidR="002804FD">
        <w:rPr>
          <w:rFonts w:ascii="Arial" w:hAnsi="Arial" w:cs="Arial"/>
          <w:b/>
        </w:rPr>
        <w:t>Kč)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39"/>
      </w:tblGrid>
      <w:tr w:rsidR="003B3B64" w:rsidRPr="00EC49E0" w:rsidTr="007C2EA0">
        <w:trPr>
          <w:trHeight w:val="283"/>
        </w:trPr>
        <w:tc>
          <w:tcPr>
            <w:tcW w:w="6663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Vládní úvěry v konvertibilních měnách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B64" w:rsidRPr="00E86BF7" w:rsidRDefault="003B3B64" w:rsidP="002804F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14 907 655 642,62</w:t>
            </w:r>
          </w:p>
        </w:tc>
      </w:tr>
      <w:tr w:rsidR="003B3B64" w:rsidRPr="00EC49E0" w:rsidTr="007C2EA0">
        <w:trPr>
          <w:trHeight w:val="283"/>
        </w:trPr>
        <w:tc>
          <w:tcPr>
            <w:tcW w:w="6663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Vládní úvěry v nekonvertibilních měnách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B64" w:rsidRPr="00E86BF7" w:rsidRDefault="003B3B64" w:rsidP="002804F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56 345 870 028,34 </w:t>
            </w:r>
          </w:p>
        </w:tc>
      </w:tr>
      <w:tr w:rsidR="003B3B64" w:rsidRPr="00EC49E0" w:rsidTr="007C2EA0">
        <w:trPr>
          <w:trHeight w:val="283"/>
        </w:trPr>
        <w:tc>
          <w:tcPr>
            <w:tcW w:w="6663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Pohledávky převzaté od ČSOB (snížené o související závazky</w:t>
            </w:r>
            <w:r w:rsidR="00E16FAE">
              <w:rPr>
                <w:rFonts w:ascii="Arial" w:hAnsi="Arial" w:cs="Arial"/>
                <w:sz w:val="18"/>
                <w:szCs w:val="18"/>
              </w:rPr>
              <w:t xml:space="preserve"> České republiky</w:t>
            </w:r>
            <w:r w:rsidRPr="00E86B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B64" w:rsidRPr="00E86BF7" w:rsidRDefault="003B3B64" w:rsidP="002804F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50 267 252 534,69 </w:t>
            </w:r>
          </w:p>
        </w:tc>
      </w:tr>
      <w:tr w:rsidR="003B3B64" w:rsidRPr="00EC49E0" w:rsidTr="007C2EA0">
        <w:trPr>
          <w:trHeight w:val="283"/>
        </w:trPr>
        <w:tc>
          <w:tcPr>
            <w:tcW w:w="6663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Aktiva centrálního devizového zdroje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B64" w:rsidRPr="00E86BF7" w:rsidRDefault="003B3B64" w:rsidP="002804F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663 232 924,97 </w:t>
            </w:r>
          </w:p>
        </w:tc>
      </w:tr>
      <w:tr w:rsidR="003B3B64" w:rsidRPr="00EC49E0" w:rsidTr="007C2EA0">
        <w:trPr>
          <w:trHeight w:val="283"/>
        </w:trPr>
        <w:tc>
          <w:tcPr>
            <w:tcW w:w="6663" w:type="dxa"/>
            <w:shd w:val="clear" w:color="auto" w:fill="auto"/>
            <w:vAlign w:val="center"/>
          </w:tcPr>
          <w:p w:rsidR="003B3B64" w:rsidRPr="00E86BF7" w:rsidRDefault="000776A2" w:rsidP="000776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B64" w:rsidRPr="00E86BF7" w:rsidRDefault="003B3B64" w:rsidP="002804F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122 184 011 130,62 </w:t>
            </w:r>
          </w:p>
        </w:tc>
      </w:tr>
    </w:tbl>
    <w:p w:rsidR="003B3B64" w:rsidRPr="00EC49E0" w:rsidRDefault="003B3B64" w:rsidP="003B3B64">
      <w:pPr>
        <w:tabs>
          <w:tab w:val="left" w:pos="5312"/>
        </w:tabs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  <w:b/>
          <w:sz w:val="18"/>
          <w:szCs w:val="18"/>
        </w:rPr>
        <w:t>Zdroj:</w:t>
      </w:r>
      <w:r w:rsidRPr="00EC49E0">
        <w:rPr>
          <w:rFonts w:ascii="Arial" w:hAnsi="Arial" w:cs="Arial"/>
          <w:sz w:val="18"/>
          <w:szCs w:val="18"/>
        </w:rPr>
        <w:t xml:space="preserve"> </w:t>
      </w:r>
      <w:r w:rsidR="00DF30D9">
        <w:rPr>
          <w:rFonts w:ascii="Arial" w:hAnsi="Arial" w:cs="Arial"/>
          <w:sz w:val="18"/>
          <w:szCs w:val="18"/>
        </w:rPr>
        <w:t>p</w:t>
      </w:r>
      <w:r w:rsidRPr="00EC49E0">
        <w:rPr>
          <w:rFonts w:ascii="Arial" w:hAnsi="Arial" w:cs="Arial"/>
          <w:sz w:val="18"/>
          <w:szCs w:val="18"/>
        </w:rPr>
        <w:t>říloha č. 1 protokolu o vypořádání</w:t>
      </w:r>
      <w:r w:rsidR="00912811">
        <w:rPr>
          <w:rFonts w:ascii="Arial" w:hAnsi="Arial" w:cs="Arial"/>
          <w:sz w:val="18"/>
          <w:szCs w:val="18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C49E0">
        <w:rPr>
          <w:rFonts w:ascii="Arial" w:hAnsi="Arial" w:cs="Arial"/>
          <w:sz w:val="22"/>
          <w:szCs w:val="22"/>
        </w:rPr>
        <w:t xml:space="preserve">Největší část zahraničních pohledávek civilního charakteru z hlediska teritoriálního </w:t>
      </w:r>
      <w:r w:rsidR="00BE439A" w:rsidRPr="00EC49E0">
        <w:rPr>
          <w:rFonts w:ascii="Arial" w:hAnsi="Arial" w:cs="Arial"/>
          <w:sz w:val="22"/>
          <w:szCs w:val="22"/>
        </w:rPr>
        <w:t xml:space="preserve">tvořily </w:t>
      </w:r>
      <w:r w:rsidRPr="00EC49E0">
        <w:rPr>
          <w:rFonts w:ascii="Arial" w:hAnsi="Arial" w:cs="Arial"/>
          <w:sz w:val="22"/>
          <w:szCs w:val="22"/>
        </w:rPr>
        <w:t>k 31.</w:t>
      </w:r>
      <w:r w:rsidR="00AB7511">
        <w:rPr>
          <w:rFonts w:ascii="Arial" w:hAnsi="Arial" w:cs="Arial"/>
          <w:sz w:val="22"/>
          <w:szCs w:val="22"/>
        </w:rPr>
        <w:t> </w:t>
      </w:r>
      <w:r w:rsidR="00912811">
        <w:rPr>
          <w:rFonts w:ascii="Arial" w:hAnsi="Arial" w:cs="Arial"/>
          <w:sz w:val="22"/>
          <w:szCs w:val="22"/>
        </w:rPr>
        <w:t>prosinci</w:t>
      </w:r>
      <w:r w:rsidR="00AB7511">
        <w:rPr>
          <w:rFonts w:ascii="Arial" w:hAnsi="Arial" w:cs="Arial"/>
          <w:sz w:val="22"/>
          <w:szCs w:val="22"/>
        </w:rPr>
        <w:t> </w:t>
      </w:r>
      <w:r w:rsidRPr="00EC49E0">
        <w:rPr>
          <w:rFonts w:ascii="Arial" w:hAnsi="Arial" w:cs="Arial"/>
          <w:sz w:val="22"/>
          <w:szCs w:val="22"/>
        </w:rPr>
        <w:t>1998 pohledávky označené v </w:t>
      </w:r>
      <w:r w:rsidR="00AB7511">
        <w:rPr>
          <w:rFonts w:ascii="Arial" w:hAnsi="Arial" w:cs="Arial"/>
          <w:sz w:val="22"/>
          <w:szCs w:val="22"/>
        </w:rPr>
        <w:t xml:space="preserve">protokolu </w:t>
      </w:r>
      <w:r w:rsidRPr="00EC49E0">
        <w:rPr>
          <w:rFonts w:ascii="Arial" w:hAnsi="Arial" w:cs="Arial"/>
          <w:sz w:val="22"/>
          <w:szCs w:val="22"/>
        </w:rPr>
        <w:t>o vypořádání jako „SNS“</w:t>
      </w:r>
      <w:r w:rsidR="00E16FAE">
        <w:rPr>
          <w:rFonts w:ascii="Arial" w:hAnsi="Arial" w:cs="Arial"/>
          <w:sz w:val="22"/>
          <w:szCs w:val="22"/>
        </w:rPr>
        <w:t xml:space="preserve"> (Společenství nezávislých států)</w:t>
      </w:r>
      <w:r w:rsidR="00BE439A">
        <w:rPr>
          <w:rFonts w:ascii="Arial" w:hAnsi="Arial" w:cs="Arial"/>
          <w:sz w:val="22"/>
          <w:szCs w:val="22"/>
        </w:rPr>
        <w:t xml:space="preserve"> a „Rusko“</w:t>
      </w:r>
      <w:r w:rsidR="00DF30D9">
        <w:rPr>
          <w:rFonts w:ascii="Arial" w:hAnsi="Arial" w:cs="Arial"/>
          <w:sz w:val="22"/>
          <w:szCs w:val="22"/>
        </w:rPr>
        <w:t>;</w:t>
      </w:r>
      <w:r w:rsidR="00BE439A">
        <w:rPr>
          <w:rFonts w:ascii="Arial" w:hAnsi="Arial" w:cs="Arial"/>
          <w:sz w:val="22"/>
          <w:szCs w:val="22"/>
        </w:rPr>
        <w:t xml:space="preserve"> </w:t>
      </w:r>
      <w:r w:rsidR="00AB7511" w:rsidRPr="00EC49E0">
        <w:rPr>
          <w:rFonts w:ascii="Arial" w:hAnsi="Arial" w:cs="Arial"/>
          <w:sz w:val="22"/>
          <w:szCs w:val="22"/>
        </w:rPr>
        <w:t>po odečtení souvisejících závazků</w:t>
      </w:r>
      <w:r w:rsidR="00BE439A">
        <w:rPr>
          <w:rFonts w:ascii="Arial" w:hAnsi="Arial" w:cs="Arial"/>
          <w:sz w:val="22"/>
          <w:szCs w:val="22"/>
        </w:rPr>
        <w:t xml:space="preserve"> </w:t>
      </w:r>
      <w:r w:rsidR="0012784A">
        <w:rPr>
          <w:rFonts w:ascii="Arial" w:hAnsi="Arial" w:cs="Arial"/>
          <w:sz w:val="22"/>
          <w:szCs w:val="22"/>
        </w:rPr>
        <w:t xml:space="preserve">činily tyto pohledávky </w:t>
      </w:r>
      <w:r w:rsidR="00BE439A">
        <w:rPr>
          <w:rFonts w:ascii="Arial" w:hAnsi="Arial" w:cs="Arial"/>
          <w:sz w:val="22"/>
          <w:szCs w:val="22"/>
        </w:rPr>
        <w:t xml:space="preserve">k uvedenému datu </w:t>
      </w:r>
      <w:r w:rsidRPr="00EC49E0">
        <w:rPr>
          <w:rFonts w:ascii="Arial" w:hAnsi="Arial" w:cs="Arial"/>
          <w:sz w:val="22"/>
          <w:szCs w:val="22"/>
        </w:rPr>
        <w:t xml:space="preserve">celkem </w:t>
      </w:r>
      <w:r w:rsidR="00AB7511" w:rsidRPr="00EC49E0">
        <w:rPr>
          <w:rFonts w:ascii="Arial" w:hAnsi="Arial" w:cs="Arial"/>
          <w:sz w:val="22"/>
          <w:szCs w:val="22"/>
        </w:rPr>
        <w:t>102 544 146 832,07 Kč</w:t>
      </w:r>
      <w:r w:rsidR="00AB7511">
        <w:rPr>
          <w:rFonts w:ascii="Arial" w:hAnsi="Arial" w:cs="Arial"/>
          <w:sz w:val="22"/>
          <w:szCs w:val="22"/>
        </w:rPr>
        <w:t>.</w:t>
      </w:r>
    </w:p>
    <w:p w:rsidR="003B3B64" w:rsidRPr="00EC49E0" w:rsidRDefault="003B3B64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B3B64" w:rsidRPr="00EC49E0" w:rsidRDefault="00BE439A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3B64" w:rsidRPr="00EC49E0">
        <w:rPr>
          <w:rFonts w:ascii="Arial" w:hAnsi="Arial" w:cs="Arial"/>
          <w:sz w:val="22"/>
          <w:szCs w:val="22"/>
        </w:rPr>
        <w:t xml:space="preserve">řehled zahraničních pohledávek </w:t>
      </w:r>
      <w:r w:rsidR="0012784A" w:rsidRPr="00EC49E0">
        <w:rPr>
          <w:rFonts w:ascii="Arial" w:hAnsi="Arial" w:cs="Arial"/>
          <w:sz w:val="22"/>
          <w:szCs w:val="22"/>
        </w:rPr>
        <w:t xml:space="preserve">zveřejňuje </w:t>
      </w:r>
      <w:r w:rsidRPr="00EC49E0">
        <w:rPr>
          <w:rFonts w:ascii="Arial" w:hAnsi="Arial" w:cs="Arial"/>
          <w:sz w:val="22"/>
          <w:szCs w:val="22"/>
        </w:rPr>
        <w:t xml:space="preserve">MF </w:t>
      </w:r>
      <w:r w:rsidR="003B3B64" w:rsidRPr="00EC49E0">
        <w:rPr>
          <w:rFonts w:ascii="Arial" w:hAnsi="Arial" w:cs="Arial"/>
          <w:sz w:val="22"/>
          <w:szCs w:val="22"/>
        </w:rPr>
        <w:t>každ</w:t>
      </w:r>
      <w:r>
        <w:rPr>
          <w:rFonts w:ascii="Arial" w:hAnsi="Arial" w:cs="Arial"/>
          <w:sz w:val="22"/>
          <w:szCs w:val="22"/>
        </w:rPr>
        <w:t>oročně</w:t>
      </w:r>
      <w:r w:rsidR="003B3B64" w:rsidRPr="00EC49E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</w:t>
      </w:r>
      <w:r w:rsidR="003B3B64" w:rsidRPr="00EC49E0">
        <w:rPr>
          <w:rFonts w:ascii="Arial" w:hAnsi="Arial" w:cs="Arial"/>
          <w:sz w:val="22"/>
          <w:szCs w:val="22"/>
        </w:rPr>
        <w:t xml:space="preserve"> státní</w:t>
      </w:r>
      <w:r>
        <w:rPr>
          <w:rFonts w:ascii="Arial" w:hAnsi="Arial" w:cs="Arial"/>
          <w:sz w:val="22"/>
          <w:szCs w:val="22"/>
        </w:rPr>
        <w:t>m</w:t>
      </w:r>
      <w:r w:rsidR="003B3B64" w:rsidRPr="00EC49E0">
        <w:rPr>
          <w:rFonts w:ascii="Arial" w:hAnsi="Arial" w:cs="Arial"/>
          <w:sz w:val="22"/>
          <w:szCs w:val="22"/>
        </w:rPr>
        <w:t xml:space="preserve"> závěrečné</w:t>
      </w:r>
      <w:r>
        <w:rPr>
          <w:rFonts w:ascii="Arial" w:hAnsi="Arial" w:cs="Arial"/>
          <w:sz w:val="22"/>
          <w:szCs w:val="22"/>
        </w:rPr>
        <w:t>m</w:t>
      </w:r>
      <w:r w:rsidR="003B3B64" w:rsidRPr="00EC49E0">
        <w:rPr>
          <w:rFonts w:ascii="Arial" w:hAnsi="Arial" w:cs="Arial"/>
          <w:sz w:val="22"/>
          <w:szCs w:val="22"/>
        </w:rPr>
        <w:t xml:space="preserve"> účtu</w:t>
      </w:r>
      <w:r>
        <w:rPr>
          <w:rFonts w:ascii="Arial" w:hAnsi="Arial" w:cs="Arial"/>
          <w:sz w:val="22"/>
          <w:szCs w:val="22"/>
        </w:rPr>
        <w:t xml:space="preserve"> (dále také „SZÚ</w:t>
      </w:r>
      <w:r w:rsidR="0012784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C34349" w:rsidRPr="00EC49E0">
        <w:rPr>
          <w:rFonts w:ascii="Arial" w:hAnsi="Arial" w:cs="Arial"/>
          <w:sz w:val="22"/>
          <w:szCs w:val="22"/>
        </w:rPr>
        <w:t>. K</w:t>
      </w:r>
      <w:r w:rsidR="00604C7B" w:rsidRPr="00EC49E0">
        <w:rPr>
          <w:rFonts w:ascii="Arial" w:hAnsi="Arial" w:cs="Arial"/>
          <w:sz w:val="22"/>
          <w:szCs w:val="22"/>
        </w:rPr>
        <w:t xml:space="preserve"> 31. </w:t>
      </w:r>
      <w:r w:rsidR="00912811">
        <w:rPr>
          <w:rFonts w:ascii="Arial" w:hAnsi="Arial" w:cs="Arial"/>
          <w:sz w:val="22"/>
          <w:szCs w:val="22"/>
        </w:rPr>
        <w:t>prosinci</w:t>
      </w:r>
      <w:r w:rsidR="00604C7B" w:rsidRPr="00EC49E0">
        <w:rPr>
          <w:rFonts w:ascii="Arial" w:hAnsi="Arial" w:cs="Arial"/>
          <w:sz w:val="22"/>
          <w:szCs w:val="22"/>
        </w:rPr>
        <w:t xml:space="preserve"> 2012</w:t>
      </w:r>
      <w:r w:rsidR="003B3B64" w:rsidRPr="00EC49E0">
        <w:rPr>
          <w:rFonts w:ascii="Arial" w:hAnsi="Arial" w:cs="Arial"/>
          <w:sz w:val="22"/>
          <w:szCs w:val="22"/>
        </w:rPr>
        <w:t xml:space="preserve"> </w:t>
      </w:r>
      <w:r w:rsidR="00D141CA" w:rsidRPr="00EC49E0">
        <w:rPr>
          <w:rFonts w:ascii="Arial" w:hAnsi="Arial" w:cs="Arial"/>
          <w:sz w:val="22"/>
          <w:szCs w:val="22"/>
        </w:rPr>
        <w:t xml:space="preserve">evidovalo </w:t>
      </w:r>
      <w:r w:rsidR="003B3B64" w:rsidRPr="00EC49E0">
        <w:rPr>
          <w:rFonts w:ascii="Arial" w:hAnsi="Arial" w:cs="Arial"/>
          <w:sz w:val="22"/>
          <w:szCs w:val="22"/>
        </w:rPr>
        <w:t>ve státních finančních aktivech zahraniční pohledávky</w:t>
      </w:r>
      <w:r w:rsidR="00D141CA" w:rsidRPr="00EC49E0">
        <w:rPr>
          <w:rFonts w:ascii="Arial" w:hAnsi="Arial" w:cs="Arial"/>
          <w:sz w:val="22"/>
          <w:szCs w:val="22"/>
        </w:rPr>
        <w:t xml:space="preserve"> (civilního i speciálního charakteru)</w:t>
      </w:r>
      <w:r w:rsidR="003B3B64" w:rsidRPr="00EC49E0">
        <w:rPr>
          <w:rFonts w:ascii="Arial" w:hAnsi="Arial" w:cs="Arial"/>
          <w:sz w:val="22"/>
          <w:szCs w:val="22"/>
        </w:rPr>
        <w:t xml:space="preserve"> v hodnotě 22,031 mld. Kč.</w:t>
      </w:r>
    </w:p>
    <w:p w:rsidR="00744F0C" w:rsidRPr="00EC49E0" w:rsidRDefault="00744F0C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B3B64" w:rsidRPr="00BE439A" w:rsidRDefault="000776A2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E439A">
        <w:rPr>
          <w:rFonts w:ascii="Arial" w:hAnsi="Arial" w:cs="Arial"/>
          <w:sz w:val="22"/>
          <w:szCs w:val="22"/>
        </w:rPr>
        <w:t>Kontrolován byl postup</w:t>
      </w:r>
      <w:r w:rsidR="0059139B" w:rsidRPr="00BE439A">
        <w:rPr>
          <w:rFonts w:ascii="Arial" w:hAnsi="Arial" w:cs="Arial"/>
          <w:sz w:val="22"/>
          <w:szCs w:val="22"/>
        </w:rPr>
        <w:t xml:space="preserve"> MF</w:t>
      </w:r>
      <w:r w:rsidRPr="00BE439A">
        <w:rPr>
          <w:rFonts w:ascii="Arial" w:hAnsi="Arial" w:cs="Arial"/>
          <w:sz w:val="22"/>
          <w:szCs w:val="22"/>
        </w:rPr>
        <w:t xml:space="preserve"> při správě</w:t>
      </w:r>
      <w:r w:rsidR="0020248E" w:rsidRPr="00BE439A">
        <w:rPr>
          <w:rFonts w:ascii="Arial" w:hAnsi="Arial" w:cs="Arial"/>
          <w:sz w:val="22"/>
          <w:szCs w:val="22"/>
        </w:rPr>
        <w:t xml:space="preserve"> a </w:t>
      </w:r>
      <w:r w:rsidR="00044773" w:rsidRPr="00BE439A">
        <w:rPr>
          <w:rFonts w:ascii="Arial" w:hAnsi="Arial" w:cs="Arial"/>
          <w:sz w:val="22"/>
          <w:szCs w:val="22"/>
        </w:rPr>
        <w:t>zajišťování návratnosti zahraničních p</w:t>
      </w:r>
      <w:r w:rsidRPr="00BE439A">
        <w:rPr>
          <w:rFonts w:ascii="Arial" w:hAnsi="Arial" w:cs="Arial"/>
          <w:sz w:val="22"/>
          <w:szCs w:val="22"/>
        </w:rPr>
        <w:t>ohledávek civilního charakteru</w:t>
      </w:r>
      <w:r w:rsidR="00B84A16">
        <w:rPr>
          <w:rFonts w:ascii="Arial" w:hAnsi="Arial" w:cs="Arial"/>
          <w:sz w:val="22"/>
          <w:szCs w:val="22"/>
        </w:rPr>
        <w:t xml:space="preserve">; </w:t>
      </w:r>
      <w:r w:rsidR="00BE439A" w:rsidRPr="00BE439A">
        <w:rPr>
          <w:rFonts w:ascii="Arial" w:hAnsi="Arial" w:cs="Arial"/>
          <w:sz w:val="22"/>
          <w:szCs w:val="22"/>
        </w:rPr>
        <w:t xml:space="preserve">pokud je dále </w:t>
      </w:r>
      <w:r w:rsidR="0012784A">
        <w:rPr>
          <w:rFonts w:ascii="Arial" w:hAnsi="Arial" w:cs="Arial"/>
          <w:sz w:val="22"/>
          <w:szCs w:val="22"/>
        </w:rPr>
        <w:t xml:space="preserve">v textu </w:t>
      </w:r>
      <w:r w:rsidR="00BE439A" w:rsidRPr="00BE439A">
        <w:rPr>
          <w:rFonts w:ascii="Arial" w:hAnsi="Arial" w:cs="Arial"/>
          <w:sz w:val="22"/>
          <w:szCs w:val="22"/>
        </w:rPr>
        <w:t>uváděn termín „zahraniční pohledávky“</w:t>
      </w:r>
      <w:r w:rsidR="0012784A">
        <w:rPr>
          <w:rFonts w:ascii="Arial" w:hAnsi="Arial" w:cs="Arial"/>
          <w:sz w:val="22"/>
          <w:szCs w:val="22"/>
        </w:rPr>
        <w:t>,</w:t>
      </w:r>
      <w:r w:rsidR="00BE439A" w:rsidRPr="00BE439A">
        <w:rPr>
          <w:rFonts w:ascii="Arial" w:hAnsi="Arial" w:cs="Arial"/>
          <w:sz w:val="22"/>
          <w:szCs w:val="22"/>
        </w:rPr>
        <w:t xml:space="preserve"> myslí se tím pouze pohledávky civilního charakteru</w:t>
      </w:r>
      <w:r w:rsidRPr="00BE439A">
        <w:rPr>
          <w:rFonts w:ascii="Arial" w:hAnsi="Arial" w:cs="Arial"/>
          <w:sz w:val="22"/>
          <w:szCs w:val="22"/>
        </w:rPr>
        <w:t>.</w:t>
      </w:r>
    </w:p>
    <w:p w:rsidR="000776A2" w:rsidRPr="00BE439A" w:rsidRDefault="000776A2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E2BA3" w:rsidRDefault="00BE2BA3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7511" w:rsidRDefault="00AB7511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7511" w:rsidRDefault="00AB7511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D308D" w:rsidRDefault="00DD308D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804FD" w:rsidRDefault="002804FD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804FD" w:rsidRPr="00EC49E0" w:rsidRDefault="002804FD" w:rsidP="003B3B64">
      <w:pPr>
        <w:pStyle w:val="Zkladntext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12811" w:rsidRDefault="00912811" w:rsidP="003B3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B64" w:rsidRPr="00563926" w:rsidRDefault="003B3B64" w:rsidP="003B3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3926">
        <w:rPr>
          <w:rFonts w:ascii="Arial" w:hAnsi="Arial" w:cs="Arial"/>
          <w:b/>
          <w:bCs/>
          <w:sz w:val="24"/>
          <w:szCs w:val="24"/>
        </w:rPr>
        <w:t xml:space="preserve">II. Skutečnosti zjištěné </w:t>
      </w:r>
      <w:r w:rsidR="0012784A">
        <w:rPr>
          <w:rFonts w:ascii="Arial" w:hAnsi="Arial" w:cs="Arial"/>
          <w:b/>
          <w:bCs/>
          <w:sz w:val="24"/>
          <w:szCs w:val="24"/>
        </w:rPr>
        <w:t xml:space="preserve">při </w:t>
      </w:r>
      <w:r w:rsidRPr="00563926">
        <w:rPr>
          <w:rFonts w:ascii="Arial" w:hAnsi="Arial" w:cs="Arial"/>
          <w:b/>
          <w:bCs/>
          <w:sz w:val="24"/>
          <w:szCs w:val="24"/>
        </w:rPr>
        <w:t>kontrol</w:t>
      </w:r>
      <w:r w:rsidR="0012784A">
        <w:rPr>
          <w:rFonts w:ascii="Arial" w:hAnsi="Arial" w:cs="Arial"/>
          <w:b/>
          <w:bCs/>
          <w:sz w:val="24"/>
          <w:szCs w:val="24"/>
        </w:rPr>
        <w:t>e</w:t>
      </w:r>
    </w:p>
    <w:p w:rsidR="00BE2BA3" w:rsidRPr="00563926" w:rsidRDefault="00BE2BA3" w:rsidP="003B3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B64" w:rsidRPr="00563926" w:rsidRDefault="003B3B64" w:rsidP="00D53C6D">
      <w:pPr>
        <w:spacing w:after="0" w:line="240" w:lineRule="auto"/>
        <w:jc w:val="both"/>
        <w:rPr>
          <w:rFonts w:ascii="Arial" w:hAnsi="Arial" w:cs="Arial"/>
          <w:b/>
        </w:rPr>
      </w:pPr>
      <w:r w:rsidRPr="00563926">
        <w:rPr>
          <w:rFonts w:ascii="Arial" w:hAnsi="Arial" w:cs="Arial"/>
          <w:b/>
        </w:rPr>
        <w:t>1. Postup MF při správě a zajišťování návratnosti zahraničních pohledávek ČR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  <w:b/>
        </w:rPr>
      </w:pPr>
    </w:p>
    <w:p w:rsidR="003B3B64" w:rsidRPr="00EC49E0" w:rsidRDefault="00744F0C" w:rsidP="00817BAC">
      <w:pPr>
        <w:spacing w:after="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</w:rPr>
        <w:t>V</w:t>
      </w:r>
      <w:r w:rsidR="00F40E34" w:rsidRPr="00EC49E0">
        <w:rPr>
          <w:rFonts w:ascii="Arial" w:hAnsi="Arial" w:cs="Arial"/>
        </w:rPr>
        <w:t xml:space="preserve"> roce 2006 </w:t>
      </w:r>
      <w:r w:rsidRPr="00EC49E0">
        <w:rPr>
          <w:rFonts w:ascii="Arial" w:hAnsi="Arial" w:cs="Arial"/>
        </w:rPr>
        <w:t xml:space="preserve">MF zadalo </w:t>
      </w:r>
      <w:r w:rsidR="00F40E34" w:rsidRPr="00EC49E0">
        <w:rPr>
          <w:rFonts w:ascii="Arial" w:hAnsi="Arial" w:cs="Arial"/>
        </w:rPr>
        <w:t>provedení</w:t>
      </w:r>
      <w:r w:rsidR="003B3B64" w:rsidRPr="00EC49E0">
        <w:rPr>
          <w:rFonts w:ascii="Arial" w:hAnsi="Arial" w:cs="Arial"/>
        </w:rPr>
        <w:t xml:space="preserve"> externí</w:t>
      </w:r>
      <w:r w:rsidR="00F40E34" w:rsidRPr="00EC49E0">
        <w:rPr>
          <w:rFonts w:ascii="Arial" w:hAnsi="Arial" w:cs="Arial"/>
        </w:rPr>
        <w:t>ho</w:t>
      </w:r>
      <w:r w:rsidR="003B3B64" w:rsidRPr="00EC49E0">
        <w:rPr>
          <w:rFonts w:ascii="Arial" w:hAnsi="Arial" w:cs="Arial"/>
        </w:rPr>
        <w:t xml:space="preserve"> audit</w:t>
      </w:r>
      <w:r w:rsidR="00F40E34" w:rsidRPr="00EC49E0">
        <w:rPr>
          <w:rFonts w:ascii="Arial" w:hAnsi="Arial" w:cs="Arial"/>
        </w:rPr>
        <w:t>u</w:t>
      </w:r>
      <w:r w:rsidR="003B3B64" w:rsidRPr="00EC49E0">
        <w:rPr>
          <w:rFonts w:ascii="Arial" w:hAnsi="Arial" w:cs="Arial"/>
        </w:rPr>
        <w:t xml:space="preserve"> správy a likvidace zahraničních pohledávek České republiky. Výsledkem tohoto auditu byla jednak zpráva o stavu zahraničních pohledávek</w:t>
      </w:r>
      <w:r w:rsidR="00F40E34" w:rsidRPr="00EC49E0">
        <w:rPr>
          <w:rFonts w:ascii="Arial" w:hAnsi="Arial" w:cs="Arial"/>
        </w:rPr>
        <w:t xml:space="preserve"> a dále </w:t>
      </w:r>
      <w:r w:rsidR="003B3B64" w:rsidRPr="00EC49E0">
        <w:rPr>
          <w:rFonts w:ascii="Arial" w:hAnsi="Arial" w:cs="Arial"/>
        </w:rPr>
        <w:t>návrh vhodného mechanismu správy zahraničních pohledávek ČR</w:t>
      </w:r>
      <w:r w:rsidR="002B04D9">
        <w:rPr>
          <w:rFonts w:ascii="Arial" w:hAnsi="Arial" w:cs="Arial"/>
        </w:rPr>
        <w:t>. V návaznosti na provedený audit byly přijaty</w:t>
      </w:r>
      <w:r w:rsidR="00AB7511">
        <w:rPr>
          <w:rFonts w:ascii="Arial" w:hAnsi="Arial" w:cs="Arial"/>
        </w:rPr>
        <w:t xml:space="preserve"> </w:t>
      </w:r>
      <w:r w:rsidR="00817BAC" w:rsidRPr="00EC49E0">
        <w:rPr>
          <w:rFonts w:ascii="Arial" w:hAnsi="Arial" w:cs="Arial"/>
          <w:i/>
        </w:rPr>
        <w:t xml:space="preserve">Zásady správy a zajišťování návratnosti zahraničních pohledávek ČR </w:t>
      </w:r>
      <w:r w:rsidR="00817BAC" w:rsidRPr="00EC49E0">
        <w:rPr>
          <w:rFonts w:ascii="Arial" w:hAnsi="Arial" w:cs="Arial"/>
        </w:rPr>
        <w:t xml:space="preserve">(dále </w:t>
      </w:r>
      <w:r w:rsidR="0012784A">
        <w:rPr>
          <w:rFonts w:ascii="Arial" w:hAnsi="Arial" w:cs="Arial"/>
        </w:rPr>
        <w:t>jen</w:t>
      </w:r>
      <w:r w:rsidR="00817BAC" w:rsidRPr="00EC49E0">
        <w:rPr>
          <w:rFonts w:ascii="Arial" w:hAnsi="Arial" w:cs="Arial"/>
        </w:rPr>
        <w:t xml:space="preserve"> „Zásady“), </w:t>
      </w:r>
      <w:r w:rsidR="002B04D9">
        <w:rPr>
          <w:rFonts w:ascii="Arial" w:hAnsi="Arial" w:cs="Arial"/>
        </w:rPr>
        <w:t xml:space="preserve">které </w:t>
      </w:r>
      <w:r w:rsidR="003B3B64" w:rsidRPr="00EC49E0">
        <w:rPr>
          <w:rFonts w:ascii="Arial" w:hAnsi="Arial" w:cs="Arial"/>
        </w:rPr>
        <w:t>vláda ČR</w:t>
      </w:r>
      <w:r w:rsidR="002B04D9">
        <w:rPr>
          <w:rFonts w:ascii="Arial" w:hAnsi="Arial" w:cs="Arial"/>
        </w:rPr>
        <w:t xml:space="preserve"> schválila</w:t>
      </w:r>
      <w:r w:rsidR="003B3B64" w:rsidRPr="00EC49E0">
        <w:rPr>
          <w:rFonts w:ascii="Arial" w:hAnsi="Arial" w:cs="Arial"/>
        </w:rPr>
        <w:t xml:space="preserve"> </w:t>
      </w:r>
      <w:r w:rsidR="00044773" w:rsidRPr="00EC49E0">
        <w:rPr>
          <w:rFonts w:ascii="Arial" w:hAnsi="Arial" w:cs="Arial"/>
        </w:rPr>
        <w:t xml:space="preserve">usnesením </w:t>
      </w:r>
      <w:r w:rsidR="00181400" w:rsidRPr="00EC49E0">
        <w:rPr>
          <w:rFonts w:ascii="Arial" w:hAnsi="Arial" w:cs="Arial"/>
        </w:rPr>
        <w:t xml:space="preserve">ze dne 3. </w:t>
      </w:r>
      <w:r w:rsidR="0060587B">
        <w:rPr>
          <w:rFonts w:ascii="Arial" w:hAnsi="Arial" w:cs="Arial"/>
        </w:rPr>
        <w:t>července</w:t>
      </w:r>
      <w:r w:rsidR="00181400" w:rsidRPr="00EC49E0">
        <w:rPr>
          <w:rFonts w:ascii="Arial" w:hAnsi="Arial" w:cs="Arial"/>
        </w:rPr>
        <w:t xml:space="preserve"> 2006 č. 832.</w:t>
      </w:r>
    </w:p>
    <w:p w:rsidR="00D53C6D" w:rsidRDefault="00D53C6D" w:rsidP="00563926">
      <w:pPr>
        <w:spacing w:after="0" w:line="240" w:lineRule="auto"/>
        <w:jc w:val="both"/>
        <w:rPr>
          <w:rFonts w:ascii="Arial" w:hAnsi="Arial" w:cs="Arial"/>
        </w:rPr>
      </w:pPr>
    </w:p>
    <w:p w:rsidR="0059139B" w:rsidRPr="00EC49E0" w:rsidRDefault="00817BAC" w:rsidP="00563926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49E0">
        <w:rPr>
          <w:rFonts w:ascii="Arial" w:hAnsi="Arial" w:cs="Arial"/>
        </w:rPr>
        <w:t xml:space="preserve">Zásady obsahovaly </w:t>
      </w:r>
      <w:r w:rsidR="00F40E34" w:rsidRPr="00EC49E0">
        <w:rPr>
          <w:rFonts w:ascii="Arial" w:hAnsi="Arial" w:cs="Arial"/>
        </w:rPr>
        <w:t xml:space="preserve">mj. </w:t>
      </w:r>
      <w:r w:rsidR="003B3B64" w:rsidRPr="00EC49E0">
        <w:rPr>
          <w:rFonts w:ascii="Arial" w:hAnsi="Arial" w:cs="Arial"/>
        </w:rPr>
        <w:t>požadavek na zajištění správy a evidence zahraničních pohledávek v</w:t>
      </w:r>
      <w:r w:rsidR="00BE2BA3">
        <w:rPr>
          <w:rFonts w:ascii="Arial" w:hAnsi="Arial" w:cs="Arial"/>
        </w:rPr>
        <w:t> </w:t>
      </w:r>
      <w:r w:rsidR="003B3B64" w:rsidRPr="00EC49E0">
        <w:rPr>
          <w:rFonts w:ascii="Arial" w:hAnsi="Arial" w:cs="Arial"/>
        </w:rPr>
        <w:t>informačn</w:t>
      </w:r>
      <w:r w:rsidR="00F40E34" w:rsidRPr="00EC49E0">
        <w:rPr>
          <w:rFonts w:ascii="Arial" w:hAnsi="Arial" w:cs="Arial"/>
        </w:rPr>
        <w:t>ím systému.</w:t>
      </w:r>
      <w:r w:rsidR="003B3B64" w:rsidRPr="00EC49E0">
        <w:rPr>
          <w:rFonts w:ascii="Arial" w:hAnsi="Arial" w:cs="Arial"/>
        </w:rPr>
        <w:t xml:space="preserve"> </w:t>
      </w:r>
      <w:r w:rsidR="003B3B64" w:rsidRPr="00EC49E0">
        <w:rPr>
          <w:rFonts w:ascii="Arial" w:eastAsia="Times New Roman" w:hAnsi="Arial" w:cs="Arial"/>
        </w:rPr>
        <w:t xml:space="preserve">MF </w:t>
      </w:r>
      <w:r w:rsidR="00F40E34" w:rsidRPr="00EC49E0">
        <w:rPr>
          <w:rFonts w:ascii="Arial" w:eastAsia="Times New Roman" w:hAnsi="Arial" w:cs="Arial"/>
        </w:rPr>
        <w:t>v roce 2006 zadalo zpracování</w:t>
      </w:r>
      <w:r w:rsidR="0003479D" w:rsidRPr="00EC49E0">
        <w:rPr>
          <w:rFonts w:ascii="Arial" w:eastAsia="Times New Roman" w:hAnsi="Arial" w:cs="Arial"/>
        </w:rPr>
        <w:t xml:space="preserve"> funkční specifikace </w:t>
      </w:r>
      <w:r w:rsidR="0059139B" w:rsidRPr="00EC49E0">
        <w:rPr>
          <w:rFonts w:ascii="Arial" w:eastAsia="Times New Roman" w:hAnsi="Arial" w:cs="Arial"/>
        </w:rPr>
        <w:t xml:space="preserve">informačního systému </w:t>
      </w:r>
      <w:r w:rsidR="0003479D" w:rsidRPr="00EC49E0">
        <w:rPr>
          <w:rFonts w:ascii="Arial" w:eastAsia="Times New Roman" w:hAnsi="Arial" w:cs="Arial"/>
        </w:rPr>
        <w:t>pro správu zahraničních pohledávek</w:t>
      </w:r>
      <w:r w:rsidR="0059139B" w:rsidRPr="00EC49E0">
        <w:rPr>
          <w:rFonts w:ascii="Arial" w:eastAsia="Times New Roman" w:hAnsi="Arial" w:cs="Arial"/>
        </w:rPr>
        <w:t xml:space="preserve">, za </w:t>
      </w:r>
      <w:r w:rsidR="00181400" w:rsidRPr="00EC49E0">
        <w:rPr>
          <w:rFonts w:ascii="Arial" w:eastAsia="Times New Roman" w:hAnsi="Arial" w:cs="Arial"/>
        </w:rPr>
        <w:t>kterou uhradilo přes 1,</w:t>
      </w:r>
      <w:r w:rsidR="0059139B" w:rsidRPr="00EC49E0">
        <w:rPr>
          <w:rFonts w:ascii="Arial" w:eastAsia="Times New Roman" w:hAnsi="Arial" w:cs="Arial"/>
        </w:rPr>
        <w:t>5 mil</w:t>
      </w:r>
      <w:r w:rsidR="003D00C7">
        <w:rPr>
          <w:rFonts w:ascii="Arial" w:eastAsia="Times New Roman" w:hAnsi="Arial" w:cs="Arial"/>
        </w:rPr>
        <w:t>.</w:t>
      </w:r>
      <w:r w:rsidR="0059139B" w:rsidRPr="00EC49E0">
        <w:rPr>
          <w:rFonts w:ascii="Arial" w:eastAsia="Times New Roman" w:hAnsi="Arial" w:cs="Arial"/>
        </w:rPr>
        <w:t xml:space="preserve"> Kč. N</w:t>
      </w:r>
      <w:r w:rsidR="00744F0C" w:rsidRPr="00EC49E0">
        <w:rPr>
          <w:rFonts w:ascii="Arial" w:eastAsia="Times New Roman" w:hAnsi="Arial" w:cs="Arial"/>
        </w:rPr>
        <w:t xml:space="preserve">ásledně </w:t>
      </w:r>
      <w:r w:rsidR="00181400" w:rsidRPr="00EC49E0">
        <w:rPr>
          <w:rFonts w:ascii="Arial" w:eastAsia="Times New Roman" w:hAnsi="Arial" w:cs="Arial"/>
        </w:rPr>
        <w:t xml:space="preserve">v roce 2007 </w:t>
      </w:r>
      <w:r w:rsidR="0059139B" w:rsidRPr="00EC49E0">
        <w:rPr>
          <w:rFonts w:ascii="Arial" w:eastAsia="Times New Roman" w:hAnsi="Arial" w:cs="Arial"/>
        </w:rPr>
        <w:t>uhradilo přes 700 tis. Kč za pořízení</w:t>
      </w:r>
      <w:r w:rsidR="0059139B" w:rsidRPr="00EC49E0">
        <w:rPr>
          <w:rFonts w:ascii="Arial" w:eastAsia="Times New Roman" w:hAnsi="Arial" w:cs="Arial"/>
          <w:color w:val="4F81BD" w:themeColor="accent1"/>
        </w:rPr>
        <w:t xml:space="preserve"> </w:t>
      </w:r>
      <w:r w:rsidR="003B3B64" w:rsidRPr="00EC49E0">
        <w:rPr>
          <w:rFonts w:ascii="Arial" w:eastAsia="Times New Roman" w:hAnsi="Arial" w:cs="Arial"/>
        </w:rPr>
        <w:t>informační</w:t>
      </w:r>
      <w:r w:rsidR="0059139B" w:rsidRPr="00EC49E0">
        <w:rPr>
          <w:rFonts w:ascii="Arial" w:eastAsia="Times New Roman" w:hAnsi="Arial" w:cs="Arial"/>
        </w:rPr>
        <w:t>ho systému.</w:t>
      </w:r>
      <w:r w:rsidR="00F40E34" w:rsidRPr="00EC49E0">
        <w:rPr>
          <w:rFonts w:ascii="Arial" w:eastAsia="Times New Roman" w:hAnsi="Arial" w:cs="Arial"/>
        </w:rPr>
        <w:t xml:space="preserve"> </w:t>
      </w:r>
      <w:r w:rsidR="00AB7511">
        <w:rPr>
          <w:rFonts w:ascii="Arial" w:eastAsia="Times New Roman" w:hAnsi="Arial" w:cs="Arial"/>
        </w:rPr>
        <w:t>S</w:t>
      </w:r>
      <w:r w:rsidR="00F40E34" w:rsidRPr="00EC49E0">
        <w:rPr>
          <w:rFonts w:ascii="Arial" w:eastAsia="Times New Roman" w:hAnsi="Arial" w:cs="Arial"/>
        </w:rPr>
        <w:t xml:space="preserve">ystém však nebyl zprovozněn a </w:t>
      </w:r>
      <w:r w:rsidR="00181400" w:rsidRPr="00EC49E0">
        <w:rPr>
          <w:rFonts w:ascii="Arial" w:eastAsia="Times New Roman" w:hAnsi="Arial" w:cs="Arial"/>
        </w:rPr>
        <w:t xml:space="preserve">využíván a </w:t>
      </w:r>
      <w:r w:rsidR="00741E5E" w:rsidRPr="00EC49E0">
        <w:rPr>
          <w:rFonts w:ascii="Arial" w:eastAsia="Times New Roman" w:hAnsi="Arial" w:cs="Arial"/>
        </w:rPr>
        <w:t xml:space="preserve">dle sdělení MF </w:t>
      </w:r>
      <w:r w:rsidR="00593A2D" w:rsidRPr="00EC49E0">
        <w:rPr>
          <w:rFonts w:ascii="Arial" w:eastAsia="Times New Roman" w:hAnsi="Arial" w:cs="Arial"/>
        </w:rPr>
        <w:t>byl</w:t>
      </w:r>
      <w:r w:rsidR="0010371A">
        <w:rPr>
          <w:rFonts w:ascii="Arial" w:eastAsia="Times New Roman" w:hAnsi="Arial" w:cs="Arial"/>
        </w:rPr>
        <w:t xml:space="preserve">o v roce 2011 </w:t>
      </w:r>
      <w:r w:rsidR="0035187D">
        <w:rPr>
          <w:rFonts w:ascii="Arial" w:eastAsia="Times New Roman" w:hAnsi="Arial" w:cs="Arial"/>
        </w:rPr>
        <w:t xml:space="preserve">rozhodnuto </w:t>
      </w:r>
      <w:r w:rsidR="0010371A">
        <w:rPr>
          <w:rFonts w:ascii="Arial" w:eastAsia="Times New Roman" w:hAnsi="Arial" w:cs="Arial"/>
        </w:rPr>
        <w:t>o jeho</w:t>
      </w:r>
      <w:r w:rsidR="00593A2D" w:rsidRPr="00EC49E0">
        <w:rPr>
          <w:rFonts w:ascii="Arial" w:eastAsia="Times New Roman" w:hAnsi="Arial" w:cs="Arial"/>
        </w:rPr>
        <w:t xml:space="preserve"> </w:t>
      </w:r>
      <w:r w:rsidR="0003479D" w:rsidRPr="00EC49E0">
        <w:rPr>
          <w:rFonts w:ascii="Arial" w:eastAsia="Times New Roman" w:hAnsi="Arial" w:cs="Arial"/>
        </w:rPr>
        <w:t>ukonč</w:t>
      </w:r>
      <w:r w:rsidR="0059139B" w:rsidRPr="00EC49E0">
        <w:rPr>
          <w:rFonts w:ascii="Arial" w:eastAsia="Times New Roman" w:hAnsi="Arial" w:cs="Arial"/>
        </w:rPr>
        <w:t>en</w:t>
      </w:r>
      <w:r w:rsidR="0010371A">
        <w:rPr>
          <w:rFonts w:ascii="Arial" w:eastAsia="Times New Roman" w:hAnsi="Arial" w:cs="Arial"/>
        </w:rPr>
        <w:t>í</w:t>
      </w:r>
      <w:r w:rsidR="0059139B" w:rsidRPr="00EC49E0">
        <w:rPr>
          <w:rFonts w:ascii="Arial" w:eastAsia="Times New Roman" w:hAnsi="Arial" w:cs="Arial"/>
        </w:rPr>
        <w:t xml:space="preserve"> z důvodů </w:t>
      </w:r>
      <w:r w:rsidR="00AB7511">
        <w:rPr>
          <w:rFonts w:ascii="Arial" w:eastAsia="Times New Roman" w:hAnsi="Arial" w:cs="Arial"/>
        </w:rPr>
        <w:t>„</w:t>
      </w:r>
      <w:r w:rsidR="0059139B" w:rsidRPr="00EC49E0">
        <w:rPr>
          <w:rFonts w:ascii="Arial" w:eastAsia="Times New Roman" w:hAnsi="Arial" w:cs="Arial"/>
        </w:rPr>
        <w:t>finanční a</w:t>
      </w:r>
      <w:r w:rsidR="00AB7511">
        <w:rPr>
          <w:rFonts w:ascii="Arial" w:eastAsia="Times New Roman" w:hAnsi="Arial" w:cs="Arial"/>
        </w:rPr>
        <w:t> </w:t>
      </w:r>
      <w:r w:rsidR="0059139B" w:rsidRPr="00EC49E0">
        <w:rPr>
          <w:rFonts w:ascii="Arial" w:eastAsia="Times New Roman" w:hAnsi="Arial" w:cs="Arial"/>
        </w:rPr>
        <w:t>uživatelské neefektivity</w:t>
      </w:r>
      <w:r w:rsidR="00AB7511">
        <w:rPr>
          <w:rFonts w:ascii="Arial" w:eastAsia="Times New Roman" w:hAnsi="Arial" w:cs="Arial"/>
        </w:rPr>
        <w:t>“</w:t>
      </w:r>
      <w:r w:rsidR="0059139B" w:rsidRPr="00EC49E0">
        <w:rPr>
          <w:rFonts w:ascii="Arial" w:eastAsia="Times New Roman" w:hAnsi="Arial" w:cs="Arial"/>
        </w:rPr>
        <w:t xml:space="preserve">. </w:t>
      </w:r>
    </w:p>
    <w:p w:rsidR="00D53C6D" w:rsidRDefault="00D53C6D" w:rsidP="0056392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A6A5C" w:rsidRDefault="00741E5E" w:rsidP="00563926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49E0">
        <w:rPr>
          <w:rFonts w:ascii="Arial" w:eastAsia="Times New Roman" w:hAnsi="Arial" w:cs="Arial"/>
        </w:rPr>
        <w:t xml:space="preserve">Vynaložení rozpočtových prostředků ve výši </w:t>
      </w:r>
      <w:r w:rsidR="0059139B" w:rsidRPr="00EC49E0">
        <w:rPr>
          <w:rFonts w:ascii="Arial" w:eastAsia="Times New Roman" w:hAnsi="Arial" w:cs="Arial"/>
        </w:rPr>
        <w:t xml:space="preserve">celkem </w:t>
      </w:r>
      <w:r w:rsidRPr="00EC49E0">
        <w:rPr>
          <w:rFonts w:ascii="Arial" w:eastAsia="Times New Roman" w:hAnsi="Arial" w:cs="Arial"/>
        </w:rPr>
        <w:t>více než 2,2 mil</w:t>
      </w:r>
      <w:r w:rsidR="003D00C7">
        <w:rPr>
          <w:rFonts w:ascii="Arial" w:eastAsia="Times New Roman" w:hAnsi="Arial" w:cs="Arial"/>
        </w:rPr>
        <w:t>.</w:t>
      </w:r>
      <w:r w:rsidRPr="00EC49E0">
        <w:rPr>
          <w:rFonts w:ascii="Arial" w:eastAsia="Times New Roman" w:hAnsi="Arial" w:cs="Arial"/>
        </w:rPr>
        <w:t xml:space="preserve"> Kč</w:t>
      </w:r>
      <w:r w:rsidR="00381936" w:rsidRPr="00EC49E0">
        <w:rPr>
          <w:rFonts w:ascii="Arial" w:eastAsia="Times New Roman" w:hAnsi="Arial" w:cs="Arial"/>
        </w:rPr>
        <w:t xml:space="preserve"> za</w:t>
      </w:r>
      <w:r w:rsidR="00181400" w:rsidRPr="00EC49E0">
        <w:rPr>
          <w:rFonts w:ascii="Arial" w:eastAsia="Times New Roman" w:hAnsi="Arial" w:cs="Arial"/>
        </w:rPr>
        <w:t xml:space="preserve"> </w:t>
      </w:r>
      <w:r w:rsidR="00EA6A5C" w:rsidRPr="00EC49E0">
        <w:rPr>
          <w:rFonts w:ascii="Arial" w:eastAsia="Times New Roman" w:hAnsi="Arial" w:cs="Arial"/>
        </w:rPr>
        <w:t xml:space="preserve">pořízení </w:t>
      </w:r>
      <w:r w:rsidR="00381936" w:rsidRPr="00EC49E0">
        <w:rPr>
          <w:rFonts w:ascii="Arial" w:eastAsia="Times New Roman" w:hAnsi="Arial" w:cs="Arial"/>
        </w:rPr>
        <w:t>informační</w:t>
      </w:r>
      <w:r w:rsidR="00EA6A5C" w:rsidRPr="00EC49E0">
        <w:rPr>
          <w:rFonts w:ascii="Arial" w:eastAsia="Times New Roman" w:hAnsi="Arial" w:cs="Arial"/>
        </w:rPr>
        <w:t>ho</w:t>
      </w:r>
      <w:r w:rsidR="00381936" w:rsidRPr="00EC49E0">
        <w:rPr>
          <w:rFonts w:ascii="Arial" w:eastAsia="Times New Roman" w:hAnsi="Arial" w:cs="Arial"/>
        </w:rPr>
        <w:t xml:space="preserve"> systém</w:t>
      </w:r>
      <w:r w:rsidR="00EA6A5C" w:rsidRPr="00EC49E0">
        <w:rPr>
          <w:rFonts w:ascii="Arial" w:eastAsia="Times New Roman" w:hAnsi="Arial" w:cs="Arial"/>
        </w:rPr>
        <w:t>u</w:t>
      </w:r>
      <w:r w:rsidR="00381936" w:rsidRPr="00EC49E0">
        <w:rPr>
          <w:rFonts w:ascii="Arial" w:eastAsia="Times New Roman" w:hAnsi="Arial" w:cs="Arial"/>
        </w:rPr>
        <w:t>, který nebyl zprovozněn</w:t>
      </w:r>
      <w:r w:rsidR="002E228C">
        <w:rPr>
          <w:rFonts w:ascii="Arial" w:eastAsia="Times New Roman" w:hAnsi="Arial" w:cs="Arial"/>
        </w:rPr>
        <w:t xml:space="preserve"> a využit</w:t>
      </w:r>
      <w:r w:rsidR="00BE439A">
        <w:rPr>
          <w:rFonts w:ascii="Arial" w:eastAsia="Times New Roman" w:hAnsi="Arial" w:cs="Arial"/>
        </w:rPr>
        <w:t>,</w:t>
      </w:r>
      <w:r w:rsidR="002E228C">
        <w:rPr>
          <w:rFonts w:ascii="Arial" w:eastAsia="Times New Roman" w:hAnsi="Arial" w:cs="Arial"/>
        </w:rPr>
        <w:t xml:space="preserve"> </w:t>
      </w:r>
      <w:r w:rsidR="00381936" w:rsidRPr="00EC49E0">
        <w:rPr>
          <w:rFonts w:ascii="Arial" w:eastAsia="Times New Roman" w:hAnsi="Arial" w:cs="Arial"/>
        </w:rPr>
        <w:t xml:space="preserve">hodnotí NKÚ jako </w:t>
      </w:r>
      <w:r w:rsidR="0020248E" w:rsidRPr="00EC49E0">
        <w:rPr>
          <w:rFonts w:ascii="Arial" w:eastAsia="Times New Roman" w:hAnsi="Arial" w:cs="Arial"/>
        </w:rPr>
        <w:t>nedodržení povinnosti plnit stanovené úkoly nejhospodárnějším způsobem a</w:t>
      </w:r>
      <w:r w:rsidR="00BE2BA3">
        <w:rPr>
          <w:rFonts w:ascii="Arial" w:eastAsia="Times New Roman" w:hAnsi="Arial" w:cs="Arial"/>
        </w:rPr>
        <w:t> </w:t>
      </w:r>
      <w:r w:rsidR="00EA6A5C" w:rsidRPr="00EC49E0">
        <w:rPr>
          <w:rFonts w:ascii="Arial" w:eastAsia="Times New Roman" w:hAnsi="Arial" w:cs="Arial"/>
        </w:rPr>
        <w:t>jako porušení rozpočtové kázně.</w:t>
      </w:r>
    </w:p>
    <w:p w:rsidR="002D678C" w:rsidRDefault="002D678C" w:rsidP="002D678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B2148" w:rsidRPr="00EC49E0" w:rsidRDefault="00AB7511" w:rsidP="00817BAC">
      <w:pPr>
        <w:spacing w:after="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</w:rPr>
        <w:t>MF evidovalo</w:t>
      </w:r>
      <w:r w:rsidR="007D05F8">
        <w:rPr>
          <w:rFonts w:ascii="Arial" w:hAnsi="Arial" w:cs="Arial"/>
        </w:rPr>
        <w:t xml:space="preserve"> v kontrolovaném období</w:t>
      </w:r>
      <w:r w:rsidR="003D3A18">
        <w:rPr>
          <w:rFonts w:ascii="Arial" w:hAnsi="Arial" w:cs="Arial"/>
        </w:rPr>
        <w:t xml:space="preserve">, </w:t>
      </w:r>
      <w:r w:rsidR="003D3A18" w:rsidRPr="00EC49E0">
        <w:rPr>
          <w:rFonts w:ascii="Arial" w:eastAsia="Times New Roman" w:hAnsi="Arial" w:cs="Arial"/>
          <w:bCs/>
          <w:szCs w:val="24"/>
        </w:rPr>
        <w:t>tj. v letech 2011</w:t>
      </w:r>
      <w:r w:rsidR="00BE439A">
        <w:rPr>
          <w:rFonts w:ascii="Arial" w:eastAsia="Times New Roman" w:hAnsi="Arial" w:cs="Arial"/>
          <w:bCs/>
          <w:szCs w:val="24"/>
        </w:rPr>
        <w:t xml:space="preserve"> a </w:t>
      </w:r>
      <w:r w:rsidR="007B44F8">
        <w:rPr>
          <w:rFonts w:ascii="Arial" w:eastAsia="Times New Roman" w:hAnsi="Arial" w:cs="Arial"/>
          <w:bCs/>
          <w:szCs w:val="24"/>
        </w:rPr>
        <w:t>2012</w:t>
      </w:r>
      <w:r w:rsidR="0035187D">
        <w:rPr>
          <w:rFonts w:ascii="Arial" w:eastAsia="Times New Roman" w:hAnsi="Arial" w:cs="Arial"/>
          <w:bCs/>
          <w:szCs w:val="24"/>
        </w:rPr>
        <w:t>,</w:t>
      </w:r>
      <w:r w:rsidR="007B44F8">
        <w:rPr>
          <w:rFonts w:ascii="Arial" w:eastAsia="Times New Roman" w:hAnsi="Arial" w:cs="Arial"/>
          <w:bCs/>
          <w:szCs w:val="24"/>
        </w:rPr>
        <w:t xml:space="preserve"> </w:t>
      </w:r>
      <w:r w:rsidRPr="00EC49E0">
        <w:rPr>
          <w:rFonts w:ascii="Arial" w:hAnsi="Arial" w:cs="Arial"/>
        </w:rPr>
        <w:t>zahraniční pohledávky civilního charakteru vůči 15 státům</w:t>
      </w:r>
      <w:r>
        <w:rPr>
          <w:rFonts w:ascii="Arial" w:hAnsi="Arial" w:cs="Arial"/>
        </w:rPr>
        <w:t xml:space="preserve">. </w:t>
      </w:r>
      <w:r w:rsidR="00EA6A5C" w:rsidRPr="00EC49E0">
        <w:rPr>
          <w:rFonts w:ascii="Arial" w:eastAsia="Times New Roman" w:hAnsi="Arial" w:cs="Arial"/>
          <w:bCs/>
          <w:szCs w:val="24"/>
        </w:rPr>
        <w:t xml:space="preserve">Přehled o stavu </w:t>
      </w:r>
      <w:r w:rsidR="005B2148" w:rsidRPr="00EC49E0">
        <w:rPr>
          <w:rFonts w:ascii="Arial" w:eastAsia="Times New Roman" w:hAnsi="Arial" w:cs="Arial"/>
          <w:bCs/>
          <w:szCs w:val="24"/>
        </w:rPr>
        <w:t>zahraničních pohledávek</w:t>
      </w:r>
      <w:r w:rsidR="00EA6A5C" w:rsidRPr="00EC49E0">
        <w:rPr>
          <w:rFonts w:ascii="Arial" w:eastAsia="Times New Roman" w:hAnsi="Arial" w:cs="Arial"/>
          <w:bCs/>
          <w:szCs w:val="24"/>
        </w:rPr>
        <w:t xml:space="preserve"> dle </w:t>
      </w:r>
      <w:r w:rsidR="005B2148" w:rsidRPr="00EC49E0">
        <w:rPr>
          <w:rFonts w:ascii="Arial" w:eastAsia="Times New Roman" w:hAnsi="Arial" w:cs="Arial"/>
          <w:bCs/>
          <w:szCs w:val="24"/>
        </w:rPr>
        <w:t>evidence MF je uveden v </w:t>
      </w:r>
      <w:r w:rsidR="00BE2BA3">
        <w:rPr>
          <w:rFonts w:ascii="Arial" w:eastAsia="Times New Roman" w:hAnsi="Arial" w:cs="Arial"/>
          <w:bCs/>
          <w:szCs w:val="24"/>
        </w:rPr>
        <w:t>t</w:t>
      </w:r>
      <w:r w:rsidR="005B2148" w:rsidRPr="00EC49E0">
        <w:rPr>
          <w:rFonts w:ascii="Arial" w:eastAsia="Times New Roman" w:hAnsi="Arial" w:cs="Arial"/>
          <w:bCs/>
          <w:szCs w:val="24"/>
        </w:rPr>
        <w:t>abulce č. 2.</w:t>
      </w:r>
    </w:p>
    <w:p w:rsidR="0025362C" w:rsidRDefault="002536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B5245" w:rsidRDefault="00CF6800" w:rsidP="00CB5245">
      <w:pPr>
        <w:spacing w:after="40" w:line="240" w:lineRule="auto"/>
        <w:ind w:left="1503" w:hanging="1503"/>
        <w:rPr>
          <w:rFonts w:ascii="Arial" w:hAnsi="Arial" w:cs="Arial"/>
          <w:b/>
          <w:bCs/>
        </w:rPr>
      </w:pPr>
      <w:r w:rsidRPr="00EC49E0">
        <w:rPr>
          <w:rFonts w:ascii="Arial" w:hAnsi="Arial" w:cs="Arial"/>
          <w:b/>
          <w:bCs/>
        </w:rPr>
        <w:lastRenderedPageBreak/>
        <w:t xml:space="preserve">Tabulka č. 2 </w:t>
      </w:r>
      <w:r w:rsidR="00BE2BA3">
        <w:rPr>
          <w:rFonts w:ascii="Arial" w:hAnsi="Arial" w:cs="Arial"/>
          <w:b/>
          <w:bCs/>
        </w:rPr>
        <w:t>–</w:t>
      </w:r>
      <w:r w:rsidR="00BE2BA3">
        <w:rPr>
          <w:rFonts w:ascii="Arial" w:hAnsi="Arial" w:cs="Arial"/>
          <w:b/>
          <w:bCs/>
        </w:rPr>
        <w:tab/>
      </w:r>
      <w:r w:rsidR="003B3B64" w:rsidRPr="00EC49E0">
        <w:rPr>
          <w:rFonts w:ascii="Arial" w:hAnsi="Arial" w:cs="Arial"/>
          <w:b/>
          <w:bCs/>
        </w:rPr>
        <w:t xml:space="preserve">Přehled </w:t>
      </w:r>
      <w:r w:rsidR="005B2148" w:rsidRPr="00EC49E0">
        <w:rPr>
          <w:rFonts w:ascii="Arial" w:hAnsi="Arial" w:cs="Arial"/>
          <w:b/>
          <w:bCs/>
        </w:rPr>
        <w:t>zahraničních</w:t>
      </w:r>
      <w:r w:rsidR="003B3B64" w:rsidRPr="00EC49E0">
        <w:rPr>
          <w:rFonts w:ascii="Arial" w:hAnsi="Arial" w:cs="Arial"/>
          <w:b/>
          <w:bCs/>
        </w:rPr>
        <w:t xml:space="preserve"> pohledáv</w:t>
      </w:r>
      <w:r w:rsidR="00181400" w:rsidRPr="00EC49E0">
        <w:rPr>
          <w:rFonts w:ascii="Arial" w:hAnsi="Arial" w:cs="Arial"/>
          <w:b/>
          <w:bCs/>
        </w:rPr>
        <w:t>e</w:t>
      </w:r>
      <w:r w:rsidR="003B3B64" w:rsidRPr="00EC49E0">
        <w:rPr>
          <w:rFonts w:ascii="Arial" w:hAnsi="Arial" w:cs="Arial"/>
          <w:b/>
          <w:bCs/>
        </w:rPr>
        <w:t>k</w:t>
      </w:r>
      <w:r w:rsidR="00EA6A5C" w:rsidRPr="00EC49E0">
        <w:rPr>
          <w:rFonts w:ascii="Arial" w:hAnsi="Arial" w:cs="Arial"/>
          <w:b/>
          <w:bCs/>
        </w:rPr>
        <w:t xml:space="preserve"> </w:t>
      </w:r>
      <w:r w:rsidR="0035187D">
        <w:rPr>
          <w:rFonts w:ascii="Arial" w:hAnsi="Arial" w:cs="Arial"/>
          <w:b/>
          <w:bCs/>
        </w:rPr>
        <w:t>vůči</w:t>
      </w:r>
      <w:r w:rsidR="003B3B64" w:rsidRPr="00EC49E0">
        <w:rPr>
          <w:rFonts w:ascii="Arial" w:hAnsi="Arial" w:cs="Arial"/>
          <w:b/>
          <w:bCs/>
        </w:rPr>
        <w:t xml:space="preserve"> jednotlivým </w:t>
      </w:r>
      <w:r w:rsidR="00285427" w:rsidRPr="00EC49E0">
        <w:rPr>
          <w:rFonts w:ascii="Arial" w:hAnsi="Arial" w:cs="Arial"/>
          <w:b/>
          <w:bCs/>
        </w:rPr>
        <w:t>stát</w:t>
      </w:r>
      <w:r w:rsidR="0035187D">
        <w:rPr>
          <w:rFonts w:ascii="Arial" w:hAnsi="Arial" w:cs="Arial"/>
          <w:b/>
          <w:bCs/>
        </w:rPr>
        <w:t>ům</w:t>
      </w:r>
      <w:r w:rsidR="00EA6A5C" w:rsidRPr="00EC49E0">
        <w:rPr>
          <w:rFonts w:ascii="Arial" w:hAnsi="Arial" w:cs="Arial"/>
          <w:b/>
          <w:bCs/>
        </w:rPr>
        <w:t xml:space="preserve"> </w:t>
      </w:r>
      <w:r w:rsidR="0035187D">
        <w:rPr>
          <w:rFonts w:ascii="Arial" w:hAnsi="Arial" w:cs="Arial"/>
          <w:b/>
          <w:bCs/>
        </w:rPr>
        <w:t xml:space="preserve">za roky </w:t>
      </w:r>
    </w:p>
    <w:p w:rsidR="003B3B64" w:rsidRPr="00CB5245" w:rsidRDefault="00A3107F" w:rsidP="00CB5245">
      <w:pPr>
        <w:spacing w:after="40" w:line="240" w:lineRule="auto"/>
        <w:ind w:left="15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2011 a </w:t>
      </w:r>
      <w:r w:rsidR="00F3293C">
        <w:rPr>
          <w:rFonts w:ascii="Arial" w:hAnsi="Arial" w:cs="Arial"/>
          <w:b/>
          <w:bCs/>
        </w:rPr>
        <w:t>2012</w:t>
      </w:r>
    </w:p>
    <w:tbl>
      <w:tblPr>
        <w:tblW w:w="9105" w:type="dxa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2128"/>
        <w:gridCol w:w="1984"/>
        <w:gridCol w:w="1985"/>
        <w:gridCol w:w="1984"/>
      </w:tblGrid>
      <w:tr w:rsidR="003B3B64" w:rsidRPr="00EC49E0" w:rsidTr="00BF7DFA">
        <w:trPr>
          <w:trHeight w:val="283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25362C" w:rsidRDefault="0059139B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Stát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25362C" w:rsidRDefault="003B3B64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6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Stav k 31. 12. 2011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25362C" w:rsidRDefault="003B3B64" w:rsidP="0068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6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Stav k 31. 12. 2012</w:t>
            </w:r>
          </w:p>
        </w:tc>
      </w:tr>
      <w:tr w:rsidR="003B3B64" w:rsidRPr="00EC49E0" w:rsidTr="00BF7DFA">
        <w:trPr>
          <w:trHeight w:val="283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Albánie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3 036 491,03 USD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60 547 631,14 Kč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2 024 327,35 USD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38 573 557,65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Alžírsko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22 833 598,59 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455 301 955,88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23 378 940,62 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445 485 713,51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Bělorusko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1 790 411,12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35 700 797,73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1 790 411,12 SUSD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34 116 283,89 Kč</w:t>
            </w:r>
          </w:p>
        </w:tc>
      </w:tr>
      <w:tr w:rsidR="0035187D" w:rsidRPr="00EC49E0" w:rsidTr="00811D03">
        <w:trPr>
          <w:trHeight w:val="283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87D" w:rsidRPr="00BF4048" w:rsidRDefault="0035187D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Čína barter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22 957 558,67 CCHF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487 159 394,98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22 957 558,67 CCHF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478 228 904,65 Kč</w:t>
            </w:r>
          </w:p>
        </w:tc>
      </w:tr>
      <w:tr w:rsidR="0035187D" w:rsidRPr="00EC49E0" w:rsidTr="00811D03">
        <w:trPr>
          <w:trHeight w:val="283"/>
        </w:trPr>
        <w:tc>
          <w:tcPr>
            <w:tcW w:w="10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87D" w:rsidRPr="00BF4048" w:rsidRDefault="0035187D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2 016 108,23 CCHF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42 781 816,64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2 016 108,23 CCHF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87D" w:rsidRPr="00BF4048" w:rsidRDefault="0035187D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41 997 550,54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Irák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72 083 831,21 CCHF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1 437 351 594,33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67 715 114,19 CCHF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1 290 311 500,89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Indie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96 227 169,65 INR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72 170 377,24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96 227 169,65 INR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72 170 377,24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Írán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49 426 283,18 IUSD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985 560 086,61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51 324 044,17 IUSD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977 979 661,66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Jugoslávie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132 821 608,97 YUSD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2 648 462 882,86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140 794 240,37 YUSD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2 682 834 250,25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Slovinsko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226 262,36 YUSD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4 511 671,46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KLDR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2 694 711,17 OUSD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53 732 540,73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2 694 711,17 OUSD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51 347 721,34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17 059 458,16 XCRO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136 475 665,28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17 059 458,16 XCRO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136 475 665,28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Kuba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122 888 133,79 XCRC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1 105 993 204,11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122 888 133,79 XCRC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1 105 993 204,11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530 676 281,46 XCRC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4 776 086 533,14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540 114 088,20 XCRC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4 861 026 793,80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26 115 923,00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673 790 813,40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26 115 923,00 EUR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656 554 304,22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2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Peru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sz w:val="16"/>
                <w:szCs w:val="16"/>
              </w:rPr>
              <w:t>37 971 071,39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sz w:val="16"/>
                <w:szCs w:val="16"/>
              </w:rPr>
              <w:t>40 549 982,60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Rusko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D0D0D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8 290 968,38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sz w:val="16"/>
                <w:szCs w:val="16"/>
              </w:rPr>
              <w:t>165 321 909,49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D0D0D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8 164 461,22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sz w:val="16"/>
                <w:szCs w:val="16"/>
              </w:rPr>
              <w:t>155 573 808,55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64" w:rsidRPr="00BF4048" w:rsidRDefault="003B3B64" w:rsidP="009D3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Rusko </w:t>
            </w:r>
            <w:proofErr w:type="spellStart"/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deblokátoři</w:t>
            </w:r>
            <w:proofErr w:type="spellEnd"/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 ostatní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6 566 091,60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130 927 866,50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6 566 091,60 SUSD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125 116 875,44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5 500 000,00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109 670 000,00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5 500 000,00 SUSD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104 802 500,00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26 732 939,76 XCRS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240 596 457,84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27 221 023,47 XCRS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244 989 211,23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17 516 394,81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349 276 912,51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17 516 394,81 SUSD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333 774 903,10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1 432 873,84 SUSD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28 571 504,37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Súdán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120 443 483,85 USD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2 401 643 067,97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128 346 115,07 USD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2 445 635 222,66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Tanz</w:t>
            </w:r>
            <w:r w:rsid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nie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1 268 752,50 CHF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96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26 922 928,05 Kč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1 268 752,50 CHF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26 429 383,33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Celkem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8B71A2">
            <w:pPr>
              <w:spacing w:after="0" w:line="240" w:lineRule="auto"/>
              <w:ind w:left="-68" w:right="-7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3A34FF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16 466 528 683,65</w:t>
            </w:r>
            <w:r w:rsidRPr="00BF40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681942">
            <w:pPr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16 349 967 375,9</w:t>
            </w:r>
            <w:r w:rsidR="007D05F8"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</w:t>
            </w: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3B3B64" w:rsidRPr="00EC49E0" w:rsidTr="00811D03">
        <w:trPr>
          <w:trHeight w:val="283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B64" w:rsidRPr="00BF4048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4C6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916ADE" w:rsidRDefault="003B3B64" w:rsidP="00811D03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vertAlign w:val="superscript"/>
              </w:rPr>
            </w:pPr>
            <w:r w:rsidRPr="00916ADE">
              <w:rPr>
                <w:rFonts w:ascii="Arial" w:eastAsia="Times New Roman" w:hAnsi="Arial" w:cs="Arial"/>
                <w:b/>
                <w:spacing w:val="2"/>
                <w:sz w:val="16"/>
                <w:szCs w:val="16"/>
              </w:rPr>
              <w:t>16 207 963 153</w:t>
            </w:r>
            <w:r w:rsidRPr="00916ADE">
              <w:rPr>
                <w:rFonts w:ascii="Arial" w:eastAsia="Times New Roman" w:hAnsi="Arial" w:cs="Arial"/>
                <w:b/>
                <w:spacing w:val="2"/>
                <w:position w:val="2"/>
                <w:sz w:val="16"/>
                <w:szCs w:val="16"/>
              </w:rPr>
              <w:t>,</w:t>
            </w:r>
            <w:r w:rsidRPr="00916ADE">
              <w:rPr>
                <w:rFonts w:ascii="Arial" w:eastAsia="Times New Roman" w:hAnsi="Arial" w:cs="Arial"/>
                <w:b/>
                <w:spacing w:val="2"/>
                <w:sz w:val="16"/>
                <w:szCs w:val="16"/>
              </w:rPr>
              <w:t>41</w:t>
            </w:r>
            <w:r w:rsidRPr="00916ADE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16ADE">
              <w:rPr>
                <w:rFonts w:ascii="Arial" w:eastAsia="Times New Roman" w:hAnsi="Arial" w:cs="Arial"/>
                <w:b/>
                <w:color w:val="000000"/>
                <w:spacing w:val="2"/>
                <w:sz w:val="16"/>
                <w:szCs w:val="16"/>
              </w:rPr>
              <w:t>Kč</w:t>
            </w:r>
            <w:r w:rsidR="007D05F8" w:rsidRPr="00916ADE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BF4048" w:rsidRDefault="003B3B64" w:rsidP="00811D03">
            <w:pPr>
              <w:spacing w:after="0" w:line="240" w:lineRule="auto"/>
              <w:ind w:right="4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F40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16 096 141 807,59 Kč</w:t>
            </w:r>
            <w:r w:rsidR="007D05F8" w:rsidRPr="00BF40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3B3B64" w:rsidRPr="007C5C6F" w:rsidRDefault="003B3B64" w:rsidP="007C5C6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  <w:r w:rsidRPr="00E86BF7">
        <w:rPr>
          <w:rFonts w:ascii="Arial" w:eastAsia="Times New Roman" w:hAnsi="Arial" w:cs="Arial"/>
          <w:b/>
          <w:sz w:val="18"/>
          <w:szCs w:val="18"/>
        </w:rPr>
        <w:t>Zdroj:</w:t>
      </w:r>
      <w:r w:rsidR="00E97936">
        <w:rPr>
          <w:rFonts w:ascii="Arial" w:eastAsia="Times New Roman" w:hAnsi="Arial" w:cs="Arial"/>
          <w:b/>
          <w:sz w:val="18"/>
          <w:szCs w:val="18"/>
        </w:rPr>
        <w:tab/>
      </w:r>
      <w:r w:rsidR="00702148">
        <w:rPr>
          <w:rFonts w:ascii="Arial" w:eastAsia="Times New Roman" w:hAnsi="Arial" w:cs="Arial"/>
          <w:sz w:val="18"/>
          <w:szCs w:val="18"/>
        </w:rPr>
        <w:t>m</w:t>
      </w:r>
      <w:r w:rsidRPr="00BE2BA3">
        <w:rPr>
          <w:rFonts w:ascii="Arial" w:eastAsia="Times New Roman" w:hAnsi="Arial" w:cs="Arial"/>
          <w:sz w:val="18"/>
          <w:szCs w:val="18"/>
        </w:rPr>
        <w:t xml:space="preserve">ěsíční specifikace převzatých pohledávek a závazků do státních aktiv a pasiv České republiky </w:t>
      </w:r>
      <w:r w:rsidR="00186265">
        <w:rPr>
          <w:rFonts w:ascii="Arial" w:eastAsia="Times New Roman" w:hAnsi="Arial" w:cs="Arial"/>
          <w:sz w:val="18"/>
          <w:szCs w:val="18"/>
        </w:rPr>
        <w:t>k </w:t>
      </w:r>
      <w:r w:rsidR="007D05F8">
        <w:rPr>
          <w:rFonts w:ascii="Arial" w:eastAsia="Times New Roman" w:hAnsi="Arial" w:cs="Arial"/>
          <w:sz w:val="18"/>
          <w:szCs w:val="18"/>
        </w:rPr>
        <w:t>31.</w:t>
      </w:r>
      <w:r w:rsidR="00702148">
        <w:rPr>
          <w:rFonts w:ascii="Arial" w:eastAsia="Times New Roman" w:hAnsi="Arial" w:cs="Arial"/>
          <w:sz w:val="18"/>
          <w:szCs w:val="18"/>
        </w:rPr>
        <w:t> </w:t>
      </w:r>
      <w:r w:rsidR="007D05F8">
        <w:rPr>
          <w:rFonts w:ascii="Arial" w:eastAsia="Times New Roman" w:hAnsi="Arial" w:cs="Arial"/>
          <w:sz w:val="18"/>
          <w:szCs w:val="18"/>
        </w:rPr>
        <w:t>12.</w:t>
      </w:r>
      <w:r w:rsidR="00B75FAA">
        <w:rPr>
          <w:rFonts w:ascii="Arial" w:eastAsia="Times New Roman" w:hAnsi="Arial" w:cs="Arial"/>
          <w:sz w:val="18"/>
          <w:szCs w:val="18"/>
        </w:rPr>
        <w:t> </w:t>
      </w:r>
      <w:r w:rsidR="007D05F8">
        <w:rPr>
          <w:rFonts w:ascii="Arial" w:eastAsia="Times New Roman" w:hAnsi="Arial" w:cs="Arial"/>
          <w:sz w:val="18"/>
          <w:szCs w:val="18"/>
        </w:rPr>
        <w:t>2011 a 31. 12. 2012</w:t>
      </w:r>
      <w:r w:rsidR="00702148">
        <w:rPr>
          <w:rFonts w:ascii="Arial" w:eastAsia="Times New Roman" w:hAnsi="Arial" w:cs="Arial"/>
          <w:sz w:val="18"/>
          <w:szCs w:val="18"/>
        </w:rPr>
        <w:t>;</w:t>
      </w:r>
      <w:r w:rsidRPr="00BE2BA3">
        <w:rPr>
          <w:rFonts w:ascii="Arial" w:eastAsia="Times New Roman" w:hAnsi="Arial" w:cs="Arial"/>
          <w:sz w:val="18"/>
          <w:szCs w:val="18"/>
        </w:rPr>
        <w:t xml:space="preserve"> </w:t>
      </w:r>
      <w:r w:rsidR="00702148">
        <w:rPr>
          <w:rFonts w:ascii="Arial" w:eastAsia="Times New Roman" w:hAnsi="Arial" w:cs="Arial"/>
          <w:sz w:val="18"/>
          <w:szCs w:val="18"/>
        </w:rPr>
        <w:t>m</w:t>
      </w:r>
      <w:r w:rsidRPr="00BE2BA3">
        <w:rPr>
          <w:rFonts w:ascii="Arial" w:eastAsia="Times New Roman" w:hAnsi="Arial" w:cs="Arial"/>
          <w:sz w:val="18"/>
          <w:szCs w:val="18"/>
        </w:rPr>
        <w:t>ěsíční specifikace vládních úvěrů podle zemí – rekapitulace za úvěry financované státním rozpočtem</w:t>
      </w:r>
      <w:r w:rsidR="00702148">
        <w:rPr>
          <w:rFonts w:ascii="Arial" w:eastAsia="Times New Roman" w:hAnsi="Arial" w:cs="Arial"/>
          <w:sz w:val="18"/>
          <w:szCs w:val="18"/>
        </w:rPr>
        <w:t>;</w:t>
      </w:r>
      <w:r w:rsidRPr="00BE2BA3">
        <w:rPr>
          <w:rFonts w:ascii="Arial" w:eastAsia="Times New Roman" w:hAnsi="Arial" w:cs="Arial"/>
          <w:sz w:val="18"/>
          <w:szCs w:val="18"/>
        </w:rPr>
        <w:t xml:space="preserve"> dokumentace ČNB</w:t>
      </w:r>
      <w:r w:rsidR="00702148">
        <w:rPr>
          <w:rFonts w:ascii="Arial" w:eastAsia="Times New Roman" w:hAnsi="Arial" w:cs="Arial"/>
          <w:sz w:val="18"/>
          <w:szCs w:val="18"/>
        </w:rPr>
        <w:t>;</w:t>
      </w:r>
      <w:r w:rsidRPr="00BE2BA3">
        <w:rPr>
          <w:rFonts w:ascii="Arial" w:eastAsia="Times New Roman" w:hAnsi="Arial" w:cs="Arial"/>
          <w:sz w:val="18"/>
          <w:szCs w:val="18"/>
        </w:rPr>
        <w:t xml:space="preserve"> soudní rozhodnutí</w:t>
      </w:r>
      <w:r w:rsidR="007D05F8">
        <w:rPr>
          <w:rFonts w:ascii="Arial" w:eastAsia="Times New Roman" w:hAnsi="Arial" w:cs="Arial"/>
          <w:sz w:val="18"/>
          <w:szCs w:val="18"/>
        </w:rPr>
        <w:t xml:space="preserve"> promítnuté do účetnictví</w:t>
      </w:r>
      <w:r w:rsidR="00BE439A">
        <w:rPr>
          <w:rFonts w:ascii="Arial" w:eastAsia="Times New Roman" w:hAnsi="Arial" w:cs="Arial"/>
          <w:sz w:val="18"/>
          <w:szCs w:val="18"/>
        </w:rPr>
        <w:t>.</w:t>
      </w:r>
    </w:p>
    <w:p w:rsidR="003B3B64" w:rsidRPr="00BE2BA3" w:rsidRDefault="003B3B64" w:rsidP="00811D03">
      <w:pPr>
        <w:spacing w:after="0" w:line="240" w:lineRule="auto"/>
        <w:ind w:left="284" w:hanging="284"/>
        <w:rPr>
          <w:rFonts w:ascii="Arial" w:hAnsi="Arial" w:cs="Arial"/>
        </w:rPr>
      </w:pPr>
      <w:r w:rsidRPr="00BE2BA3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="00E9793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E2BA3">
        <w:rPr>
          <w:rFonts w:ascii="Arial" w:eastAsia="Times New Roman" w:hAnsi="Arial" w:cs="Arial"/>
          <w:color w:val="000000"/>
          <w:sz w:val="18"/>
          <w:szCs w:val="18"/>
        </w:rPr>
        <w:t>Částka celkem po započtení (resp. odečtení) závazků vůči Číně ve výši 258 565 530,24</w:t>
      </w:r>
      <w:r w:rsidR="007D05F8">
        <w:rPr>
          <w:rFonts w:ascii="Arial" w:eastAsia="Times New Roman" w:hAnsi="Arial" w:cs="Arial"/>
          <w:color w:val="000000"/>
          <w:sz w:val="18"/>
          <w:szCs w:val="18"/>
        </w:rPr>
        <w:t xml:space="preserve"> Kč</w:t>
      </w:r>
      <w:r w:rsidRPr="00BE2BA3">
        <w:rPr>
          <w:rFonts w:ascii="Arial" w:eastAsia="Times New Roman" w:hAnsi="Arial" w:cs="Arial"/>
          <w:color w:val="000000"/>
          <w:sz w:val="18"/>
          <w:szCs w:val="18"/>
        </w:rPr>
        <w:t xml:space="preserve"> v roce 2011, </w:t>
      </w:r>
      <w:r w:rsidR="00681942">
        <w:rPr>
          <w:rFonts w:ascii="Arial" w:eastAsia="Times New Roman" w:hAnsi="Arial" w:cs="Arial"/>
          <w:color w:val="000000"/>
          <w:sz w:val="18"/>
          <w:szCs w:val="18"/>
        </w:rPr>
        <w:t>resp. </w:t>
      </w:r>
      <w:r w:rsidRPr="00BE2BA3">
        <w:rPr>
          <w:rFonts w:ascii="Arial" w:eastAsia="Times New Roman" w:hAnsi="Arial" w:cs="Arial"/>
          <w:color w:val="000000"/>
          <w:sz w:val="18"/>
          <w:szCs w:val="18"/>
        </w:rPr>
        <w:t>253 825 568,35 Kč v roce 2012</w:t>
      </w:r>
      <w:r w:rsidR="00BE439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B7511" w:rsidRDefault="003B3B64" w:rsidP="005936DD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C49E0">
        <w:rPr>
          <w:rFonts w:ascii="Arial" w:eastAsia="Times New Roman" w:hAnsi="Arial" w:cs="Arial"/>
          <w:bCs/>
          <w:szCs w:val="24"/>
        </w:rPr>
        <w:t xml:space="preserve">Z údajů o pohledávkách vyjádřených v cizích měnách uvedených v tabulce </w:t>
      </w:r>
      <w:r w:rsidR="00CF4B3C" w:rsidRPr="00EC49E0">
        <w:rPr>
          <w:rFonts w:ascii="Arial" w:eastAsia="Times New Roman" w:hAnsi="Arial" w:cs="Arial"/>
          <w:bCs/>
          <w:szCs w:val="24"/>
        </w:rPr>
        <w:t xml:space="preserve">č. 2 </w:t>
      </w:r>
      <w:r w:rsidRPr="00EC49E0">
        <w:rPr>
          <w:rFonts w:ascii="Arial" w:eastAsia="Times New Roman" w:hAnsi="Arial" w:cs="Arial"/>
          <w:bCs/>
          <w:szCs w:val="24"/>
        </w:rPr>
        <w:t>vyplývá, jak se v průběhu kontrolovaného období měnila jejich výše. Dopady kurzových rozdílů na výši pohledávek vyjádřen</w:t>
      </w:r>
      <w:r w:rsidR="00702148">
        <w:rPr>
          <w:rFonts w:ascii="Arial" w:eastAsia="Times New Roman" w:hAnsi="Arial" w:cs="Arial"/>
          <w:bCs/>
          <w:szCs w:val="24"/>
        </w:rPr>
        <w:t>ých</w:t>
      </w:r>
      <w:r w:rsidRPr="00EC49E0">
        <w:rPr>
          <w:rFonts w:ascii="Arial" w:eastAsia="Times New Roman" w:hAnsi="Arial" w:cs="Arial"/>
          <w:bCs/>
          <w:szCs w:val="24"/>
        </w:rPr>
        <w:t xml:space="preserve"> v českých korunách jsou zřejmé zejmén</w:t>
      </w:r>
      <w:r w:rsidR="00181400" w:rsidRPr="00EC49E0">
        <w:rPr>
          <w:rFonts w:ascii="Arial" w:eastAsia="Times New Roman" w:hAnsi="Arial" w:cs="Arial"/>
          <w:bCs/>
          <w:szCs w:val="24"/>
        </w:rPr>
        <w:t xml:space="preserve">a u pohledávek, jejichž výše se </w:t>
      </w:r>
      <w:r w:rsidRPr="00EC49E0">
        <w:rPr>
          <w:rFonts w:ascii="Arial" w:eastAsia="Times New Roman" w:hAnsi="Arial" w:cs="Arial"/>
          <w:bCs/>
          <w:szCs w:val="24"/>
        </w:rPr>
        <w:t>v k</w:t>
      </w:r>
      <w:r w:rsidR="005936DD" w:rsidRPr="00EC49E0">
        <w:rPr>
          <w:rFonts w:ascii="Arial" w:eastAsia="Times New Roman" w:hAnsi="Arial" w:cs="Arial"/>
          <w:bCs/>
          <w:szCs w:val="24"/>
        </w:rPr>
        <w:t>ontrolovaném období nezměnila</w:t>
      </w:r>
      <w:r w:rsidR="0090380E" w:rsidRPr="00EC49E0">
        <w:rPr>
          <w:rFonts w:ascii="Arial" w:eastAsia="Times New Roman" w:hAnsi="Arial" w:cs="Arial"/>
          <w:bCs/>
          <w:szCs w:val="24"/>
        </w:rPr>
        <w:t>.</w:t>
      </w:r>
      <w:r w:rsidR="005936DD" w:rsidRPr="00EC49E0">
        <w:rPr>
          <w:rFonts w:ascii="Arial" w:eastAsia="Times New Roman" w:hAnsi="Arial" w:cs="Arial"/>
          <w:bCs/>
          <w:szCs w:val="24"/>
        </w:rPr>
        <w:t xml:space="preserve"> Z hlediska toho, zda došlo ke změně stavu pohledávky</w:t>
      </w:r>
      <w:r w:rsidR="001113FA">
        <w:rPr>
          <w:rFonts w:ascii="Arial" w:eastAsia="Times New Roman" w:hAnsi="Arial" w:cs="Arial"/>
          <w:bCs/>
          <w:szCs w:val="24"/>
        </w:rPr>
        <w:t>,</w:t>
      </w:r>
      <w:r w:rsidR="001F78AD" w:rsidRPr="00EC49E0">
        <w:rPr>
          <w:rFonts w:ascii="Arial" w:eastAsia="Times New Roman" w:hAnsi="Arial" w:cs="Arial"/>
          <w:bCs/>
          <w:szCs w:val="24"/>
        </w:rPr>
        <w:t xml:space="preserve"> </w:t>
      </w:r>
      <w:r w:rsidR="005936DD" w:rsidRPr="00EC49E0">
        <w:rPr>
          <w:rFonts w:ascii="Arial" w:eastAsia="Times New Roman" w:hAnsi="Arial" w:cs="Arial"/>
          <w:bCs/>
          <w:szCs w:val="24"/>
        </w:rPr>
        <w:t>spravovalo MF v letech 2011 a 2012:</w:t>
      </w:r>
    </w:p>
    <w:p w:rsidR="00133842" w:rsidRPr="00AD09D3" w:rsidRDefault="005936DD" w:rsidP="00AD09D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AD09D3">
        <w:rPr>
          <w:rFonts w:ascii="Arial" w:eastAsia="Times New Roman" w:hAnsi="Arial" w:cs="Arial"/>
          <w:bCs/>
          <w:szCs w:val="24"/>
        </w:rPr>
        <w:t>pohledávky, jejichž výše v cizích měnách se nezměnila</w:t>
      </w:r>
      <w:r w:rsidR="00702148">
        <w:rPr>
          <w:rFonts w:ascii="Arial" w:eastAsia="Times New Roman" w:hAnsi="Arial" w:cs="Arial"/>
          <w:bCs/>
          <w:szCs w:val="24"/>
        </w:rPr>
        <w:t>;</w:t>
      </w:r>
    </w:p>
    <w:p w:rsidR="00E84F75" w:rsidRDefault="00186265" w:rsidP="0042733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Z </w:t>
      </w:r>
      <w:r w:rsidR="00133842" w:rsidRPr="00BE439A">
        <w:rPr>
          <w:rFonts w:ascii="Arial" w:eastAsia="Times New Roman" w:hAnsi="Arial" w:cs="Arial"/>
          <w:bCs/>
          <w:szCs w:val="24"/>
        </w:rPr>
        <w:t xml:space="preserve">dokladů předložených </w:t>
      </w:r>
      <w:r>
        <w:rPr>
          <w:rFonts w:ascii="Arial" w:eastAsia="Times New Roman" w:hAnsi="Arial" w:cs="Arial"/>
          <w:bCs/>
          <w:szCs w:val="24"/>
        </w:rPr>
        <w:t>v </w:t>
      </w:r>
      <w:r w:rsidR="00133842" w:rsidRPr="00BE439A">
        <w:rPr>
          <w:rFonts w:ascii="Arial" w:eastAsia="Times New Roman" w:hAnsi="Arial" w:cs="Arial"/>
          <w:bCs/>
          <w:szCs w:val="24"/>
        </w:rPr>
        <w:t>rámci této kontrolní akce vyplývá, že MF nebylo pasivní a</w:t>
      </w:r>
      <w:r w:rsidR="002D678C" w:rsidRPr="00BE439A">
        <w:rPr>
          <w:rFonts w:ascii="Arial" w:eastAsia="Times New Roman" w:hAnsi="Arial" w:cs="Arial"/>
          <w:bCs/>
          <w:szCs w:val="24"/>
        </w:rPr>
        <w:t> </w:t>
      </w:r>
      <w:r w:rsidR="00133842" w:rsidRPr="00BE439A">
        <w:rPr>
          <w:rFonts w:ascii="Arial" w:eastAsia="Times New Roman" w:hAnsi="Arial" w:cs="Arial"/>
          <w:bCs/>
          <w:szCs w:val="24"/>
        </w:rPr>
        <w:t>těmito pohledávkami se v kontrolovaném období zabývalo.</w:t>
      </w:r>
    </w:p>
    <w:p w:rsidR="00133842" w:rsidRDefault="005936DD" w:rsidP="00BE439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C49E0">
        <w:rPr>
          <w:rFonts w:ascii="Arial" w:eastAsia="Times New Roman" w:hAnsi="Arial" w:cs="Arial"/>
          <w:bCs/>
          <w:szCs w:val="24"/>
        </w:rPr>
        <w:t>pohledávky, u kterých došlo k navýšení pouze z důvodu připsání (předpisu) úroků z nesplacených jistin</w:t>
      </w:r>
      <w:r w:rsidR="00702148">
        <w:rPr>
          <w:rFonts w:ascii="Arial" w:eastAsia="Times New Roman" w:hAnsi="Arial" w:cs="Arial"/>
          <w:bCs/>
          <w:szCs w:val="24"/>
        </w:rPr>
        <w:t>;</w:t>
      </w:r>
    </w:p>
    <w:p w:rsidR="00133842" w:rsidRDefault="00133842" w:rsidP="0042733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BE439A">
        <w:rPr>
          <w:rFonts w:ascii="Arial" w:eastAsia="Times New Roman" w:hAnsi="Arial" w:cs="Arial"/>
          <w:bCs/>
          <w:szCs w:val="24"/>
        </w:rPr>
        <w:t>MF na základě podkladů předložených bankou navyšovalo stavy pohledávek o</w:t>
      </w:r>
      <w:r w:rsidR="002D678C" w:rsidRPr="00BE439A">
        <w:rPr>
          <w:rFonts w:ascii="Arial" w:eastAsia="Times New Roman" w:hAnsi="Arial" w:cs="Arial"/>
          <w:bCs/>
          <w:szCs w:val="24"/>
        </w:rPr>
        <w:t> </w:t>
      </w:r>
      <w:r w:rsidRPr="00BE439A">
        <w:rPr>
          <w:rFonts w:ascii="Arial" w:eastAsia="Times New Roman" w:hAnsi="Arial" w:cs="Arial"/>
          <w:bCs/>
          <w:szCs w:val="24"/>
        </w:rPr>
        <w:t>vypočtené úroky. Přehled připsaných částek úroků v kontrolovaném období je uveden v</w:t>
      </w:r>
      <w:r w:rsidR="002D678C" w:rsidRPr="00BE439A">
        <w:rPr>
          <w:rFonts w:ascii="Arial" w:eastAsia="Times New Roman" w:hAnsi="Arial" w:cs="Arial"/>
          <w:bCs/>
          <w:szCs w:val="24"/>
        </w:rPr>
        <w:t> </w:t>
      </w:r>
      <w:r w:rsidRPr="00BE439A">
        <w:rPr>
          <w:rFonts w:ascii="Arial" w:eastAsia="Times New Roman" w:hAnsi="Arial" w:cs="Arial"/>
          <w:bCs/>
          <w:szCs w:val="24"/>
        </w:rPr>
        <w:t>tabulce č. 3.</w:t>
      </w:r>
    </w:p>
    <w:p w:rsidR="00B75FAA" w:rsidRPr="00133842" w:rsidRDefault="00B75FAA" w:rsidP="0042733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133842" w:rsidRDefault="005936DD" w:rsidP="00BE439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C49E0">
        <w:rPr>
          <w:rFonts w:ascii="Arial" w:eastAsia="Times New Roman" w:hAnsi="Arial" w:cs="Arial"/>
          <w:bCs/>
          <w:szCs w:val="24"/>
        </w:rPr>
        <w:lastRenderedPageBreak/>
        <w:t>pohledávky, které se zvýšily nebo snížily z jiných důvodů než v důsledku kurzových rozdílů</w:t>
      </w:r>
      <w:r w:rsidR="00285427" w:rsidRPr="00EC49E0">
        <w:rPr>
          <w:rFonts w:ascii="Arial" w:eastAsia="Times New Roman" w:hAnsi="Arial" w:cs="Arial"/>
          <w:bCs/>
          <w:szCs w:val="24"/>
        </w:rPr>
        <w:t>,</w:t>
      </w:r>
      <w:r w:rsidR="00181400" w:rsidRPr="00EC49E0">
        <w:rPr>
          <w:rFonts w:ascii="Arial" w:eastAsia="Times New Roman" w:hAnsi="Arial" w:cs="Arial"/>
          <w:bCs/>
          <w:szCs w:val="24"/>
        </w:rPr>
        <w:t xml:space="preserve"> </w:t>
      </w:r>
      <w:r w:rsidR="00285427" w:rsidRPr="00EC49E0">
        <w:rPr>
          <w:rFonts w:ascii="Arial" w:eastAsia="Times New Roman" w:hAnsi="Arial" w:cs="Arial"/>
          <w:bCs/>
          <w:szCs w:val="24"/>
        </w:rPr>
        <w:t>např</w:t>
      </w:r>
      <w:r w:rsidR="00181400" w:rsidRPr="00EC49E0">
        <w:rPr>
          <w:rFonts w:ascii="Arial" w:eastAsia="Times New Roman" w:hAnsi="Arial" w:cs="Arial"/>
          <w:bCs/>
          <w:szCs w:val="24"/>
        </w:rPr>
        <w:t xml:space="preserve">. </w:t>
      </w:r>
      <w:r w:rsidR="00186265">
        <w:rPr>
          <w:rFonts w:ascii="Arial" w:eastAsia="Times New Roman" w:hAnsi="Arial" w:cs="Arial"/>
          <w:bCs/>
          <w:szCs w:val="24"/>
        </w:rPr>
        <w:t>z </w:t>
      </w:r>
      <w:r w:rsidR="00181400" w:rsidRPr="00EC49E0">
        <w:rPr>
          <w:rFonts w:ascii="Arial" w:eastAsia="Times New Roman" w:hAnsi="Arial" w:cs="Arial"/>
          <w:bCs/>
          <w:szCs w:val="24"/>
        </w:rPr>
        <w:t>důvodu</w:t>
      </w:r>
      <w:r w:rsidR="001F78AD" w:rsidRPr="00EC49E0">
        <w:rPr>
          <w:rFonts w:ascii="Arial" w:eastAsia="Times New Roman" w:hAnsi="Arial" w:cs="Arial"/>
          <w:bCs/>
          <w:szCs w:val="24"/>
        </w:rPr>
        <w:t xml:space="preserve"> </w:t>
      </w:r>
      <w:r w:rsidR="0090380E" w:rsidRPr="00EC49E0">
        <w:rPr>
          <w:rFonts w:ascii="Arial" w:eastAsia="Times New Roman" w:hAnsi="Arial" w:cs="Arial"/>
          <w:bCs/>
          <w:szCs w:val="24"/>
        </w:rPr>
        <w:t xml:space="preserve">uhrazení pohledávky </w:t>
      </w:r>
      <w:r w:rsidR="00181400" w:rsidRPr="00EC49E0">
        <w:rPr>
          <w:rFonts w:ascii="Arial" w:eastAsia="Times New Roman" w:hAnsi="Arial" w:cs="Arial"/>
          <w:bCs/>
          <w:szCs w:val="24"/>
        </w:rPr>
        <w:t>či její části nebo</w:t>
      </w:r>
      <w:r w:rsidR="001F78AD" w:rsidRPr="00EC49E0">
        <w:rPr>
          <w:rFonts w:ascii="Arial" w:eastAsia="Times New Roman" w:hAnsi="Arial" w:cs="Arial"/>
          <w:bCs/>
          <w:szCs w:val="24"/>
        </w:rPr>
        <w:t xml:space="preserve"> </w:t>
      </w:r>
      <w:r w:rsidR="00181676">
        <w:rPr>
          <w:rFonts w:ascii="Arial" w:eastAsia="Times New Roman" w:hAnsi="Arial" w:cs="Arial"/>
          <w:bCs/>
          <w:szCs w:val="24"/>
        </w:rPr>
        <w:t xml:space="preserve">z důvodu </w:t>
      </w:r>
      <w:r w:rsidR="001F78AD" w:rsidRPr="00EC49E0">
        <w:rPr>
          <w:rFonts w:ascii="Arial" w:eastAsia="Times New Roman" w:hAnsi="Arial" w:cs="Arial"/>
          <w:bCs/>
          <w:szCs w:val="24"/>
        </w:rPr>
        <w:t>odpis</w:t>
      </w:r>
      <w:r w:rsidR="00181400" w:rsidRPr="00EC49E0">
        <w:rPr>
          <w:rFonts w:ascii="Arial" w:eastAsia="Times New Roman" w:hAnsi="Arial" w:cs="Arial"/>
          <w:bCs/>
          <w:szCs w:val="24"/>
        </w:rPr>
        <w:t>u</w:t>
      </w:r>
      <w:r w:rsidR="001F78AD" w:rsidRPr="00EC49E0">
        <w:rPr>
          <w:rFonts w:ascii="Arial" w:eastAsia="Times New Roman" w:hAnsi="Arial" w:cs="Arial"/>
          <w:bCs/>
          <w:szCs w:val="24"/>
        </w:rPr>
        <w:t xml:space="preserve"> pohledávky. </w:t>
      </w:r>
    </w:p>
    <w:p w:rsidR="005936DD" w:rsidRPr="00BE439A" w:rsidRDefault="00AD09D3" w:rsidP="00AD09D3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U</w:t>
      </w:r>
      <w:r w:rsidR="00133842" w:rsidRPr="00BE439A">
        <w:rPr>
          <w:rFonts w:ascii="Arial" w:eastAsia="Times New Roman" w:hAnsi="Arial" w:cs="Arial"/>
          <w:bCs/>
          <w:szCs w:val="24"/>
        </w:rPr>
        <w:t xml:space="preserve"> osmi pohledávek, u nichž došlo ke změně </w:t>
      </w:r>
      <w:r w:rsidR="00186265">
        <w:rPr>
          <w:rFonts w:ascii="Arial" w:eastAsia="Times New Roman" w:hAnsi="Arial" w:cs="Arial"/>
          <w:bCs/>
          <w:szCs w:val="24"/>
        </w:rPr>
        <w:t>z </w:t>
      </w:r>
      <w:r w:rsidR="00133842" w:rsidRPr="00BE439A">
        <w:rPr>
          <w:rFonts w:ascii="Arial" w:eastAsia="Times New Roman" w:hAnsi="Arial" w:cs="Arial"/>
          <w:bCs/>
          <w:szCs w:val="24"/>
        </w:rPr>
        <w:t xml:space="preserve">jiných důvodů než </w:t>
      </w:r>
      <w:r w:rsidR="00186265">
        <w:rPr>
          <w:rFonts w:ascii="Arial" w:eastAsia="Times New Roman" w:hAnsi="Arial" w:cs="Arial"/>
          <w:bCs/>
          <w:szCs w:val="24"/>
        </w:rPr>
        <w:t>v </w:t>
      </w:r>
      <w:r w:rsidR="00133842" w:rsidRPr="00BE439A">
        <w:rPr>
          <w:rFonts w:ascii="Arial" w:eastAsia="Times New Roman" w:hAnsi="Arial" w:cs="Arial"/>
          <w:bCs/>
          <w:szCs w:val="24"/>
        </w:rPr>
        <w:t>důsledku kurzových změn nebo připsáním úroků, bylo zjištěno, že MF ve dvou případech nepostupovalo v souladu se zákonem č. 563/1991 Sb.</w:t>
      </w:r>
      <w:r w:rsidR="00682C16">
        <w:rPr>
          <w:rStyle w:val="Znakapoznpodarou"/>
          <w:rFonts w:ascii="Arial" w:eastAsia="Times New Roman" w:hAnsi="Arial" w:cs="Arial"/>
          <w:bCs/>
          <w:szCs w:val="24"/>
        </w:rPr>
        <w:footnoteReference w:id="5"/>
      </w:r>
      <w:r w:rsidR="00133842" w:rsidRPr="00BE439A">
        <w:rPr>
          <w:rFonts w:ascii="Arial" w:eastAsia="Times New Roman" w:hAnsi="Arial" w:cs="Arial"/>
          <w:bCs/>
          <w:szCs w:val="24"/>
        </w:rPr>
        <w:t>, když při inventarizacích k</w:t>
      </w:r>
      <w:r w:rsidR="00E84F75" w:rsidRPr="00BE439A">
        <w:rPr>
          <w:rFonts w:ascii="Arial" w:eastAsia="Times New Roman" w:hAnsi="Arial" w:cs="Arial"/>
          <w:bCs/>
          <w:szCs w:val="24"/>
        </w:rPr>
        <w:t> </w:t>
      </w:r>
      <w:r w:rsidR="00133842" w:rsidRPr="00BE439A">
        <w:rPr>
          <w:rFonts w:ascii="Arial" w:eastAsia="Times New Roman" w:hAnsi="Arial" w:cs="Arial"/>
          <w:bCs/>
          <w:szCs w:val="24"/>
        </w:rPr>
        <w:t>31.</w:t>
      </w:r>
      <w:r w:rsidR="00E84F75" w:rsidRPr="00BE439A">
        <w:rPr>
          <w:rFonts w:ascii="Arial" w:eastAsia="Times New Roman" w:hAnsi="Arial" w:cs="Arial"/>
          <w:bCs/>
          <w:szCs w:val="24"/>
        </w:rPr>
        <w:t> </w:t>
      </w:r>
      <w:r w:rsidR="00A3107F">
        <w:rPr>
          <w:rFonts w:ascii="Arial" w:eastAsia="Times New Roman" w:hAnsi="Arial" w:cs="Arial"/>
          <w:bCs/>
          <w:szCs w:val="24"/>
        </w:rPr>
        <w:t>prosinci</w:t>
      </w:r>
      <w:r w:rsidR="00E84F75" w:rsidRPr="00BE439A">
        <w:rPr>
          <w:rFonts w:ascii="Arial" w:eastAsia="Times New Roman" w:hAnsi="Arial" w:cs="Arial"/>
          <w:bCs/>
          <w:szCs w:val="24"/>
        </w:rPr>
        <w:t> </w:t>
      </w:r>
      <w:r w:rsidR="00133842" w:rsidRPr="00BE439A">
        <w:rPr>
          <w:rFonts w:ascii="Arial" w:eastAsia="Times New Roman" w:hAnsi="Arial" w:cs="Arial"/>
          <w:bCs/>
          <w:szCs w:val="24"/>
        </w:rPr>
        <w:t>2011 a 31. </w:t>
      </w:r>
      <w:r w:rsidR="00A3107F">
        <w:rPr>
          <w:rFonts w:ascii="Arial" w:eastAsia="Times New Roman" w:hAnsi="Arial" w:cs="Arial"/>
          <w:bCs/>
          <w:szCs w:val="24"/>
        </w:rPr>
        <w:t>prosinci</w:t>
      </w:r>
      <w:r w:rsidR="00133842" w:rsidRPr="00BE439A">
        <w:rPr>
          <w:rFonts w:ascii="Arial" w:eastAsia="Times New Roman" w:hAnsi="Arial" w:cs="Arial"/>
          <w:bCs/>
          <w:szCs w:val="24"/>
        </w:rPr>
        <w:t> 2012 nezjistilo skutečný stav majetku</w:t>
      </w:r>
      <w:r w:rsidR="00D665A0" w:rsidRPr="00BE439A">
        <w:rPr>
          <w:rFonts w:ascii="Arial" w:eastAsia="Times New Roman" w:hAnsi="Arial" w:cs="Arial"/>
          <w:bCs/>
          <w:szCs w:val="24"/>
        </w:rPr>
        <w:t>.</w:t>
      </w:r>
      <w:r w:rsidR="00133842" w:rsidRPr="00BE439A">
        <w:rPr>
          <w:rFonts w:ascii="Arial" w:eastAsia="Times New Roman" w:hAnsi="Arial" w:cs="Arial"/>
          <w:bCs/>
          <w:szCs w:val="24"/>
        </w:rPr>
        <w:t xml:space="preserve"> </w:t>
      </w:r>
      <w:r w:rsidR="00D665A0" w:rsidRPr="00BE439A">
        <w:rPr>
          <w:rFonts w:ascii="Arial" w:eastAsia="Times New Roman" w:hAnsi="Arial" w:cs="Arial"/>
          <w:bCs/>
          <w:szCs w:val="24"/>
        </w:rPr>
        <w:t xml:space="preserve">MF </w:t>
      </w:r>
      <w:r w:rsidR="00186265">
        <w:rPr>
          <w:rFonts w:ascii="Arial" w:eastAsia="Times New Roman" w:hAnsi="Arial" w:cs="Arial"/>
          <w:bCs/>
          <w:szCs w:val="24"/>
        </w:rPr>
        <w:t>v </w:t>
      </w:r>
      <w:r w:rsidR="00682C16" w:rsidRPr="00BE439A">
        <w:rPr>
          <w:rFonts w:ascii="Arial" w:eastAsia="Times New Roman" w:hAnsi="Arial" w:cs="Arial"/>
          <w:bCs/>
          <w:szCs w:val="24"/>
        </w:rPr>
        <w:t>letech 2011 a 2012 nezaúčtovalo navýšení pohledávky o minimálně 1,3 mil. USD a v roce 2012 účtovalo o pohledávce ve výši přes 400 tis. Kč, která nebyla jeho majetkem</w:t>
      </w:r>
      <w:r w:rsidR="00133842" w:rsidRPr="00BE439A">
        <w:rPr>
          <w:rFonts w:ascii="Arial" w:eastAsia="Times New Roman" w:hAnsi="Arial" w:cs="Arial"/>
          <w:bCs/>
          <w:szCs w:val="24"/>
        </w:rPr>
        <w:t xml:space="preserve">. </w:t>
      </w:r>
    </w:p>
    <w:p w:rsidR="005936DD" w:rsidRPr="00EC49E0" w:rsidRDefault="005936DD" w:rsidP="00427334">
      <w:pPr>
        <w:spacing w:after="0" w:line="240" w:lineRule="auto"/>
        <w:jc w:val="both"/>
        <w:rPr>
          <w:rFonts w:ascii="Arial" w:hAnsi="Arial" w:cs="Arial"/>
        </w:rPr>
      </w:pPr>
    </w:p>
    <w:p w:rsidR="00CF6800" w:rsidRPr="00EC49E0" w:rsidRDefault="00CF6800" w:rsidP="00186265">
      <w:pPr>
        <w:spacing w:after="4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  <w:b/>
        </w:rPr>
        <w:t>Tabulka č. 3</w:t>
      </w:r>
      <w:r w:rsidR="00782094" w:rsidRPr="00EC49E0">
        <w:rPr>
          <w:rFonts w:ascii="Arial" w:hAnsi="Arial" w:cs="Arial"/>
          <w:b/>
        </w:rPr>
        <w:t xml:space="preserve"> – Přehled připsaných úroků</w:t>
      </w:r>
      <w:r w:rsidR="00AD09D3">
        <w:rPr>
          <w:rFonts w:ascii="Arial" w:hAnsi="Arial" w:cs="Arial"/>
          <w:b/>
        </w:rPr>
        <w:t xml:space="preserve"> v kontrolované</w:t>
      </w:r>
      <w:r w:rsidR="007576F9">
        <w:rPr>
          <w:rFonts w:ascii="Arial" w:hAnsi="Arial" w:cs="Arial"/>
          <w:b/>
        </w:rPr>
        <w:t>m</w:t>
      </w:r>
      <w:r w:rsidR="00AD09D3">
        <w:rPr>
          <w:rFonts w:ascii="Arial" w:hAnsi="Arial" w:cs="Arial"/>
          <w:b/>
        </w:rPr>
        <w:t xml:space="preserve"> období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597"/>
        <w:gridCol w:w="1081"/>
        <w:gridCol w:w="1271"/>
        <w:gridCol w:w="1271"/>
        <w:gridCol w:w="1129"/>
        <w:gridCol w:w="1271"/>
        <w:gridCol w:w="1308"/>
      </w:tblGrid>
      <w:tr w:rsidR="00871EAA" w:rsidRPr="00EC49E0" w:rsidTr="00427334">
        <w:trPr>
          <w:trHeight w:val="315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76" w:rsidRPr="00EC49E0" w:rsidRDefault="00181676" w:rsidP="00871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Pohledávka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76" w:rsidRPr="00EC49E0" w:rsidRDefault="00181676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676" w:rsidRPr="00EC49E0" w:rsidRDefault="00181676" w:rsidP="00B7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676" w:rsidRPr="00EC49E0" w:rsidRDefault="00181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871EAA" w:rsidRPr="00EC49E0" w:rsidTr="00427334">
        <w:trPr>
          <w:trHeight w:val="315"/>
        </w:trPr>
        <w:tc>
          <w:tcPr>
            <w:tcW w:w="1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1676" w:rsidRPr="00EC49E0" w:rsidRDefault="00181676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76" w:rsidRPr="00EC49E0" w:rsidRDefault="00181676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76" w:rsidRPr="00EC49E0" w:rsidRDefault="00181676" w:rsidP="00427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Připsané úroky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76" w:rsidRPr="00427334" w:rsidRDefault="00181676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avýšení nebo snížení celkového stavu pohledávky</w:t>
            </w: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76" w:rsidRPr="00EC49E0" w:rsidRDefault="00181676" w:rsidP="00427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273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Připsané úroky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76" w:rsidRPr="00EC49E0" w:rsidRDefault="00181676" w:rsidP="0095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avýšení nebo snížení celkového stavu pohledávky</w:t>
            </w: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871EAA" w:rsidRPr="00EC49E0" w:rsidTr="00427334">
        <w:trPr>
          <w:trHeight w:val="227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676" w:rsidRPr="00EC49E0" w:rsidRDefault="00181676" w:rsidP="00951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76" w:rsidRPr="00EC49E0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CM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76" w:rsidRPr="00EC49E0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CM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76" w:rsidRPr="00EC49E0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CZK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76" w:rsidRPr="00EC49E0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CZK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76" w:rsidRPr="00181676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676" w:rsidRPr="00181676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CZK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76" w:rsidRPr="00EC49E0" w:rsidRDefault="00181676" w:rsidP="00427334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CZK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Alžírsko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545 342,03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10 874 120,08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37 374 857,12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545 342,03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10 391 492,38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076BBB" w:rsidP="00076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334">
              <w:rPr>
                <w:rFonts w:ascii="Arial" w:hAnsi="Arial" w:cs="Arial"/>
                <w:sz w:val="16"/>
                <w:szCs w:val="16"/>
              </w:rPr>
              <w:t>−</w:t>
            </w:r>
            <w:r w:rsidR="003B3B64"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9 816 242,37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Írán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IUSD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1 823 711,01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33 026 168,07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92 964 255,85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1 897 760,99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36 653 197,89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076BBB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3A49">
              <w:rPr>
                <w:rFonts w:ascii="Arial" w:hAnsi="Arial" w:cs="Arial"/>
                <w:sz w:val="16"/>
                <w:szCs w:val="16"/>
              </w:rPr>
              <w:t>−</w:t>
            </w:r>
            <w:r w:rsidR="003B3B64"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7 580 424,95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D06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Jugoslávie*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YUSD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6 924 349,28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138 071 524,64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287 763 366,42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7 972 631,40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152 969 951,14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34 371 367,39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B64" w:rsidRPr="00EC49E0" w:rsidRDefault="003B3B64" w:rsidP="0087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XCRC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9 415 785,11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84 742 065,99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84 742 065,99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9 437 806,74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84 940 260,66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84 940 260,66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189 505,18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4 612 780,94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24 074 782,83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076BBB" w:rsidP="00076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3A49">
              <w:rPr>
                <w:rFonts w:ascii="Arial" w:hAnsi="Arial" w:cs="Arial"/>
                <w:sz w:val="16"/>
                <w:szCs w:val="16"/>
              </w:rPr>
              <w:t>−</w:t>
            </w:r>
            <w:r w:rsidR="003B3B64"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17 236 509,18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Krivoj</w:t>
            </w:r>
            <w:proofErr w:type="spellEnd"/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XCRS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488 083,71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4 392 753,39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4 392 753,39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488 083,71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4 392 753,39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4 392 753,39</w:t>
            </w:r>
          </w:p>
        </w:tc>
      </w:tr>
      <w:tr w:rsidR="00871EAA" w:rsidRPr="00EC49E0" w:rsidTr="00427334">
        <w:trPr>
          <w:trHeight w:val="283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Súdán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7 375 838,32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135 941 095,09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281 511 646,64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7 902 631,22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155 631 624,04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B64" w:rsidRPr="00EC49E0" w:rsidRDefault="003B3B64" w:rsidP="00951D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9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43 992 154,69</w:t>
            </w:r>
          </w:p>
        </w:tc>
      </w:tr>
    </w:tbl>
    <w:p w:rsidR="003B3B64" w:rsidRPr="00923320" w:rsidRDefault="003B3B64" w:rsidP="0042733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</w:rPr>
      </w:pPr>
      <w:r w:rsidRPr="002804FD">
        <w:rPr>
          <w:rFonts w:ascii="Arial" w:eastAsia="Times New Roman" w:hAnsi="Arial" w:cs="Arial"/>
          <w:b/>
          <w:sz w:val="18"/>
          <w:szCs w:val="18"/>
        </w:rPr>
        <w:t>Zdroj</w:t>
      </w:r>
      <w:r w:rsidRPr="00427334">
        <w:rPr>
          <w:rFonts w:ascii="Arial" w:eastAsia="Times New Roman" w:hAnsi="Arial" w:cs="Arial"/>
          <w:b/>
          <w:sz w:val="18"/>
          <w:szCs w:val="18"/>
        </w:rPr>
        <w:t>:</w:t>
      </w:r>
      <w:r w:rsidR="00923320">
        <w:rPr>
          <w:rFonts w:ascii="Arial" w:eastAsia="Times New Roman" w:hAnsi="Arial" w:cs="Arial"/>
          <w:sz w:val="18"/>
          <w:szCs w:val="18"/>
        </w:rPr>
        <w:tab/>
      </w:r>
      <w:r w:rsidR="00871EAA">
        <w:rPr>
          <w:rFonts w:ascii="Arial" w:eastAsia="Times New Roman" w:hAnsi="Arial" w:cs="Arial"/>
          <w:bCs/>
          <w:sz w:val="18"/>
          <w:szCs w:val="18"/>
        </w:rPr>
        <w:t>m</w:t>
      </w:r>
      <w:r w:rsidRPr="00923320">
        <w:rPr>
          <w:rFonts w:ascii="Arial" w:eastAsia="Times New Roman" w:hAnsi="Arial" w:cs="Arial"/>
          <w:bCs/>
          <w:sz w:val="18"/>
          <w:szCs w:val="18"/>
        </w:rPr>
        <w:t xml:space="preserve">ěsíční specifikace převzatých pohledávek a závazků do státních aktiv a pasiv České republiky </w:t>
      </w:r>
      <w:r w:rsidR="00186265">
        <w:rPr>
          <w:rFonts w:ascii="Arial" w:eastAsia="Times New Roman" w:hAnsi="Arial" w:cs="Arial"/>
          <w:bCs/>
          <w:sz w:val="18"/>
          <w:szCs w:val="18"/>
        </w:rPr>
        <w:t>k </w:t>
      </w:r>
      <w:r w:rsidRPr="00923320">
        <w:rPr>
          <w:rFonts w:ascii="Arial" w:eastAsia="Times New Roman" w:hAnsi="Arial" w:cs="Arial"/>
          <w:bCs/>
          <w:sz w:val="18"/>
          <w:szCs w:val="18"/>
        </w:rPr>
        <w:t>3</w:t>
      </w:r>
      <w:r w:rsidR="00E57D03">
        <w:rPr>
          <w:rFonts w:ascii="Arial" w:eastAsia="Times New Roman" w:hAnsi="Arial" w:cs="Arial"/>
          <w:bCs/>
          <w:sz w:val="18"/>
          <w:szCs w:val="18"/>
        </w:rPr>
        <w:t>1.</w:t>
      </w:r>
      <w:r w:rsidR="00871EAA">
        <w:rPr>
          <w:rFonts w:ascii="Arial" w:eastAsia="Times New Roman" w:hAnsi="Arial" w:cs="Arial"/>
          <w:bCs/>
          <w:sz w:val="18"/>
          <w:szCs w:val="18"/>
        </w:rPr>
        <w:t> </w:t>
      </w:r>
      <w:r w:rsidR="00E57D03">
        <w:rPr>
          <w:rFonts w:ascii="Arial" w:eastAsia="Times New Roman" w:hAnsi="Arial" w:cs="Arial"/>
          <w:bCs/>
          <w:sz w:val="18"/>
          <w:szCs w:val="18"/>
        </w:rPr>
        <w:t>12.</w:t>
      </w:r>
      <w:r w:rsidR="00B75FAA">
        <w:rPr>
          <w:rFonts w:ascii="Arial" w:eastAsia="Times New Roman" w:hAnsi="Arial" w:cs="Arial"/>
          <w:bCs/>
          <w:sz w:val="18"/>
          <w:szCs w:val="18"/>
        </w:rPr>
        <w:t> </w:t>
      </w:r>
      <w:r w:rsidR="00E57D03">
        <w:rPr>
          <w:rFonts w:ascii="Arial" w:eastAsia="Times New Roman" w:hAnsi="Arial" w:cs="Arial"/>
          <w:bCs/>
          <w:sz w:val="18"/>
          <w:szCs w:val="18"/>
        </w:rPr>
        <w:t>2011 a 31. 12. 2012</w:t>
      </w:r>
      <w:r w:rsidR="00871EAA">
        <w:rPr>
          <w:rFonts w:ascii="Arial" w:eastAsia="Times New Roman" w:hAnsi="Arial" w:cs="Arial"/>
          <w:bCs/>
          <w:sz w:val="18"/>
          <w:szCs w:val="18"/>
        </w:rPr>
        <w:t>;</w:t>
      </w:r>
      <w:r w:rsidRPr="00923320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871EAA">
        <w:rPr>
          <w:rFonts w:ascii="Arial" w:eastAsia="Times New Roman" w:hAnsi="Arial" w:cs="Arial"/>
          <w:bCs/>
          <w:sz w:val="18"/>
          <w:szCs w:val="18"/>
        </w:rPr>
        <w:t>m</w:t>
      </w:r>
      <w:r w:rsidRPr="00923320">
        <w:rPr>
          <w:rFonts w:ascii="Arial" w:eastAsia="Times New Roman" w:hAnsi="Arial" w:cs="Arial"/>
          <w:bCs/>
          <w:sz w:val="18"/>
          <w:szCs w:val="18"/>
        </w:rPr>
        <w:t>ěsíční specifikace vládních úvěrů podle zemí – rekapitulace za úvěry financov</w:t>
      </w:r>
      <w:r w:rsidR="00871EAA">
        <w:rPr>
          <w:rFonts w:ascii="Arial" w:eastAsia="Times New Roman" w:hAnsi="Arial" w:cs="Arial"/>
          <w:bCs/>
          <w:sz w:val="18"/>
          <w:szCs w:val="18"/>
        </w:rPr>
        <w:t>an</w:t>
      </w:r>
      <w:r w:rsidRPr="00923320">
        <w:rPr>
          <w:rFonts w:ascii="Arial" w:eastAsia="Times New Roman" w:hAnsi="Arial" w:cs="Arial"/>
          <w:bCs/>
          <w:sz w:val="18"/>
          <w:szCs w:val="18"/>
        </w:rPr>
        <w:t>é státním rozpočtem</w:t>
      </w:r>
      <w:r w:rsidR="00871EAA">
        <w:rPr>
          <w:rFonts w:ascii="Arial" w:eastAsia="Times New Roman" w:hAnsi="Arial" w:cs="Arial"/>
          <w:bCs/>
          <w:sz w:val="18"/>
          <w:szCs w:val="18"/>
        </w:rPr>
        <w:t>;</w:t>
      </w:r>
      <w:r w:rsidRPr="00923320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923320">
        <w:rPr>
          <w:rFonts w:ascii="Arial" w:eastAsia="Times New Roman" w:hAnsi="Arial" w:cs="Arial"/>
          <w:sz w:val="18"/>
          <w:szCs w:val="18"/>
        </w:rPr>
        <w:t>výpočty</w:t>
      </w:r>
      <w:r w:rsidR="000829A7">
        <w:rPr>
          <w:rFonts w:ascii="Arial" w:eastAsia="Times New Roman" w:hAnsi="Arial" w:cs="Arial"/>
          <w:sz w:val="18"/>
          <w:szCs w:val="18"/>
        </w:rPr>
        <w:t xml:space="preserve"> skupiny kontrolujících</w:t>
      </w:r>
      <w:r w:rsidR="00AD09D3">
        <w:rPr>
          <w:rFonts w:ascii="Arial" w:eastAsia="Times New Roman" w:hAnsi="Arial" w:cs="Arial"/>
          <w:sz w:val="18"/>
          <w:szCs w:val="18"/>
        </w:rPr>
        <w:t>.</w:t>
      </w:r>
    </w:p>
    <w:p w:rsidR="003B3B64" w:rsidRPr="00923320" w:rsidRDefault="003B3B64" w:rsidP="00427334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</w:rPr>
      </w:pPr>
      <w:r w:rsidRPr="00923320">
        <w:rPr>
          <w:rFonts w:ascii="Arial" w:eastAsia="Times New Roman" w:hAnsi="Arial" w:cs="Arial"/>
          <w:color w:val="000000"/>
          <w:sz w:val="18"/>
          <w:szCs w:val="18"/>
        </w:rPr>
        <w:t xml:space="preserve">* </w:t>
      </w:r>
      <w:r w:rsidR="004C6464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23320">
        <w:rPr>
          <w:rFonts w:ascii="Arial" w:eastAsia="Times New Roman" w:hAnsi="Arial" w:cs="Arial"/>
          <w:color w:val="000000"/>
          <w:sz w:val="18"/>
          <w:szCs w:val="18"/>
        </w:rPr>
        <w:t>V roce 2011 údaje nezahrnují pohledávku za Slovinskem, byla evidována samostatně</w:t>
      </w:r>
      <w:r w:rsidR="00AD09D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B3B64" w:rsidRPr="00923320" w:rsidRDefault="003B3B64" w:rsidP="00427334">
      <w:pPr>
        <w:spacing w:after="0" w:line="240" w:lineRule="auto"/>
        <w:ind w:left="284" w:hanging="284"/>
        <w:rPr>
          <w:rFonts w:ascii="Arial" w:hAnsi="Arial" w:cs="Arial"/>
        </w:rPr>
      </w:pPr>
      <w:r w:rsidRPr="00923320">
        <w:rPr>
          <w:rFonts w:ascii="Arial" w:eastAsia="Times New Roman" w:hAnsi="Arial" w:cs="Arial"/>
          <w:color w:val="000000"/>
          <w:sz w:val="18"/>
          <w:szCs w:val="18"/>
        </w:rPr>
        <w:t xml:space="preserve">** </w:t>
      </w:r>
      <w:r w:rsidR="004C6464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23320">
        <w:rPr>
          <w:rFonts w:ascii="Arial" w:eastAsia="Times New Roman" w:hAnsi="Arial" w:cs="Arial"/>
          <w:color w:val="000000"/>
          <w:sz w:val="18"/>
          <w:szCs w:val="18"/>
        </w:rPr>
        <w:t xml:space="preserve">Navýšení nebo snížení </w:t>
      </w:r>
      <w:r w:rsidR="00DD308D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Pr="00923320">
        <w:rPr>
          <w:rFonts w:ascii="Arial" w:eastAsia="Times New Roman" w:hAnsi="Arial" w:cs="Arial"/>
          <w:color w:val="000000"/>
          <w:sz w:val="18"/>
          <w:szCs w:val="18"/>
        </w:rPr>
        <w:t xml:space="preserve"> výpočet porovnáním stavu</w:t>
      </w:r>
      <w:r w:rsidR="003C1416">
        <w:rPr>
          <w:rFonts w:ascii="Arial" w:eastAsia="Times New Roman" w:hAnsi="Arial" w:cs="Arial"/>
          <w:color w:val="000000"/>
          <w:sz w:val="18"/>
          <w:szCs w:val="18"/>
        </w:rPr>
        <w:t xml:space="preserve"> pohledávek </w:t>
      </w:r>
      <w:r w:rsidR="00FB757C">
        <w:rPr>
          <w:rFonts w:ascii="Arial" w:eastAsia="Times New Roman" w:hAnsi="Arial" w:cs="Arial"/>
          <w:color w:val="000000"/>
          <w:sz w:val="18"/>
          <w:szCs w:val="18"/>
        </w:rPr>
        <w:t>a jejich</w:t>
      </w:r>
      <w:r w:rsidR="003C1416">
        <w:rPr>
          <w:rFonts w:ascii="Arial" w:eastAsia="Times New Roman" w:hAnsi="Arial" w:cs="Arial"/>
          <w:color w:val="000000"/>
          <w:sz w:val="18"/>
          <w:szCs w:val="18"/>
        </w:rPr>
        <w:t xml:space="preserve"> příslušenství</w:t>
      </w:r>
      <w:r w:rsidRPr="00923320">
        <w:rPr>
          <w:rFonts w:ascii="Arial" w:eastAsia="Times New Roman" w:hAnsi="Arial" w:cs="Arial"/>
          <w:color w:val="000000"/>
          <w:sz w:val="18"/>
          <w:szCs w:val="18"/>
        </w:rPr>
        <w:t xml:space="preserve"> v daném roce oproti stavu předchozího roku</w:t>
      </w:r>
      <w:r w:rsidR="00AD09D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D856E2" w:rsidRDefault="005936DD" w:rsidP="003B3B64">
      <w:pPr>
        <w:spacing w:after="0" w:line="240" w:lineRule="auto"/>
        <w:jc w:val="both"/>
        <w:rPr>
          <w:rFonts w:ascii="Arial" w:hAnsi="Arial" w:cs="Arial"/>
          <w:b/>
        </w:rPr>
      </w:pPr>
      <w:r w:rsidRPr="00D856E2">
        <w:rPr>
          <w:rFonts w:ascii="Arial" w:hAnsi="Arial" w:cs="Arial"/>
          <w:b/>
        </w:rPr>
        <w:t>2</w:t>
      </w:r>
      <w:r w:rsidR="00CF4B3C" w:rsidRPr="00D856E2">
        <w:rPr>
          <w:rFonts w:ascii="Arial" w:hAnsi="Arial" w:cs="Arial"/>
          <w:b/>
        </w:rPr>
        <w:t>.</w:t>
      </w:r>
      <w:r w:rsidRPr="00D856E2">
        <w:rPr>
          <w:rFonts w:ascii="Arial" w:hAnsi="Arial" w:cs="Arial"/>
          <w:b/>
        </w:rPr>
        <w:t xml:space="preserve"> Deblokace</w:t>
      </w:r>
    </w:p>
    <w:p w:rsidR="00D53C6D" w:rsidRDefault="00D53C6D" w:rsidP="00D856E2">
      <w:pPr>
        <w:spacing w:after="0" w:line="240" w:lineRule="auto"/>
        <w:jc w:val="both"/>
        <w:rPr>
          <w:rFonts w:ascii="Arial" w:hAnsi="Arial" w:cs="Arial"/>
        </w:rPr>
      </w:pPr>
    </w:p>
    <w:p w:rsidR="00AD09D3" w:rsidRDefault="00AD09D3" w:rsidP="00D856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Vládou schválené </w:t>
      </w:r>
      <w:r w:rsidR="00133842" w:rsidRPr="00EC49E0">
        <w:rPr>
          <w:rFonts w:ascii="Arial" w:hAnsi="Arial" w:cs="Arial"/>
        </w:rPr>
        <w:t xml:space="preserve">Zásady vymezují </w:t>
      </w:r>
      <w:r w:rsidR="00133842">
        <w:rPr>
          <w:rFonts w:ascii="Arial" w:hAnsi="Arial" w:cs="Arial"/>
        </w:rPr>
        <w:t>d</w:t>
      </w:r>
      <w:r w:rsidR="00CF4B3C" w:rsidRPr="00EC49E0">
        <w:rPr>
          <w:rFonts w:ascii="Arial" w:hAnsi="Arial" w:cs="Arial"/>
        </w:rPr>
        <w:t xml:space="preserve">eblokaci jako vymáhání </w:t>
      </w:r>
      <w:r w:rsidR="003B3B64" w:rsidRPr="00EC49E0">
        <w:rPr>
          <w:rFonts w:ascii="Arial" w:hAnsi="Arial" w:cs="Arial"/>
        </w:rPr>
        <w:t xml:space="preserve">zahraniční pohledávky třetí stranou za úplatu </w:t>
      </w:r>
      <w:r w:rsidR="00B93F3E" w:rsidRPr="00EC49E0">
        <w:rPr>
          <w:rFonts w:ascii="Arial" w:hAnsi="Arial" w:cs="Arial"/>
        </w:rPr>
        <w:t xml:space="preserve">či </w:t>
      </w:r>
      <w:r w:rsidR="00211AA4">
        <w:rPr>
          <w:rFonts w:ascii="Arial" w:hAnsi="Arial" w:cs="Arial"/>
        </w:rPr>
        <w:t xml:space="preserve">jako </w:t>
      </w:r>
      <w:r w:rsidR="003B3B64" w:rsidRPr="00EC49E0">
        <w:rPr>
          <w:rFonts w:ascii="Arial" w:hAnsi="Arial" w:cs="Arial"/>
        </w:rPr>
        <w:t>odprodej pohledávky třetí straně</w:t>
      </w:r>
      <w:r w:rsidR="00B93F3E" w:rsidRPr="00EC49E0">
        <w:rPr>
          <w:rFonts w:ascii="Arial" w:hAnsi="Arial" w:cs="Arial"/>
        </w:rPr>
        <w:t xml:space="preserve">. </w:t>
      </w:r>
      <w:r w:rsidR="00DD5609">
        <w:rPr>
          <w:rFonts w:ascii="Arial" w:hAnsi="Arial" w:cs="Arial"/>
        </w:rPr>
        <w:t>V kontrolovaném období</w:t>
      </w:r>
      <w:r w:rsidR="00211AA4">
        <w:rPr>
          <w:rFonts w:ascii="Arial" w:hAnsi="Arial" w:cs="Arial"/>
        </w:rPr>
        <w:t>,</w:t>
      </w:r>
      <w:r w:rsidR="00DD5609">
        <w:rPr>
          <w:rFonts w:ascii="Arial" w:hAnsi="Arial" w:cs="Arial"/>
        </w:rPr>
        <w:t xml:space="preserve"> tj. v roce 2011 a 2012</w:t>
      </w:r>
      <w:r w:rsidR="00211AA4">
        <w:rPr>
          <w:rFonts w:ascii="Arial" w:hAnsi="Arial" w:cs="Arial"/>
        </w:rPr>
        <w:t>,</w:t>
      </w:r>
      <w:r w:rsidR="00DD5609">
        <w:rPr>
          <w:rFonts w:ascii="Arial" w:hAnsi="Arial" w:cs="Arial"/>
        </w:rPr>
        <w:t xml:space="preserve"> žádná smlouva za tímto účelem nebyla uzavřena, avšak v uvedených letech ještě trval vztah </w:t>
      </w:r>
      <w:r w:rsidR="00632194">
        <w:rPr>
          <w:rFonts w:ascii="Arial" w:hAnsi="Arial" w:cs="Arial"/>
        </w:rPr>
        <w:t xml:space="preserve">celkem </w:t>
      </w:r>
      <w:r w:rsidR="00DD5609">
        <w:rPr>
          <w:rFonts w:ascii="Arial" w:hAnsi="Arial" w:cs="Arial"/>
        </w:rPr>
        <w:t>s</w:t>
      </w:r>
      <w:r w:rsidR="00632194">
        <w:rPr>
          <w:rFonts w:ascii="Arial" w:hAnsi="Arial" w:cs="Arial"/>
        </w:rPr>
        <w:t xml:space="preserve"> jedenácti </w:t>
      </w:r>
      <w:r w:rsidR="00DD5609">
        <w:rPr>
          <w:rFonts w:ascii="Arial" w:hAnsi="Arial" w:cs="Arial"/>
        </w:rPr>
        <w:t>deblokátory.</w:t>
      </w:r>
    </w:p>
    <w:p w:rsidR="00D53C6D" w:rsidRDefault="00D53C6D" w:rsidP="00D856E2">
      <w:pPr>
        <w:spacing w:after="0" w:line="240" w:lineRule="auto"/>
        <w:jc w:val="both"/>
        <w:rPr>
          <w:rFonts w:ascii="Arial" w:hAnsi="Arial" w:cs="Arial"/>
        </w:rPr>
      </w:pPr>
    </w:p>
    <w:p w:rsidR="00E84F75" w:rsidRPr="00AD09D3" w:rsidRDefault="00186265" w:rsidP="00D856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AD09D3">
        <w:rPr>
          <w:rFonts w:ascii="Arial" w:hAnsi="Arial" w:cs="Arial"/>
        </w:rPr>
        <w:t>sedmi kontrolovaných případech</w:t>
      </w:r>
      <w:r w:rsidR="00724E48" w:rsidRPr="00EC49E0">
        <w:rPr>
          <w:rFonts w:ascii="Arial" w:hAnsi="Arial" w:cs="Arial"/>
        </w:rPr>
        <w:t xml:space="preserve"> </w:t>
      </w:r>
      <w:r w:rsidR="003B3B64" w:rsidRPr="00EC49E0">
        <w:rPr>
          <w:rFonts w:ascii="Arial" w:hAnsi="Arial" w:cs="Arial"/>
        </w:rPr>
        <w:t>bylo zjištěno</w:t>
      </w:r>
      <w:r w:rsidR="00B93F3E" w:rsidRPr="00EC49E0">
        <w:rPr>
          <w:rFonts w:ascii="Arial" w:hAnsi="Arial" w:cs="Arial"/>
        </w:rPr>
        <w:t xml:space="preserve">: </w:t>
      </w:r>
    </w:p>
    <w:p w:rsidR="00713A17" w:rsidRPr="00EC49E0" w:rsidRDefault="00AD09D3" w:rsidP="0013384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všech případech </w:t>
      </w:r>
      <w:r w:rsidR="00713A17" w:rsidRPr="00EC49E0">
        <w:rPr>
          <w:rFonts w:ascii="Arial" w:hAnsi="Arial" w:cs="Arial"/>
        </w:rPr>
        <w:t xml:space="preserve">vybralo </w:t>
      </w:r>
      <w:r w:rsidR="00211AA4" w:rsidRPr="00EC49E0">
        <w:rPr>
          <w:rFonts w:ascii="Arial" w:hAnsi="Arial" w:cs="Arial"/>
        </w:rPr>
        <w:t xml:space="preserve">MF </w:t>
      </w:r>
      <w:proofErr w:type="spellStart"/>
      <w:r w:rsidR="00713A17" w:rsidRPr="00EC49E0">
        <w:rPr>
          <w:rFonts w:ascii="Arial" w:hAnsi="Arial" w:cs="Arial"/>
        </w:rPr>
        <w:t>deblokátora</w:t>
      </w:r>
      <w:proofErr w:type="spellEnd"/>
      <w:r w:rsidR="00713A17" w:rsidRPr="00EC49E0">
        <w:rPr>
          <w:rFonts w:ascii="Arial" w:hAnsi="Arial" w:cs="Arial"/>
        </w:rPr>
        <w:t xml:space="preserve"> bez výběrového řízení</w:t>
      </w:r>
      <w:r w:rsidR="00211AA4">
        <w:rPr>
          <w:rFonts w:ascii="Arial" w:hAnsi="Arial" w:cs="Arial"/>
        </w:rPr>
        <w:t>;</w:t>
      </w:r>
    </w:p>
    <w:p w:rsidR="00713A17" w:rsidRPr="00EC49E0" w:rsidRDefault="00713A17" w:rsidP="0013384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smlouvy</w:t>
      </w:r>
      <w:r w:rsidR="00424836" w:rsidRPr="00EC49E0">
        <w:rPr>
          <w:rFonts w:ascii="Arial" w:hAnsi="Arial" w:cs="Arial"/>
        </w:rPr>
        <w:t xml:space="preserve"> s deblokátory neobsahovaly </w:t>
      </w:r>
      <w:r w:rsidR="00845889" w:rsidRPr="00EC49E0">
        <w:rPr>
          <w:rFonts w:ascii="Arial" w:hAnsi="Arial" w:cs="Arial"/>
        </w:rPr>
        <w:t>žádný institut zajištění pohle</w:t>
      </w:r>
      <w:r w:rsidR="00424836" w:rsidRPr="00EC49E0">
        <w:rPr>
          <w:rFonts w:ascii="Arial" w:hAnsi="Arial" w:cs="Arial"/>
        </w:rPr>
        <w:t>d</w:t>
      </w:r>
      <w:r w:rsidR="00845889" w:rsidRPr="00EC49E0">
        <w:rPr>
          <w:rFonts w:ascii="Arial" w:hAnsi="Arial" w:cs="Arial"/>
        </w:rPr>
        <w:t>ávky, přestože MF mělo dle těchto smluv inkasovat</w:t>
      </w:r>
      <w:r w:rsidR="00424836" w:rsidRPr="00EC49E0">
        <w:rPr>
          <w:rFonts w:ascii="Arial" w:hAnsi="Arial" w:cs="Arial"/>
        </w:rPr>
        <w:t xml:space="preserve"> částky přesahující miliony Kč</w:t>
      </w:r>
      <w:r w:rsidR="00211AA4">
        <w:rPr>
          <w:rFonts w:ascii="Arial" w:hAnsi="Arial" w:cs="Arial"/>
        </w:rPr>
        <w:t>;</w:t>
      </w:r>
    </w:p>
    <w:p w:rsidR="00713A17" w:rsidRPr="00EC49E0" w:rsidRDefault="004176B4" w:rsidP="0013384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nominální výše deblokovaných pohledávek přesahovala miliony USD</w:t>
      </w:r>
      <w:r w:rsidR="00E705E1">
        <w:rPr>
          <w:rFonts w:ascii="Arial" w:hAnsi="Arial" w:cs="Arial"/>
        </w:rPr>
        <w:t xml:space="preserve">, z toho </w:t>
      </w:r>
      <w:r w:rsidR="00E34E0C" w:rsidRPr="00EC49E0">
        <w:rPr>
          <w:rFonts w:ascii="Arial" w:hAnsi="Arial" w:cs="Arial"/>
        </w:rPr>
        <w:t xml:space="preserve">ve čtyřech případech MF neinkasovalo </w:t>
      </w:r>
      <w:r w:rsidR="00B93F3E" w:rsidRPr="00EC49E0">
        <w:rPr>
          <w:rFonts w:ascii="Arial" w:hAnsi="Arial" w:cs="Arial"/>
        </w:rPr>
        <w:t>žádnou částku</w:t>
      </w:r>
      <w:r w:rsidR="007C5C6F">
        <w:rPr>
          <w:rFonts w:ascii="Arial" w:hAnsi="Arial" w:cs="Arial"/>
        </w:rPr>
        <w:t xml:space="preserve"> a</w:t>
      </w:r>
      <w:r w:rsidR="00E34E0C" w:rsidRPr="00EC49E0">
        <w:rPr>
          <w:rFonts w:ascii="Arial" w:hAnsi="Arial" w:cs="Arial"/>
        </w:rPr>
        <w:t xml:space="preserve"> </w:t>
      </w:r>
      <w:r w:rsidR="00845889" w:rsidRPr="00EC49E0">
        <w:rPr>
          <w:rFonts w:ascii="Arial" w:hAnsi="Arial" w:cs="Arial"/>
        </w:rPr>
        <w:t xml:space="preserve">ve třech případech </w:t>
      </w:r>
      <w:r w:rsidR="00E705E1">
        <w:rPr>
          <w:rFonts w:ascii="Arial" w:hAnsi="Arial" w:cs="Arial"/>
        </w:rPr>
        <w:t>pouze</w:t>
      </w:r>
      <w:r w:rsidR="00E34E0C" w:rsidRPr="00EC49E0">
        <w:rPr>
          <w:rFonts w:ascii="Arial" w:hAnsi="Arial" w:cs="Arial"/>
        </w:rPr>
        <w:t xml:space="preserve"> minimáln</w:t>
      </w:r>
      <w:r w:rsidR="00424836" w:rsidRPr="00EC49E0">
        <w:rPr>
          <w:rFonts w:ascii="Arial" w:hAnsi="Arial" w:cs="Arial"/>
        </w:rPr>
        <w:t>í částky</w:t>
      </w:r>
      <w:r w:rsidR="00211AA4">
        <w:rPr>
          <w:rFonts w:ascii="Arial" w:hAnsi="Arial" w:cs="Arial"/>
        </w:rPr>
        <w:t>;</w:t>
      </w:r>
      <w:r w:rsidR="00424836" w:rsidRPr="00EC49E0">
        <w:rPr>
          <w:rFonts w:ascii="Arial" w:hAnsi="Arial" w:cs="Arial"/>
        </w:rPr>
        <w:t xml:space="preserve"> </w:t>
      </w:r>
    </w:p>
    <w:p w:rsidR="008C6DE4" w:rsidRPr="00EC49E0" w:rsidRDefault="00B93F3E" w:rsidP="009233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některé </w:t>
      </w:r>
      <w:r w:rsidR="008C6DE4" w:rsidRPr="00EC49E0">
        <w:rPr>
          <w:rFonts w:ascii="Arial" w:hAnsi="Arial" w:cs="Arial"/>
        </w:rPr>
        <w:t xml:space="preserve">uzavřené smlouvy </w:t>
      </w:r>
      <w:r w:rsidR="0065075A">
        <w:rPr>
          <w:rFonts w:ascii="Arial" w:hAnsi="Arial" w:cs="Arial"/>
        </w:rPr>
        <w:t xml:space="preserve">svým obsahem </w:t>
      </w:r>
      <w:r w:rsidRPr="00EC49E0">
        <w:rPr>
          <w:rFonts w:ascii="Arial" w:hAnsi="Arial" w:cs="Arial"/>
        </w:rPr>
        <w:t xml:space="preserve">vyvolávaly následně </w:t>
      </w:r>
      <w:r w:rsidR="008C6DE4" w:rsidRPr="00EC49E0">
        <w:rPr>
          <w:rFonts w:ascii="Arial" w:hAnsi="Arial" w:cs="Arial"/>
        </w:rPr>
        <w:t xml:space="preserve">nejasnosti </w:t>
      </w:r>
      <w:r w:rsidRPr="00EC49E0">
        <w:rPr>
          <w:rFonts w:ascii="Arial" w:hAnsi="Arial" w:cs="Arial"/>
        </w:rPr>
        <w:t xml:space="preserve">a vedly ke sporům s deblokátory. </w:t>
      </w:r>
    </w:p>
    <w:p w:rsidR="00D53C6D" w:rsidRDefault="00D53C6D" w:rsidP="00A906D7">
      <w:pPr>
        <w:spacing w:after="0" w:line="240" w:lineRule="auto"/>
        <w:jc w:val="both"/>
        <w:rPr>
          <w:rFonts w:ascii="Arial" w:hAnsi="Arial" w:cs="Arial"/>
        </w:rPr>
      </w:pPr>
    </w:p>
    <w:p w:rsidR="00E34E0C" w:rsidRPr="00EC49E0" w:rsidRDefault="00E34E0C" w:rsidP="00A906D7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V konkrétních případech například:</w:t>
      </w:r>
    </w:p>
    <w:p w:rsidR="003B3B64" w:rsidRDefault="003B3B64" w:rsidP="00133842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MF uzavřelo </w:t>
      </w:r>
      <w:r w:rsidR="00EF573D" w:rsidRPr="00EC49E0">
        <w:rPr>
          <w:rFonts w:ascii="Arial" w:hAnsi="Arial" w:cs="Arial"/>
        </w:rPr>
        <w:t xml:space="preserve">v roce 1999 </w:t>
      </w:r>
      <w:r w:rsidRPr="00EC49E0">
        <w:rPr>
          <w:rFonts w:ascii="Arial" w:hAnsi="Arial" w:cs="Arial"/>
        </w:rPr>
        <w:t xml:space="preserve">bez výběrového řízení smlouvu </w:t>
      </w:r>
      <w:r w:rsidR="00186265">
        <w:rPr>
          <w:rFonts w:ascii="Arial" w:hAnsi="Arial" w:cs="Arial"/>
        </w:rPr>
        <w:t>s </w:t>
      </w:r>
      <w:proofErr w:type="spellStart"/>
      <w:r w:rsidRPr="00EC49E0">
        <w:rPr>
          <w:rFonts w:ascii="Arial" w:hAnsi="Arial" w:cs="Arial"/>
        </w:rPr>
        <w:t>deblokátorem</w:t>
      </w:r>
      <w:proofErr w:type="spellEnd"/>
      <w:r w:rsidRPr="00EC49E0">
        <w:rPr>
          <w:rFonts w:ascii="Arial" w:hAnsi="Arial" w:cs="Arial"/>
        </w:rPr>
        <w:t xml:space="preserve"> o postoupení pohledávky za Ruskou federací</w:t>
      </w:r>
      <w:r w:rsidR="0067448F" w:rsidRPr="00EC49E0">
        <w:rPr>
          <w:rFonts w:ascii="Arial" w:hAnsi="Arial" w:cs="Arial"/>
        </w:rPr>
        <w:t xml:space="preserve"> v nominální výši přes 20 mil. USD</w:t>
      </w:r>
      <w:r w:rsidRPr="00EC49E0">
        <w:rPr>
          <w:rFonts w:ascii="Arial" w:hAnsi="Arial" w:cs="Arial"/>
        </w:rPr>
        <w:t xml:space="preserve">. Přestože základní kapitál </w:t>
      </w:r>
      <w:r w:rsidR="0067448F" w:rsidRPr="00EC49E0">
        <w:rPr>
          <w:rFonts w:ascii="Arial" w:hAnsi="Arial" w:cs="Arial"/>
        </w:rPr>
        <w:t xml:space="preserve">deblokátora </w:t>
      </w:r>
      <w:r w:rsidRPr="00EC49E0">
        <w:rPr>
          <w:rFonts w:ascii="Arial" w:hAnsi="Arial" w:cs="Arial"/>
        </w:rPr>
        <w:t>byl pouze 100 </w:t>
      </w:r>
      <w:r w:rsidR="00133842">
        <w:rPr>
          <w:rFonts w:ascii="Arial" w:hAnsi="Arial" w:cs="Arial"/>
        </w:rPr>
        <w:t xml:space="preserve">tis. </w:t>
      </w:r>
      <w:r w:rsidRPr="00EC49E0">
        <w:rPr>
          <w:rFonts w:ascii="Arial" w:hAnsi="Arial" w:cs="Arial"/>
        </w:rPr>
        <w:t>Kč</w:t>
      </w:r>
      <w:r w:rsidR="00133842">
        <w:rPr>
          <w:rFonts w:ascii="Arial" w:hAnsi="Arial" w:cs="Arial"/>
        </w:rPr>
        <w:t>,</w:t>
      </w:r>
      <w:r w:rsidRPr="00EC49E0">
        <w:rPr>
          <w:rFonts w:ascii="Arial" w:hAnsi="Arial" w:cs="Arial"/>
        </w:rPr>
        <w:t xml:space="preserve"> smlouva o postoupení pohledávky, na základě které mělo MF inkasovat 15 mil</w:t>
      </w:r>
      <w:r w:rsidR="006D3771" w:rsidRPr="00EC49E0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USD, neobsahovala žádné zajišťovací instituty či záruky. Deblokátor </w:t>
      </w:r>
      <w:r w:rsidRPr="00EC49E0">
        <w:rPr>
          <w:rFonts w:ascii="Arial" w:hAnsi="Arial" w:cs="Arial"/>
        </w:rPr>
        <w:lastRenderedPageBreak/>
        <w:t xml:space="preserve">měl nakonec za dosud realizovanou deblokaci uhradit částku ve výši </w:t>
      </w:r>
      <w:r w:rsidR="00133842">
        <w:rPr>
          <w:rFonts w:ascii="Arial" w:hAnsi="Arial" w:cs="Arial"/>
        </w:rPr>
        <w:t xml:space="preserve">téměř 5 mil. </w:t>
      </w:r>
      <w:r w:rsidRPr="00EC49E0">
        <w:rPr>
          <w:rFonts w:ascii="Arial" w:hAnsi="Arial" w:cs="Arial"/>
        </w:rPr>
        <w:t>USD, což ve stanovené lhůtě neučinil. MF sice s deblokátorem jednalo, avšak dlužnou částku v promlčecí lhůtě neupla</w:t>
      </w:r>
      <w:r w:rsidR="00BC6076" w:rsidRPr="00EC49E0">
        <w:rPr>
          <w:rFonts w:ascii="Arial" w:hAnsi="Arial" w:cs="Arial"/>
        </w:rPr>
        <w:t>tnilo</w:t>
      </w:r>
      <w:r w:rsidR="00133842">
        <w:rPr>
          <w:rFonts w:ascii="Arial" w:hAnsi="Arial" w:cs="Arial"/>
        </w:rPr>
        <w:t xml:space="preserve"> </w:t>
      </w:r>
      <w:r w:rsidR="00B93F3E" w:rsidRPr="00EC49E0">
        <w:rPr>
          <w:rFonts w:ascii="Arial" w:hAnsi="Arial" w:cs="Arial"/>
        </w:rPr>
        <w:t xml:space="preserve">a nechalo ji promlčet. </w:t>
      </w:r>
      <w:r w:rsidR="00BC6076" w:rsidRPr="00EC49E0">
        <w:rPr>
          <w:rFonts w:ascii="Arial" w:hAnsi="Arial" w:cs="Arial"/>
        </w:rPr>
        <w:t xml:space="preserve">MF </w:t>
      </w:r>
      <w:r w:rsidRPr="00EC49E0">
        <w:rPr>
          <w:rFonts w:ascii="Arial" w:hAnsi="Arial" w:cs="Arial"/>
        </w:rPr>
        <w:t>tak porušilo ustanovení § 14 odst. 5 zákona č. 219/2000 Sb</w:t>
      </w:r>
      <w:r w:rsidR="00B93F3E" w:rsidRPr="00EC49E0">
        <w:rPr>
          <w:rFonts w:ascii="Arial" w:hAnsi="Arial" w:cs="Arial"/>
        </w:rPr>
        <w:t xml:space="preserve">. </w:t>
      </w:r>
    </w:p>
    <w:p w:rsidR="00133842" w:rsidRPr="00EC49E0" w:rsidRDefault="00133842" w:rsidP="00133842">
      <w:pPr>
        <w:spacing w:after="0" w:line="240" w:lineRule="auto"/>
        <w:jc w:val="both"/>
        <w:rPr>
          <w:rFonts w:ascii="Arial" w:hAnsi="Arial" w:cs="Arial"/>
        </w:rPr>
      </w:pPr>
    </w:p>
    <w:p w:rsidR="003B3B64" w:rsidRDefault="003B3B64" w:rsidP="00133842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MF uzavřelo </w:t>
      </w:r>
      <w:r w:rsidR="00EF573D" w:rsidRPr="00EC49E0">
        <w:rPr>
          <w:rFonts w:ascii="Arial" w:hAnsi="Arial" w:cs="Arial"/>
        </w:rPr>
        <w:t xml:space="preserve">v roce 2000 </w:t>
      </w:r>
      <w:r w:rsidRPr="00EC49E0">
        <w:rPr>
          <w:rFonts w:ascii="Arial" w:hAnsi="Arial" w:cs="Arial"/>
        </w:rPr>
        <w:t>na základě usnesení vlády</w:t>
      </w:r>
      <w:r w:rsidR="0065075A">
        <w:rPr>
          <w:rFonts w:ascii="Arial" w:hAnsi="Arial" w:cs="Arial"/>
        </w:rPr>
        <w:t xml:space="preserve"> </w:t>
      </w:r>
      <w:r w:rsidR="00211AA4" w:rsidRPr="00EC49E0">
        <w:rPr>
          <w:rFonts w:ascii="Arial" w:hAnsi="Arial" w:cs="Arial"/>
        </w:rPr>
        <w:t xml:space="preserve">ČR </w:t>
      </w:r>
      <w:r w:rsidR="007576F9" w:rsidRPr="00CF6CBD">
        <w:rPr>
          <w:rFonts w:ascii="Arial" w:hAnsi="Arial" w:cs="Arial"/>
        </w:rPr>
        <w:t xml:space="preserve">ze dne 15. </w:t>
      </w:r>
      <w:r w:rsidR="007576F9">
        <w:rPr>
          <w:rFonts w:ascii="Arial" w:hAnsi="Arial" w:cs="Arial"/>
        </w:rPr>
        <w:t>března</w:t>
      </w:r>
      <w:r w:rsidR="007576F9" w:rsidRPr="00CF6CBD">
        <w:rPr>
          <w:rFonts w:ascii="Arial" w:hAnsi="Arial" w:cs="Arial"/>
        </w:rPr>
        <w:t xml:space="preserve"> 2000</w:t>
      </w:r>
      <w:r w:rsidR="007576F9" w:rsidRPr="00EC49E0">
        <w:rPr>
          <w:rFonts w:ascii="Arial" w:hAnsi="Arial" w:cs="Arial"/>
        </w:rPr>
        <w:t xml:space="preserve"> </w:t>
      </w:r>
      <w:r w:rsidR="003C1416" w:rsidRPr="00CF6CBD">
        <w:rPr>
          <w:rFonts w:ascii="Arial" w:hAnsi="Arial" w:cs="Arial"/>
        </w:rPr>
        <w:t>č.</w:t>
      </w:r>
      <w:r w:rsidR="00211AA4">
        <w:rPr>
          <w:rFonts w:ascii="Arial" w:hAnsi="Arial" w:cs="Arial"/>
        </w:rPr>
        <w:t> </w:t>
      </w:r>
      <w:r w:rsidR="003C1416" w:rsidRPr="00CF6CBD">
        <w:rPr>
          <w:rFonts w:ascii="Arial" w:hAnsi="Arial" w:cs="Arial"/>
        </w:rPr>
        <w:t xml:space="preserve">285 </w:t>
      </w:r>
      <w:r w:rsidRPr="00EC49E0">
        <w:rPr>
          <w:rFonts w:ascii="Arial" w:hAnsi="Arial" w:cs="Arial"/>
        </w:rPr>
        <w:t>dvě smlouvy o postoupení pohledávek</w:t>
      </w:r>
      <w:r w:rsidR="00424836" w:rsidRPr="00EC49E0">
        <w:rPr>
          <w:rFonts w:ascii="Arial" w:hAnsi="Arial" w:cs="Arial"/>
        </w:rPr>
        <w:t xml:space="preserve"> </w:t>
      </w:r>
      <w:r w:rsidR="006D3771" w:rsidRPr="00EC49E0">
        <w:rPr>
          <w:rFonts w:ascii="Arial" w:hAnsi="Arial" w:cs="Arial"/>
        </w:rPr>
        <w:t>za Ruskou federací v nominální výši 34 mil. USD</w:t>
      </w:r>
      <w:r w:rsidRPr="00EC49E0">
        <w:rPr>
          <w:rFonts w:ascii="Arial" w:hAnsi="Arial" w:cs="Arial"/>
        </w:rPr>
        <w:t>. Úhrada</w:t>
      </w:r>
      <w:r w:rsidR="006D3771" w:rsidRPr="00EC49E0">
        <w:rPr>
          <w:rFonts w:ascii="Arial" w:hAnsi="Arial" w:cs="Arial"/>
        </w:rPr>
        <w:t xml:space="preserve"> za tyto pohledávky</w:t>
      </w:r>
      <w:r w:rsidRPr="00EC49E0">
        <w:rPr>
          <w:rFonts w:ascii="Arial" w:hAnsi="Arial" w:cs="Arial"/>
        </w:rPr>
        <w:t xml:space="preserve"> ve výši 10,2 mil. USD nebyla ve smlouvách nijak zajištěna. </w:t>
      </w:r>
      <w:proofErr w:type="spellStart"/>
      <w:r w:rsidR="006D3771" w:rsidRPr="00EC49E0">
        <w:rPr>
          <w:rFonts w:ascii="Arial" w:hAnsi="Arial" w:cs="Arial"/>
        </w:rPr>
        <w:t>Deblokátor</w:t>
      </w:r>
      <w:proofErr w:type="spellEnd"/>
      <w:r w:rsidR="006D3771" w:rsidRPr="00EC49E0">
        <w:rPr>
          <w:rFonts w:ascii="Arial" w:hAnsi="Arial" w:cs="Arial"/>
        </w:rPr>
        <w:t xml:space="preserve"> </w:t>
      </w:r>
      <w:r w:rsidR="00211AA4">
        <w:rPr>
          <w:rFonts w:ascii="Arial" w:hAnsi="Arial" w:cs="Arial"/>
        </w:rPr>
        <w:t xml:space="preserve">v rozporu se smlouvou </w:t>
      </w:r>
      <w:r w:rsidR="006D3771" w:rsidRPr="00EC49E0">
        <w:rPr>
          <w:rFonts w:ascii="Arial" w:hAnsi="Arial" w:cs="Arial"/>
        </w:rPr>
        <w:t xml:space="preserve">pohledávku neuhradil a </w:t>
      </w:r>
      <w:r w:rsidRPr="00EC49E0">
        <w:rPr>
          <w:rFonts w:ascii="Arial" w:hAnsi="Arial" w:cs="Arial"/>
        </w:rPr>
        <w:t>MF</w:t>
      </w:r>
      <w:r w:rsidR="006D3771" w:rsidRPr="00EC49E0">
        <w:rPr>
          <w:rFonts w:ascii="Arial" w:hAnsi="Arial" w:cs="Arial"/>
        </w:rPr>
        <w:t xml:space="preserve"> </w:t>
      </w:r>
      <w:r w:rsidR="00186265">
        <w:rPr>
          <w:rFonts w:ascii="Arial" w:hAnsi="Arial" w:cs="Arial"/>
        </w:rPr>
        <w:t>s </w:t>
      </w:r>
      <w:r w:rsidR="006D3771" w:rsidRPr="00EC49E0">
        <w:rPr>
          <w:rFonts w:ascii="Arial" w:hAnsi="Arial" w:cs="Arial"/>
        </w:rPr>
        <w:t>ním</w:t>
      </w:r>
      <w:r w:rsidRPr="00EC49E0">
        <w:rPr>
          <w:rFonts w:ascii="Arial" w:hAnsi="Arial" w:cs="Arial"/>
        </w:rPr>
        <w:t xml:space="preserve"> uzavřelo </w:t>
      </w:r>
      <w:r w:rsidR="006D3771" w:rsidRPr="00EC49E0">
        <w:rPr>
          <w:rFonts w:ascii="Arial" w:hAnsi="Arial" w:cs="Arial"/>
        </w:rPr>
        <w:t>v roce 2009 dohodu o</w:t>
      </w:r>
      <w:r w:rsidR="00B75FAA">
        <w:rPr>
          <w:rFonts w:ascii="Arial" w:hAnsi="Arial" w:cs="Arial"/>
        </w:rPr>
        <w:t> </w:t>
      </w:r>
      <w:r w:rsidR="006D3771" w:rsidRPr="00EC49E0">
        <w:rPr>
          <w:rFonts w:ascii="Arial" w:hAnsi="Arial" w:cs="Arial"/>
        </w:rPr>
        <w:t>narovnání.</w:t>
      </w:r>
      <w:r w:rsidRPr="00EC49E0">
        <w:rPr>
          <w:rFonts w:ascii="Arial" w:hAnsi="Arial" w:cs="Arial"/>
        </w:rPr>
        <w:t xml:space="preserve"> </w:t>
      </w:r>
      <w:r w:rsidR="006D3771" w:rsidRPr="00EC49E0">
        <w:rPr>
          <w:rFonts w:ascii="Arial" w:hAnsi="Arial" w:cs="Arial"/>
        </w:rPr>
        <w:t>D</w:t>
      </w:r>
      <w:r w:rsidRPr="00EC49E0">
        <w:rPr>
          <w:rFonts w:ascii="Arial" w:hAnsi="Arial" w:cs="Arial"/>
        </w:rPr>
        <w:t>eblokátor z</w:t>
      </w:r>
      <w:r w:rsidR="00B93F3E" w:rsidRPr="00EC49E0">
        <w:rPr>
          <w:rFonts w:ascii="Arial" w:hAnsi="Arial" w:cs="Arial"/>
        </w:rPr>
        <w:t xml:space="preserve"> dohodnuté dlužné částky ve výši </w:t>
      </w:r>
      <w:r w:rsidR="00133842">
        <w:rPr>
          <w:rFonts w:ascii="Arial" w:hAnsi="Arial" w:cs="Arial"/>
        </w:rPr>
        <w:t xml:space="preserve">přesahující </w:t>
      </w:r>
      <w:r w:rsidRPr="00EC49E0">
        <w:rPr>
          <w:rFonts w:ascii="Arial" w:hAnsi="Arial" w:cs="Arial"/>
        </w:rPr>
        <w:t>17</w:t>
      </w:r>
      <w:r w:rsidR="00133842">
        <w:rPr>
          <w:rFonts w:ascii="Arial" w:hAnsi="Arial" w:cs="Arial"/>
        </w:rPr>
        <w:t>,5</w:t>
      </w:r>
      <w:r w:rsidRPr="00EC49E0">
        <w:rPr>
          <w:rFonts w:ascii="Arial" w:hAnsi="Arial" w:cs="Arial"/>
        </w:rPr>
        <w:t> </w:t>
      </w:r>
      <w:r w:rsidR="00133842">
        <w:rPr>
          <w:rFonts w:ascii="Arial" w:hAnsi="Arial" w:cs="Arial"/>
        </w:rPr>
        <w:t xml:space="preserve">mil. </w:t>
      </w:r>
      <w:r w:rsidRPr="00EC49E0">
        <w:rPr>
          <w:rFonts w:ascii="Arial" w:hAnsi="Arial" w:cs="Arial"/>
        </w:rPr>
        <w:t>U</w:t>
      </w:r>
      <w:r w:rsidR="006D3771" w:rsidRPr="00EC49E0">
        <w:rPr>
          <w:rFonts w:ascii="Arial" w:hAnsi="Arial" w:cs="Arial"/>
        </w:rPr>
        <w:t xml:space="preserve">SD uhradil pouze </w:t>
      </w:r>
      <w:r w:rsidR="00133842">
        <w:rPr>
          <w:rFonts w:ascii="Arial" w:hAnsi="Arial" w:cs="Arial"/>
        </w:rPr>
        <w:t>cca</w:t>
      </w:r>
      <w:r w:rsidR="00211AA4">
        <w:rPr>
          <w:rFonts w:ascii="Arial" w:hAnsi="Arial" w:cs="Arial"/>
        </w:rPr>
        <w:t> </w:t>
      </w:r>
      <w:r w:rsidR="006D3771" w:rsidRPr="00EC49E0">
        <w:rPr>
          <w:rFonts w:ascii="Arial" w:hAnsi="Arial" w:cs="Arial"/>
        </w:rPr>
        <w:t>124 tis. USD</w:t>
      </w:r>
      <w:r w:rsidR="00133842">
        <w:rPr>
          <w:rFonts w:ascii="Arial" w:hAnsi="Arial" w:cs="Arial"/>
        </w:rPr>
        <w:t>.</w:t>
      </w:r>
    </w:p>
    <w:p w:rsidR="00133842" w:rsidRPr="00EC49E0" w:rsidRDefault="00133842" w:rsidP="00133842">
      <w:pPr>
        <w:spacing w:after="0" w:line="240" w:lineRule="auto"/>
        <w:jc w:val="both"/>
        <w:rPr>
          <w:rFonts w:ascii="Arial" w:hAnsi="Arial" w:cs="Arial"/>
        </w:rPr>
      </w:pPr>
    </w:p>
    <w:p w:rsidR="003B3B64" w:rsidRDefault="003B3B64" w:rsidP="00133842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MF bez výběrového řízení uzavřelo v roce 2004 inkasní smlouvu </w:t>
      </w:r>
      <w:r w:rsidR="00186265">
        <w:rPr>
          <w:rFonts w:ascii="Arial" w:hAnsi="Arial" w:cs="Arial"/>
        </w:rPr>
        <w:t>s </w:t>
      </w:r>
      <w:proofErr w:type="spellStart"/>
      <w:r w:rsidRPr="00EC49E0">
        <w:rPr>
          <w:rFonts w:ascii="Arial" w:hAnsi="Arial" w:cs="Arial"/>
        </w:rPr>
        <w:t>deblokátorem</w:t>
      </w:r>
      <w:proofErr w:type="spellEnd"/>
      <w:r w:rsidRPr="00EC49E0">
        <w:rPr>
          <w:rFonts w:ascii="Arial" w:hAnsi="Arial" w:cs="Arial"/>
        </w:rPr>
        <w:t xml:space="preserve"> týkající se pohledávky </w:t>
      </w:r>
      <w:r w:rsidR="00E543F5">
        <w:rPr>
          <w:rFonts w:ascii="Arial" w:hAnsi="Arial" w:cs="Arial"/>
        </w:rPr>
        <w:t xml:space="preserve">za Íránem </w:t>
      </w:r>
      <w:r w:rsidRPr="00EC49E0">
        <w:rPr>
          <w:rFonts w:ascii="Arial" w:hAnsi="Arial" w:cs="Arial"/>
        </w:rPr>
        <w:t>ve výši 21 mil</w:t>
      </w:r>
      <w:r w:rsidR="003D00C7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USD. MF mělo dle inkasní smlouvy získat </w:t>
      </w:r>
      <w:r w:rsidR="006D3771" w:rsidRPr="00EC49E0">
        <w:rPr>
          <w:rFonts w:ascii="Arial" w:hAnsi="Arial" w:cs="Arial"/>
        </w:rPr>
        <w:t xml:space="preserve">přes </w:t>
      </w:r>
      <w:r w:rsidRPr="00EC49E0">
        <w:rPr>
          <w:rFonts w:ascii="Arial" w:hAnsi="Arial" w:cs="Arial"/>
        </w:rPr>
        <w:t>8</w:t>
      </w:r>
      <w:r w:rsidR="006D3771" w:rsidRPr="00EC49E0">
        <w:rPr>
          <w:rFonts w:ascii="Arial" w:hAnsi="Arial" w:cs="Arial"/>
        </w:rPr>
        <w:t>,6</w:t>
      </w:r>
      <w:r w:rsidR="0025362C">
        <w:rPr>
          <w:rFonts w:ascii="Arial" w:hAnsi="Arial" w:cs="Arial"/>
        </w:rPr>
        <w:t> </w:t>
      </w:r>
      <w:r w:rsidR="006D3771" w:rsidRPr="00EC49E0">
        <w:rPr>
          <w:rFonts w:ascii="Arial" w:hAnsi="Arial" w:cs="Arial"/>
        </w:rPr>
        <w:t>mil.</w:t>
      </w:r>
      <w:r w:rsidR="00133842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 xml:space="preserve">USD. Přestože MF do konce roku 2004 žádnou úhradu od deblokátora neobdrželo, uzavřelo s ním dodatek, </w:t>
      </w:r>
      <w:r w:rsidR="00577DCD">
        <w:rPr>
          <w:rFonts w:ascii="Arial" w:hAnsi="Arial" w:cs="Arial"/>
        </w:rPr>
        <w:t xml:space="preserve">který případnou úhradu posunul </w:t>
      </w:r>
      <w:r w:rsidRPr="00EC49E0">
        <w:rPr>
          <w:rFonts w:ascii="Arial" w:hAnsi="Arial" w:cs="Arial"/>
        </w:rPr>
        <w:t>na neurčitý termín</w:t>
      </w:r>
      <w:r w:rsidR="00DA31CB">
        <w:rPr>
          <w:rFonts w:ascii="Arial" w:hAnsi="Arial" w:cs="Arial"/>
        </w:rPr>
        <w:t xml:space="preserve">. </w:t>
      </w:r>
    </w:p>
    <w:p w:rsidR="00133842" w:rsidRPr="00EC49E0" w:rsidRDefault="00133842" w:rsidP="00133842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133842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MF bez výběrového řízení uzavřelo v roce </w:t>
      </w:r>
      <w:r w:rsidR="00E543F5">
        <w:rPr>
          <w:rFonts w:ascii="Arial" w:hAnsi="Arial" w:cs="Arial"/>
        </w:rPr>
        <w:t>2000</w:t>
      </w:r>
      <w:r w:rsidRPr="00EC49E0">
        <w:rPr>
          <w:rFonts w:ascii="Arial" w:hAnsi="Arial" w:cs="Arial"/>
        </w:rPr>
        <w:t xml:space="preserve"> smlouvu s deblokátorem a prodalo část pohledávky </w:t>
      </w:r>
      <w:r w:rsidR="00E543F5">
        <w:rPr>
          <w:rFonts w:ascii="Arial" w:hAnsi="Arial" w:cs="Arial"/>
        </w:rPr>
        <w:t xml:space="preserve">za bývalou Jugoslávií </w:t>
      </w:r>
      <w:r w:rsidRPr="00EC49E0">
        <w:rPr>
          <w:rFonts w:ascii="Arial" w:hAnsi="Arial" w:cs="Arial"/>
        </w:rPr>
        <w:t>za 5 % její nominální hodnoty (inkasovalo 686 0</w:t>
      </w:r>
      <w:r w:rsidR="00E543F5">
        <w:rPr>
          <w:rFonts w:ascii="Arial" w:hAnsi="Arial" w:cs="Arial"/>
        </w:rPr>
        <w:t>2</w:t>
      </w:r>
      <w:r w:rsidRPr="00EC49E0">
        <w:rPr>
          <w:rFonts w:ascii="Arial" w:hAnsi="Arial" w:cs="Arial"/>
        </w:rPr>
        <w:t xml:space="preserve">4 USD). </w:t>
      </w:r>
      <w:r w:rsidR="00DA31CB">
        <w:rPr>
          <w:rFonts w:ascii="Arial" w:hAnsi="Arial" w:cs="Arial"/>
        </w:rPr>
        <w:t>D</w:t>
      </w:r>
      <w:r w:rsidR="00DA31CB" w:rsidRPr="00EC49E0">
        <w:rPr>
          <w:rFonts w:ascii="Arial" w:hAnsi="Arial" w:cs="Arial"/>
        </w:rPr>
        <w:t xml:space="preserve">alší část pohledávky však </w:t>
      </w:r>
      <w:r w:rsidR="00DA31CB">
        <w:rPr>
          <w:rFonts w:ascii="Arial" w:hAnsi="Arial" w:cs="Arial"/>
        </w:rPr>
        <w:t>v</w:t>
      </w:r>
      <w:r w:rsidRPr="00EC49E0">
        <w:rPr>
          <w:rFonts w:ascii="Arial" w:hAnsi="Arial" w:cs="Arial"/>
        </w:rPr>
        <w:t xml:space="preserve"> roce 2000 </w:t>
      </w:r>
      <w:r w:rsidR="00DA31CB" w:rsidRPr="00EC49E0">
        <w:rPr>
          <w:rFonts w:ascii="Arial" w:hAnsi="Arial" w:cs="Arial"/>
        </w:rPr>
        <w:t xml:space="preserve">za stejných podmínek </w:t>
      </w:r>
      <w:r w:rsidR="00DA31CB">
        <w:rPr>
          <w:rFonts w:ascii="Arial" w:hAnsi="Arial" w:cs="Arial"/>
        </w:rPr>
        <w:t xml:space="preserve">již MF </w:t>
      </w:r>
      <w:r w:rsidR="00EC49E0" w:rsidRPr="00EC49E0">
        <w:rPr>
          <w:rFonts w:ascii="Arial" w:hAnsi="Arial" w:cs="Arial"/>
        </w:rPr>
        <w:t xml:space="preserve">odmítlo prodat s poukazem na nevýhodnost. </w:t>
      </w:r>
      <w:r w:rsidRPr="00EC49E0">
        <w:rPr>
          <w:rFonts w:ascii="Arial" w:hAnsi="Arial" w:cs="Arial"/>
        </w:rPr>
        <w:t>Následně MF s </w:t>
      </w:r>
      <w:proofErr w:type="spellStart"/>
      <w:r w:rsidRPr="00EC49E0">
        <w:rPr>
          <w:rFonts w:ascii="Arial" w:hAnsi="Arial" w:cs="Arial"/>
        </w:rPr>
        <w:t>deblokátorem</w:t>
      </w:r>
      <w:proofErr w:type="spellEnd"/>
      <w:r w:rsidRPr="00EC49E0">
        <w:rPr>
          <w:rFonts w:ascii="Arial" w:hAnsi="Arial" w:cs="Arial"/>
        </w:rPr>
        <w:t xml:space="preserve"> uzavřelo další smlouvy, které byly velmi nejednoznačné</w:t>
      </w:r>
      <w:r w:rsidR="006D3771" w:rsidRPr="00EC49E0">
        <w:rPr>
          <w:rFonts w:ascii="Arial" w:hAnsi="Arial" w:cs="Arial"/>
        </w:rPr>
        <w:t>,</w:t>
      </w:r>
      <w:r w:rsidRPr="00EC49E0">
        <w:rPr>
          <w:rFonts w:ascii="Arial" w:hAnsi="Arial" w:cs="Arial"/>
        </w:rPr>
        <w:t xml:space="preserve"> a</w:t>
      </w:r>
      <w:r w:rsidR="00133842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jedna z nich se řídila právem cizího státu. Tento postup MF měl za následek nákladný soudní spor v</w:t>
      </w:r>
      <w:r w:rsidR="00EC49E0" w:rsidRPr="00EC49E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zahranič</w:t>
      </w:r>
      <w:r w:rsidR="00EC49E0" w:rsidRPr="00EC49E0">
        <w:rPr>
          <w:rFonts w:ascii="Arial" w:hAnsi="Arial" w:cs="Arial"/>
        </w:rPr>
        <w:t>í, který dosud nebyl uzavřen.</w:t>
      </w:r>
    </w:p>
    <w:p w:rsidR="00424836" w:rsidRPr="00EC49E0" w:rsidRDefault="00424836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CA14A8" w:rsidP="00186265">
      <w:pPr>
        <w:spacing w:after="40" w:line="240" w:lineRule="auto"/>
        <w:jc w:val="both"/>
        <w:rPr>
          <w:rFonts w:ascii="Arial" w:hAnsi="Arial" w:cs="Arial"/>
          <w:b/>
          <w:i/>
        </w:rPr>
      </w:pPr>
      <w:r w:rsidRPr="00EC49E0">
        <w:rPr>
          <w:rFonts w:ascii="Arial" w:hAnsi="Arial" w:cs="Arial"/>
          <w:b/>
        </w:rPr>
        <w:t xml:space="preserve">Tabulka č. </w:t>
      </w:r>
      <w:r w:rsidR="00CF6800" w:rsidRPr="00EC49E0">
        <w:rPr>
          <w:rFonts w:ascii="Arial" w:hAnsi="Arial" w:cs="Arial"/>
          <w:b/>
        </w:rPr>
        <w:t>4</w:t>
      </w:r>
      <w:r w:rsidRPr="00EC49E0">
        <w:rPr>
          <w:rFonts w:ascii="Arial" w:hAnsi="Arial" w:cs="Arial"/>
          <w:b/>
        </w:rPr>
        <w:t xml:space="preserve"> – Údaje </w:t>
      </w:r>
      <w:r w:rsidR="00AD09D3">
        <w:rPr>
          <w:rFonts w:ascii="Arial" w:hAnsi="Arial" w:cs="Arial"/>
          <w:b/>
        </w:rPr>
        <w:t xml:space="preserve">týkající se kontrolovaných </w:t>
      </w:r>
      <w:r w:rsidRPr="00EC49E0">
        <w:rPr>
          <w:rFonts w:ascii="Arial" w:hAnsi="Arial" w:cs="Arial"/>
          <w:b/>
        </w:rPr>
        <w:t>deblokací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843"/>
        <w:gridCol w:w="1842"/>
      </w:tblGrid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>Stát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>Nominální částka pohledávky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>Datum uzavření smlouvy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D829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 xml:space="preserve">Závazek </w:t>
            </w:r>
            <w:proofErr w:type="spellStart"/>
            <w:r w:rsidRPr="00923320">
              <w:rPr>
                <w:rFonts w:ascii="Arial" w:hAnsi="Arial" w:cs="Arial"/>
                <w:b/>
                <w:sz w:val="18"/>
                <w:szCs w:val="18"/>
              </w:rPr>
              <w:t>deblokátora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23320" w:rsidRDefault="008C6DE4" w:rsidP="00923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 xml:space="preserve">Uhrazeno </w:t>
            </w:r>
            <w:r w:rsidR="00FD38AF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Pr="009233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C6DE4" w:rsidRPr="00923320" w:rsidRDefault="008C6DE4" w:rsidP="00923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20">
              <w:rPr>
                <w:rFonts w:ascii="Arial" w:hAnsi="Arial" w:cs="Arial"/>
                <w:b/>
                <w:sz w:val="18"/>
                <w:szCs w:val="18"/>
              </w:rPr>
              <w:t>k 31. 12. 2012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Írán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4C646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 xml:space="preserve">21 670 155 </w:t>
            </w:r>
            <w:proofErr w:type="spellStart"/>
            <w:r w:rsidRPr="00923320">
              <w:rPr>
                <w:rFonts w:ascii="Arial" w:hAnsi="Arial" w:cs="Arial"/>
                <w:sz w:val="18"/>
                <w:szCs w:val="18"/>
              </w:rPr>
              <w:t>clg</w:t>
            </w:r>
            <w:proofErr w:type="spellEnd"/>
            <w:r w:rsidRPr="00923320">
              <w:rPr>
                <w:rFonts w:ascii="Arial" w:hAnsi="Arial" w:cs="Arial"/>
                <w:sz w:val="18"/>
                <w:szCs w:val="18"/>
              </w:rPr>
              <w:t>.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19. 1. 2004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8 688 062 USD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Jugoslávie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54 881 926 clg.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7. 4. 2000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686 024 USD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686 024 USD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Afghánistán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4C646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 xml:space="preserve">31 131 716 </w:t>
            </w:r>
            <w:proofErr w:type="spellStart"/>
            <w:r w:rsidRPr="00923320">
              <w:rPr>
                <w:rFonts w:ascii="Arial" w:hAnsi="Arial" w:cs="Arial"/>
                <w:sz w:val="18"/>
                <w:szCs w:val="18"/>
              </w:rPr>
              <w:t>clg</w:t>
            </w:r>
            <w:proofErr w:type="spellEnd"/>
            <w:r w:rsidRPr="00923320">
              <w:rPr>
                <w:rFonts w:ascii="Arial" w:hAnsi="Arial" w:cs="Arial"/>
                <w:sz w:val="18"/>
                <w:szCs w:val="18"/>
              </w:rPr>
              <w:t>.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23. 1. 2002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4 736 369 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4 736 369 Kč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D829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Tanz</w:t>
            </w:r>
            <w:r w:rsidR="00D829F6">
              <w:rPr>
                <w:rFonts w:ascii="Arial" w:hAnsi="Arial" w:cs="Arial"/>
                <w:sz w:val="18"/>
                <w:szCs w:val="18"/>
              </w:rPr>
              <w:t>a</w:t>
            </w:r>
            <w:r w:rsidRPr="0092332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1 903 128,75 CHF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21 431 895 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Rusko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20,375 mil</w:t>
            </w:r>
            <w:r w:rsidR="003D00C7">
              <w:rPr>
                <w:rFonts w:ascii="Arial" w:hAnsi="Arial" w:cs="Arial"/>
                <w:sz w:val="18"/>
                <w:szCs w:val="18"/>
              </w:rPr>
              <w:t>.</w:t>
            </w:r>
            <w:r w:rsidRPr="00923320">
              <w:rPr>
                <w:rFonts w:ascii="Arial" w:hAnsi="Arial" w:cs="Arial"/>
                <w:sz w:val="18"/>
                <w:szCs w:val="18"/>
              </w:rPr>
              <w:t xml:space="preserve">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1.</w:t>
            </w:r>
            <w:r w:rsidR="00923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320">
              <w:rPr>
                <w:rFonts w:ascii="Arial" w:hAnsi="Arial" w:cs="Arial"/>
                <w:sz w:val="18"/>
                <w:szCs w:val="18"/>
              </w:rPr>
              <w:t>12.</w:t>
            </w:r>
            <w:r w:rsidR="00923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320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4 924 568 USD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Rusko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34 mil</w:t>
            </w:r>
            <w:r w:rsidR="003D00C7">
              <w:rPr>
                <w:rFonts w:ascii="Arial" w:hAnsi="Arial" w:cs="Arial"/>
                <w:sz w:val="18"/>
                <w:szCs w:val="18"/>
              </w:rPr>
              <w:t>.</w:t>
            </w:r>
            <w:r w:rsidRPr="00923320">
              <w:rPr>
                <w:rFonts w:ascii="Arial" w:hAnsi="Arial" w:cs="Arial"/>
                <w:sz w:val="18"/>
                <w:szCs w:val="18"/>
              </w:rPr>
              <w:t xml:space="preserve">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15. 3. 2000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10,2 mil. USD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124 805 USD</w:t>
            </w:r>
          </w:p>
        </w:tc>
      </w:tr>
      <w:tr w:rsidR="008C6DE4" w:rsidRPr="00EC49E0" w:rsidTr="00DD308D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Rusko</w:t>
            </w:r>
          </w:p>
        </w:tc>
        <w:tc>
          <w:tcPr>
            <w:tcW w:w="2126" w:type="dxa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6 764 751,60 USD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27. 9. 1995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1 432 873 USD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DE4" w:rsidRPr="00923320" w:rsidRDefault="008C6DE4" w:rsidP="009233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B3B64" w:rsidRPr="00923320" w:rsidRDefault="00AB5D9A" w:rsidP="003B3B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04FD">
        <w:rPr>
          <w:rFonts w:ascii="Arial" w:hAnsi="Arial" w:cs="Arial"/>
          <w:b/>
          <w:sz w:val="18"/>
          <w:szCs w:val="18"/>
        </w:rPr>
        <w:t>Zdroj</w:t>
      </w:r>
      <w:r w:rsidRPr="00F35773">
        <w:rPr>
          <w:rFonts w:ascii="Arial" w:hAnsi="Arial" w:cs="Arial"/>
          <w:b/>
          <w:sz w:val="18"/>
          <w:szCs w:val="18"/>
        </w:rPr>
        <w:t>:</w:t>
      </w:r>
      <w:r w:rsidR="00E34E0C" w:rsidRPr="00923320">
        <w:rPr>
          <w:rFonts w:ascii="Arial" w:hAnsi="Arial" w:cs="Arial"/>
          <w:sz w:val="18"/>
          <w:szCs w:val="18"/>
        </w:rPr>
        <w:t xml:space="preserve"> dokumentace MF</w:t>
      </w:r>
      <w:r w:rsidR="006117A0">
        <w:rPr>
          <w:rFonts w:ascii="Arial" w:hAnsi="Arial" w:cs="Arial"/>
          <w:sz w:val="18"/>
          <w:szCs w:val="18"/>
        </w:rPr>
        <w:t>.</w:t>
      </w:r>
    </w:p>
    <w:p w:rsidR="008E2C4F" w:rsidRPr="00EC49E0" w:rsidRDefault="008E2C4F" w:rsidP="003B3B64">
      <w:pPr>
        <w:spacing w:after="0" w:line="240" w:lineRule="auto"/>
        <w:jc w:val="both"/>
        <w:rPr>
          <w:rFonts w:ascii="Arial" w:hAnsi="Arial" w:cs="Arial"/>
        </w:rPr>
      </w:pPr>
    </w:p>
    <w:p w:rsidR="00F82374" w:rsidRDefault="00A27880" w:rsidP="003B3B64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Z</w:t>
      </w:r>
      <w:r w:rsidR="008E2C4F" w:rsidRPr="00EC49E0">
        <w:rPr>
          <w:rFonts w:ascii="Arial" w:hAnsi="Arial" w:cs="Arial"/>
        </w:rPr>
        <w:t> </w:t>
      </w:r>
      <w:r w:rsidR="00F82374">
        <w:rPr>
          <w:rFonts w:ascii="Arial" w:hAnsi="Arial" w:cs="Arial"/>
        </w:rPr>
        <w:t>t</w:t>
      </w:r>
      <w:r w:rsidR="008E2C4F" w:rsidRPr="00EC49E0">
        <w:rPr>
          <w:rFonts w:ascii="Arial" w:hAnsi="Arial" w:cs="Arial"/>
        </w:rPr>
        <w:t xml:space="preserve">abulky č. 4 </w:t>
      </w:r>
      <w:r w:rsidRPr="00EC49E0">
        <w:rPr>
          <w:rFonts w:ascii="Arial" w:hAnsi="Arial" w:cs="Arial"/>
        </w:rPr>
        <w:t>vyplývá, že</w:t>
      </w:r>
      <w:r w:rsidR="00EA208D" w:rsidRPr="00EC49E0">
        <w:rPr>
          <w:rFonts w:ascii="Arial" w:hAnsi="Arial" w:cs="Arial"/>
        </w:rPr>
        <w:t xml:space="preserve"> </w:t>
      </w:r>
      <w:r w:rsidR="0065075A">
        <w:rPr>
          <w:rFonts w:ascii="Arial" w:hAnsi="Arial" w:cs="Arial"/>
        </w:rPr>
        <w:t>způsob</w:t>
      </w:r>
      <w:r w:rsidR="004E3C7B" w:rsidRPr="00EC49E0">
        <w:rPr>
          <w:rFonts w:ascii="Arial" w:hAnsi="Arial" w:cs="Arial"/>
        </w:rPr>
        <w:t xml:space="preserve"> vymáhání pohledávek </w:t>
      </w:r>
      <w:r w:rsidR="0065075A">
        <w:rPr>
          <w:rFonts w:ascii="Arial" w:hAnsi="Arial" w:cs="Arial"/>
        </w:rPr>
        <w:t xml:space="preserve">prostřednictvím </w:t>
      </w:r>
      <w:r w:rsidRPr="00EC49E0">
        <w:rPr>
          <w:rFonts w:ascii="Arial" w:hAnsi="Arial" w:cs="Arial"/>
        </w:rPr>
        <w:t>deblokátorů</w:t>
      </w:r>
      <w:r w:rsidR="004E3C7B" w:rsidRPr="00EC49E0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znamenal</w:t>
      </w:r>
      <w:r w:rsidR="00F82374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m</w:t>
      </w:r>
      <w:r w:rsidR="004E3C7B" w:rsidRPr="00EC49E0">
        <w:rPr>
          <w:rFonts w:ascii="Arial" w:hAnsi="Arial" w:cs="Arial"/>
        </w:rPr>
        <w:t>i</w:t>
      </w:r>
      <w:r w:rsidRPr="00EC49E0">
        <w:rPr>
          <w:rFonts w:ascii="Arial" w:hAnsi="Arial" w:cs="Arial"/>
        </w:rPr>
        <w:t xml:space="preserve">nimální </w:t>
      </w:r>
      <w:r w:rsidR="00EC49E0">
        <w:rPr>
          <w:rFonts w:ascii="Arial" w:hAnsi="Arial" w:cs="Arial"/>
        </w:rPr>
        <w:t>přínos z hlediska příjmů státního rozpočtu</w:t>
      </w:r>
      <w:r w:rsidR="00DA31CB">
        <w:rPr>
          <w:rFonts w:ascii="Arial" w:hAnsi="Arial" w:cs="Arial"/>
        </w:rPr>
        <w:t>.</w:t>
      </w:r>
    </w:p>
    <w:p w:rsidR="00DA31CB" w:rsidRDefault="00DA31CB" w:rsidP="003B3B64">
      <w:pPr>
        <w:spacing w:after="0" w:line="240" w:lineRule="auto"/>
        <w:jc w:val="both"/>
        <w:rPr>
          <w:rFonts w:ascii="Arial" w:hAnsi="Arial" w:cs="Arial"/>
          <w:b/>
        </w:rPr>
      </w:pPr>
    </w:p>
    <w:p w:rsidR="003B3B64" w:rsidRPr="00D4141B" w:rsidRDefault="003B3B64" w:rsidP="003B3B6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4141B">
        <w:rPr>
          <w:rFonts w:ascii="Arial" w:hAnsi="Arial" w:cs="Arial"/>
          <w:b/>
        </w:rPr>
        <w:t>3</w:t>
      </w:r>
      <w:r w:rsidR="00F82374" w:rsidRPr="00D4141B">
        <w:rPr>
          <w:rFonts w:ascii="Arial" w:hAnsi="Arial" w:cs="Arial"/>
          <w:b/>
        </w:rPr>
        <w:t xml:space="preserve">. </w:t>
      </w:r>
      <w:r w:rsidRPr="00D4141B">
        <w:rPr>
          <w:rFonts w:ascii="Arial" w:hAnsi="Arial" w:cs="Arial"/>
          <w:b/>
        </w:rPr>
        <w:t>Externí služby při správě zahraničních pohledávek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  <w:b/>
        </w:rPr>
      </w:pPr>
    </w:p>
    <w:p w:rsidR="00E8594A" w:rsidRDefault="00AB5D9A" w:rsidP="00D4141B">
      <w:pPr>
        <w:spacing w:after="12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  <w:b/>
        </w:rPr>
        <w:t>Sml</w:t>
      </w:r>
      <w:r w:rsidR="00EA208D" w:rsidRPr="00EC49E0">
        <w:rPr>
          <w:rFonts w:ascii="Arial" w:hAnsi="Arial" w:cs="Arial"/>
          <w:b/>
        </w:rPr>
        <w:t xml:space="preserve">uvní vztahy </w:t>
      </w:r>
      <w:r w:rsidRPr="00EC49E0">
        <w:rPr>
          <w:rFonts w:ascii="Arial" w:hAnsi="Arial" w:cs="Arial"/>
          <w:b/>
        </w:rPr>
        <w:t xml:space="preserve">s </w:t>
      </w:r>
      <w:r w:rsidR="006D3771" w:rsidRPr="00EC49E0">
        <w:rPr>
          <w:rFonts w:ascii="Arial" w:hAnsi="Arial" w:cs="Arial"/>
          <w:b/>
        </w:rPr>
        <w:t>bankou</w:t>
      </w:r>
    </w:p>
    <w:p w:rsidR="00BC1CE4" w:rsidRPr="00F82374" w:rsidRDefault="003B3B64" w:rsidP="00F82374">
      <w:pPr>
        <w:spacing w:after="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</w:rPr>
        <w:t xml:space="preserve">MF uzavřelo </w:t>
      </w:r>
      <w:r w:rsidR="00186265">
        <w:rPr>
          <w:rFonts w:ascii="Arial" w:hAnsi="Arial" w:cs="Arial"/>
        </w:rPr>
        <w:t>v </w:t>
      </w:r>
      <w:r w:rsidRPr="00EC49E0">
        <w:rPr>
          <w:rFonts w:ascii="Arial" w:hAnsi="Arial" w:cs="Arial"/>
        </w:rPr>
        <w:t xml:space="preserve">roce 1997 </w:t>
      </w:r>
      <w:r w:rsidR="00BC1CE4" w:rsidRPr="00EC49E0">
        <w:rPr>
          <w:rFonts w:ascii="Arial" w:hAnsi="Arial" w:cs="Arial"/>
        </w:rPr>
        <w:t xml:space="preserve">s bankou </w:t>
      </w:r>
      <w:r w:rsidR="00F407D3">
        <w:rPr>
          <w:rFonts w:ascii="Arial" w:hAnsi="Arial" w:cs="Arial"/>
          <w:i/>
        </w:rPr>
        <w:t>s</w:t>
      </w:r>
      <w:r w:rsidRPr="00EC49E0">
        <w:rPr>
          <w:rFonts w:ascii="Arial" w:hAnsi="Arial" w:cs="Arial"/>
          <w:i/>
        </w:rPr>
        <w:t>mlouvu o službách poskytovaných v souvislosti se správou civilních vládních úvěrů a jiných státních pohledávek vůči zahraničí a o úhradách za tyto služb</w:t>
      </w:r>
      <w:r w:rsidR="000E2F1E" w:rsidRPr="00EC49E0">
        <w:rPr>
          <w:rFonts w:ascii="Arial" w:hAnsi="Arial" w:cs="Arial"/>
          <w:i/>
        </w:rPr>
        <w:t>y</w:t>
      </w:r>
      <w:r w:rsidR="00BC1CE4" w:rsidRPr="00D4141B">
        <w:rPr>
          <w:rFonts w:ascii="Arial" w:hAnsi="Arial" w:cs="Arial"/>
        </w:rPr>
        <w:t xml:space="preserve">. </w:t>
      </w:r>
      <w:r w:rsidRPr="00EC49E0">
        <w:rPr>
          <w:rFonts w:ascii="Arial" w:hAnsi="Arial" w:cs="Arial"/>
        </w:rPr>
        <w:t xml:space="preserve">Smlouva stanovila zejména rozsah služeb poskytovaných </w:t>
      </w:r>
      <w:r w:rsidR="0024067F">
        <w:rPr>
          <w:rFonts w:ascii="Arial" w:hAnsi="Arial" w:cs="Arial"/>
        </w:rPr>
        <w:t>Ministerstvu financí</w:t>
      </w:r>
      <w:r w:rsidRPr="00EC49E0">
        <w:rPr>
          <w:rFonts w:ascii="Arial" w:hAnsi="Arial" w:cs="Arial"/>
        </w:rPr>
        <w:t xml:space="preserve"> a</w:t>
      </w:r>
      <w:r w:rsidR="0092332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výši úhrady za tyto služby</w:t>
      </w:r>
      <w:r w:rsidR="00556C2F" w:rsidRPr="00EC49E0">
        <w:rPr>
          <w:rFonts w:ascii="Arial" w:hAnsi="Arial" w:cs="Arial"/>
        </w:rPr>
        <w:t xml:space="preserve"> </w:t>
      </w:r>
      <w:r w:rsidR="00D06937">
        <w:rPr>
          <w:rFonts w:ascii="Arial" w:hAnsi="Arial" w:cs="Arial"/>
        </w:rPr>
        <w:t xml:space="preserve">– </w:t>
      </w:r>
      <w:r w:rsidR="00B62395" w:rsidRPr="00EC49E0">
        <w:rPr>
          <w:rFonts w:ascii="Arial" w:hAnsi="Arial" w:cs="Arial"/>
        </w:rPr>
        <w:t>c</w:t>
      </w:r>
      <w:r w:rsidRPr="00EC49E0">
        <w:rPr>
          <w:rFonts w:ascii="Arial" w:hAnsi="Arial" w:cs="Arial"/>
        </w:rPr>
        <w:t xml:space="preserve">elková výše roční odměny byla dohodnuta na částku </w:t>
      </w:r>
      <w:r w:rsidR="00BC1CE4" w:rsidRPr="00EC49E0">
        <w:rPr>
          <w:rFonts w:ascii="Arial" w:hAnsi="Arial" w:cs="Arial"/>
        </w:rPr>
        <w:t>40</w:t>
      </w:r>
      <w:r w:rsidR="0092332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mil.</w:t>
      </w:r>
      <w:r w:rsidR="0092332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Kč</w:t>
      </w:r>
      <w:r w:rsidR="003C1416">
        <w:rPr>
          <w:rFonts w:ascii="Arial" w:hAnsi="Arial" w:cs="Arial"/>
        </w:rPr>
        <w:t xml:space="preserve"> (bez DPH)</w:t>
      </w:r>
      <w:r w:rsidRPr="00EC49E0">
        <w:rPr>
          <w:rFonts w:ascii="Arial" w:hAnsi="Arial" w:cs="Arial"/>
        </w:rPr>
        <w:t xml:space="preserve">. V roce 2004 </w:t>
      </w:r>
      <w:r w:rsidR="00B62395" w:rsidRPr="00EC49E0">
        <w:rPr>
          <w:rFonts w:ascii="Arial" w:hAnsi="Arial" w:cs="Arial"/>
        </w:rPr>
        <w:t xml:space="preserve">byl uzavřen </w:t>
      </w:r>
      <w:r w:rsidRPr="00EC49E0">
        <w:rPr>
          <w:rFonts w:ascii="Arial" w:hAnsi="Arial" w:cs="Arial"/>
        </w:rPr>
        <w:t xml:space="preserve">dodatek </w:t>
      </w:r>
      <w:r w:rsidR="00B62395" w:rsidRPr="00EC49E0">
        <w:rPr>
          <w:rFonts w:ascii="Arial" w:hAnsi="Arial" w:cs="Arial"/>
        </w:rPr>
        <w:t xml:space="preserve">k uvedené smlouvě, na základě kterého </w:t>
      </w:r>
      <w:r w:rsidRPr="00EC49E0">
        <w:rPr>
          <w:rFonts w:ascii="Arial" w:hAnsi="Arial" w:cs="Arial"/>
        </w:rPr>
        <w:t xml:space="preserve">byl snížen rozsah poskytovaných služeb a snížena odměna na částku </w:t>
      </w:r>
      <w:r w:rsidR="00DA31CB">
        <w:rPr>
          <w:rFonts w:ascii="Arial" w:hAnsi="Arial" w:cs="Arial"/>
        </w:rPr>
        <w:t>cca</w:t>
      </w:r>
      <w:r w:rsidR="00E1097D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24</w:t>
      </w:r>
      <w:r w:rsidR="005B09B9" w:rsidRPr="00EC49E0">
        <w:rPr>
          <w:rFonts w:ascii="Arial" w:hAnsi="Arial" w:cs="Arial"/>
        </w:rPr>
        <w:t>,</w:t>
      </w:r>
      <w:r w:rsidRPr="00EC49E0">
        <w:rPr>
          <w:rFonts w:ascii="Arial" w:hAnsi="Arial" w:cs="Arial"/>
        </w:rPr>
        <w:t>4</w:t>
      </w:r>
      <w:r w:rsidR="00923320">
        <w:rPr>
          <w:rFonts w:ascii="Arial" w:hAnsi="Arial" w:cs="Arial"/>
        </w:rPr>
        <w:t> </w:t>
      </w:r>
      <w:r w:rsidR="005B09B9" w:rsidRPr="00EC49E0">
        <w:rPr>
          <w:rFonts w:ascii="Arial" w:hAnsi="Arial" w:cs="Arial"/>
        </w:rPr>
        <w:t>mil.</w:t>
      </w:r>
      <w:r w:rsidR="00E1097D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 xml:space="preserve">Kč </w:t>
      </w:r>
      <w:r w:rsidR="000E2F1E" w:rsidRPr="00EC49E0">
        <w:rPr>
          <w:rFonts w:ascii="Arial" w:hAnsi="Arial" w:cs="Arial"/>
        </w:rPr>
        <w:t xml:space="preserve">(bez </w:t>
      </w:r>
      <w:r w:rsidRPr="00EC49E0">
        <w:rPr>
          <w:rFonts w:ascii="Arial" w:hAnsi="Arial" w:cs="Arial"/>
        </w:rPr>
        <w:t>DPH</w:t>
      </w:r>
      <w:r w:rsidR="00B62395" w:rsidRPr="00EC49E0">
        <w:rPr>
          <w:rFonts w:ascii="Arial" w:hAnsi="Arial" w:cs="Arial"/>
        </w:rPr>
        <w:t>)</w:t>
      </w:r>
      <w:r w:rsidR="00BC1CE4" w:rsidRPr="00EC49E0">
        <w:rPr>
          <w:rFonts w:ascii="Arial" w:hAnsi="Arial" w:cs="Arial"/>
        </w:rPr>
        <w:t xml:space="preserve"> </w:t>
      </w:r>
      <w:r w:rsidR="009E2C16" w:rsidRPr="00EC49E0">
        <w:rPr>
          <w:rFonts w:ascii="Arial" w:hAnsi="Arial" w:cs="Arial"/>
        </w:rPr>
        <w:t>ročně</w:t>
      </w:r>
      <w:r w:rsidR="00C96EBB">
        <w:rPr>
          <w:rFonts w:ascii="Arial" w:hAnsi="Arial" w:cs="Arial"/>
        </w:rPr>
        <w:t>,</w:t>
      </w:r>
      <w:r w:rsidR="009E2C16" w:rsidRPr="00EC49E0">
        <w:rPr>
          <w:rFonts w:ascii="Arial" w:hAnsi="Arial" w:cs="Arial"/>
        </w:rPr>
        <w:t xml:space="preserve"> </w:t>
      </w:r>
      <w:r w:rsidR="00BC1CE4" w:rsidRPr="00EC49E0">
        <w:rPr>
          <w:rFonts w:ascii="Arial" w:hAnsi="Arial" w:cs="Arial"/>
        </w:rPr>
        <w:t>a</w:t>
      </w:r>
      <w:r w:rsidR="00DA31CB">
        <w:rPr>
          <w:rFonts w:ascii="Arial" w:hAnsi="Arial" w:cs="Arial"/>
        </w:rPr>
        <w:t> </w:t>
      </w:r>
      <w:r w:rsidR="00BC1CE4" w:rsidRPr="00EC49E0">
        <w:rPr>
          <w:rFonts w:ascii="Arial" w:hAnsi="Arial" w:cs="Arial"/>
        </w:rPr>
        <w:t>v</w:t>
      </w:r>
      <w:r w:rsidR="00DA31CB">
        <w:rPr>
          <w:rFonts w:ascii="Arial" w:hAnsi="Arial" w:cs="Arial"/>
        </w:rPr>
        <w:t> </w:t>
      </w:r>
      <w:r w:rsidR="00BC1CE4" w:rsidRPr="00EC49E0">
        <w:rPr>
          <w:rFonts w:ascii="Arial" w:hAnsi="Arial" w:cs="Arial"/>
        </w:rPr>
        <w:t>r</w:t>
      </w:r>
      <w:r w:rsidRPr="00EC49E0">
        <w:rPr>
          <w:rFonts w:ascii="Arial" w:hAnsi="Arial" w:cs="Arial"/>
        </w:rPr>
        <w:t xml:space="preserve">oce 2008 </w:t>
      </w:r>
      <w:r w:rsidR="00C96EBB">
        <w:rPr>
          <w:rFonts w:ascii="Arial" w:hAnsi="Arial" w:cs="Arial"/>
        </w:rPr>
        <w:t xml:space="preserve">byla odměna snížena dalším dodatkem </w:t>
      </w:r>
      <w:r w:rsidR="009E2C16">
        <w:rPr>
          <w:rFonts w:ascii="Arial" w:hAnsi="Arial" w:cs="Arial"/>
        </w:rPr>
        <w:t xml:space="preserve">na částku </w:t>
      </w:r>
      <w:r w:rsidR="00DA31CB">
        <w:rPr>
          <w:rFonts w:ascii="Arial" w:hAnsi="Arial" w:cs="Arial"/>
        </w:rPr>
        <w:t xml:space="preserve">cca </w:t>
      </w:r>
      <w:r w:rsidR="009E2C16">
        <w:rPr>
          <w:rFonts w:ascii="Arial" w:hAnsi="Arial" w:cs="Arial"/>
        </w:rPr>
        <w:t>17,1 mil. Kč (bez DPH)</w:t>
      </w:r>
      <w:r w:rsidR="005B09B9" w:rsidRPr="00EC49E0">
        <w:rPr>
          <w:rFonts w:ascii="Arial" w:hAnsi="Arial" w:cs="Arial"/>
        </w:rPr>
        <w:t xml:space="preserve"> </w:t>
      </w:r>
      <w:r w:rsidR="009E2C16">
        <w:rPr>
          <w:rFonts w:ascii="Arial" w:hAnsi="Arial" w:cs="Arial"/>
        </w:rPr>
        <w:t>ročně.</w:t>
      </w:r>
      <w:r w:rsidR="009E2C16" w:rsidRPr="00EC49E0">
        <w:rPr>
          <w:rFonts w:ascii="Arial" w:hAnsi="Arial" w:cs="Arial"/>
        </w:rPr>
        <w:t xml:space="preserve"> </w:t>
      </w:r>
      <w:r w:rsidR="00BC1CE4" w:rsidRPr="00EC49E0">
        <w:rPr>
          <w:rFonts w:ascii="Arial" w:hAnsi="Arial" w:cs="Arial"/>
        </w:rPr>
        <w:t xml:space="preserve">Od roku </w:t>
      </w:r>
      <w:r w:rsidRPr="00EC49E0">
        <w:rPr>
          <w:rFonts w:ascii="Arial" w:hAnsi="Arial" w:cs="Arial"/>
        </w:rPr>
        <w:t xml:space="preserve">2010 </w:t>
      </w:r>
      <w:r w:rsidR="00BC1CE4" w:rsidRPr="00EC49E0">
        <w:rPr>
          <w:rFonts w:ascii="Arial" w:hAnsi="Arial" w:cs="Arial"/>
        </w:rPr>
        <w:t>m</w:t>
      </w:r>
      <w:r w:rsidRPr="00EC49E0">
        <w:rPr>
          <w:rFonts w:ascii="Arial" w:hAnsi="Arial" w:cs="Arial"/>
        </w:rPr>
        <w:t>ísto pevné roční částky byla odměna stanovena měsíční částkou</w:t>
      </w:r>
      <w:r w:rsidR="003C1416">
        <w:rPr>
          <w:rFonts w:ascii="Arial" w:hAnsi="Arial" w:cs="Arial"/>
        </w:rPr>
        <w:t xml:space="preserve"> ve výši </w:t>
      </w:r>
      <w:r w:rsidR="003C1416" w:rsidRPr="008E7D5B">
        <w:rPr>
          <w:rFonts w:ascii="Arial" w:hAnsi="Arial" w:cs="Arial"/>
        </w:rPr>
        <w:t xml:space="preserve">6 337,33 Kč </w:t>
      </w:r>
      <w:r w:rsidR="00BB7947">
        <w:rPr>
          <w:rFonts w:ascii="Arial" w:hAnsi="Arial" w:cs="Arial"/>
        </w:rPr>
        <w:t>(</w:t>
      </w:r>
      <w:r w:rsidR="003C1416" w:rsidRPr="008E7D5B">
        <w:rPr>
          <w:rFonts w:ascii="Arial" w:hAnsi="Arial" w:cs="Arial"/>
        </w:rPr>
        <w:t>bez DPH</w:t>
      </w:r>
      <w:r w:rsidR="00BB7947">
        <w:rPr>
          <w:rFonts w:ascii="Arial" w:hAnsi="Arial" w:cs="Arial"/>
        </w:rPr>
        <w:t>)</w:t>
      </w:r>
      <w:r w:rsidRPr="00EC49E0">
        <w:rPr>
          <w:rFonts w:ascii="Arial" w:hAnsi="Arial" w:cs="Arial"/>
        </w:rPr>
        <w:t xml:space="preserve"> za vedení jednoho evidenčního účtu</w:t>
      </w:r>
      <w:r w:rsidR="00A47ECC">
        <w:rPr>
          <w:rStyle w:val="Znakapoznpodarou"/>
          <w:rFonts w:ascii="Arial" w:hAnsi="Arial" w:cs="Arial"/>
        </w:rPr>
        <w:footnoteReference w:id="6"/>
      </w:r>
      <w:r w:rsidR="00BC1CE4" w:rsidRPr="00EC49E0">
        <w:rPr>
          <w:rFonts w:ascii="Arial" w:hAnsi="Arial" w:cs="Arial"/>
        </w:rPr>
        <w:t xml:space="preserve"> a </w:t>
      </w:r>
      <w:r w:rsidRPr="00EC49E0">
        <w:rPr>
          <w:rFonts w:ascii="Arial" w:hAnsi="Arial" w:cs="Arial"/>
        </w:rPr>
        <w:t>úhrad</w:t>
      </w:r>
      <w:r w:rsidR="00BC1CE4" w:rsidRPr="00EC49E0">
        <w:rPr>
          <w:rFonts w:ascii="Arial" w:hAnsi="Arial" w:cs="Arial"/>
        </w:rPr>
        <w:t>a</w:t>
      </w:r>
      <w:r w:rsidRPr="00EC49E0">
        <w:rPr>
          <w:rFonts w:ascii="Arial" w:hAnsi="Arial" w:cs="Arial"/>
        </w:rPr>
        <w:t xml:space="preserve"> </w:t>
      </w:r>
      <w:r w:rsidR="00BC1CE4" w:rsidRPr="00EC49E0">
        <w:rPr>
          <w:rFonts w:ascii="Arial" w:hAnsi="Arial" w:cs="Arial"/>
        </w:rPr>
        <w:t xml:space="preserve">byla vypočtena podle počtu </w:t>
      </w:r>
      <w:r w:rsidRPr="00EC49E0">
        <w:rPr>
          <w:rFonts w:ascii="Arial" w:hAnsi="Arial" w:cs="Arial"/>
        </w:rPr>
        <w:t xml:space="preserve">evidenčních účtů </w:t>
      </w:r>
      <w:r w:rsidR="00556C2F" w:rsidRPr="00EC49E0">
        <w:rPr>
          <w:rFonts w:ascii="Arial" w:hAnsi="Arial" w:cs="Arial"/>
        </w:rPr>
        <w:t xml:space="preserve">dle stavu ke </w:t>
      </w:r>
      <w:r w:rsidRPr="00EC49E0">
        <w:rPr>
          <w:rFonts w:ascii="Arial" w:hAnsi="Arial" w:cs="Arial"/>
        </w:rPr>
        <w:t xml:space="preserve">konci </w:t>
      </w:r>
      <w:r w:rsidRPr="00EC49E0">
        <w:rPr>
          <w:rFonts w:ascii="Arial" w:hAnsi="Arial" w:cs="Arial"/>
        </w:rPr>
        <w:lastRenderedPageBreak/>
        <w:t>měsíce. V roce 2013 nabyl účinnosti dodatek č. 4, kterým došlo k</w:t>
      </w:r>
      <w:r w:rsidR="00F82374">
        <w:rPr>
          <w:rFonts w:ascii="Arial" w:hAnsi="Arial" w:cs="Arial"/>
        </w:rPr>
        <w:t xml:space="preserve">e snížení </w:t>
      </w:r>
      <w:r w:rsidRPr="00EC49E0">
        <w:rPr>
          <w:rFonts w:ascii="Arial" w:hAnsi="Arial" w:cs="Arial"/>
        </w:rPr>
        <w:t>výše měsíční částky</w:t>
      </w:r>
      <w:r w:rsidR="00F82374">
        <w:rPr>
          <w:rFonts w:ascii="Arial" w:hAnsi="Arial" w:cs="Arial"/>
        </w:rPr>
        <w:t xml:space="preserve"> na 6 300 Kč</w:t>
      </w:r>
      <w:r w:rsidR="00BB7947">
        <w:rPr>
          <w:rFonts w:ascii="Arial" w:hAnsi="Arial" w:cs="Arial"/>
        </w:rPr>
        <w:t xml:space="preserve"> (bez DPH)</w:t>
      </w:r>
      <w:r w:rsidR="00F82374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za vedení jednoho evidenčního účtu</w:t>
      </w:r>
      <w:r w:rsidR="00F82374">
        <w:rPr>
          <w:rFonts w:ascii="Arial" w:hAnsi="Arial" w:cs="Arial"/>
        </w:rPr>
        <w:t>.</w:t>
      </w:r>
    </w:p>
    <w:p w:rsidR="00D53C6D" w:rsidRDefault="00D53C6D" w:rsidP="009D0ED8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6D3771" w:rsidP="009D0ED8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C</w:t>
      </w:r>
      <w:r w:rsidR="003B3B64" w:rsidRPr="00EC49E0">
        <w:rPr>
          <w:rFonts w:ascii="Arial" w:hAnsi="Arial" w:cs="Arial"/>
        </w:rPr>
        <w:t>elkový počet evid</w:t>
      </w:r>
      <w:r w:rsidR="000E2F1E" w:rsidRPr="00EC49E0">
        <w:rPr>
          <w:rFonts w:ascii="Arial" w:hAnsi="Arial" w:cs="Arial"/>
        </w:rPr>
        <w:t xml:space="preserve">enčních účtů k 31. </w:t>
      </w:r>
      <w:r w:rsidR="00721D22">
        <w:rPr>
          <w:rFonts w:ascii="Arial" w:hAnsi="Arial" w:cs="Arial"/>
        </w:rPr>
        <w:t>prosinci</w:t>
      </w:r>
      <w:r w:rsidR="000E2F1E" w:rsidRPr="00EC49E0">
        <w:rPr>
          <w:rFonts w:ascii="Arial" w:hAnsi="Arial" w:cs="Arial"/>
        </w:rPr>
        <w:t xml:space="preserve"> 2012 </w:t>
      </w:r>
      <w:r w:rsidR="00E70658">
        <w:rPr>
          <w:rFonts w:ascii="Arial" w:hAnsi="Arial" w:cs="Arial"/>
        </w:rPr>
        <w:t xml:space="preserve">činil </w:t>
      </w:r>
      <w:r w:rsidR="000E2F1E" w:rsidRPr="00EC49E0">
        <w:rPr>
          <w:rFonts w:ascii="Arial" w:hAnsi="Arial" w:cs="Arial"/>
        </w:rPr>
        <w:t xml:space="preserve">185. </w:t>
      </w:r>
      <w:r w:rsidR="00556C2F" w:rsidRPr="00EC49E0">
        <w:rPr>
          <w:rFonts w:ascii="Arial" w:hAnsi="Arial" w:cs="Arial"/>
        </w:rPr>
        <w:t>Z</w:t>
      </w:r>
      <w:r w:rsidR="003B3B64" w:rsidRPr="00EC49E0">
        <w:rPr>
          <w:rFonts w:ascii="Arial" w:hAnsi="Arial" w:cs="Arial"/>
        </w:rPr>
        <w:t>a</w:t>
      </w:r>
      <w:r w:rsidR="00556C2F" w:rsidRPr="00EC49E0">
        <w:rPr>
          <w:rFonts w:ascii="Arial" w:hAnsi="Arial" w:cs="Arial"/>
        </w:rPr>
        <w:t xml:space="preserve"> období </w:t>
      </w:r>
      <w:r w:rsidR="003B3B64" w:rsidRPr="00EC49E0">
        <w:rPr>
          <w:rFonts w:ascii="Arial" w:hAnsi="Arial" w:cs="Arial"/>
        </w:rPr>
        <w:t xml:space="preserve">let 1997–2012 uhradilo </w:t>
      </w:r>
      <w:r w:rsidR="00556C2F" w:rsidRPr="00EC49E0">
        <w:rPr>
          <w:rFonts w:ascii="Arial" w:hAnsi="Arial" w:cs="Arial"/>
        </w:rPr>
        <w:t xml:space="preserve">MF bance celkem </w:t>
      </w:r>
      <w:r w:rsidRPr="00EC49E0">
        <w:rPr>
          <w:rFonts w:ascii="Arial" w:hAnsi="Arial" w:cs="Arial"/>
        </w:rPr>
        <w:t>přes</w:t>
      </w:r>
      <w:r w:rsidR="003B3B64" w:rsidRPr="00EC49E0">
        <w:rPr>
          <w:rFonts w:ascii="Arial" w:hAnsi="Arial" w:cs="Arial"/>
        </w:rPr>
        <w:t xml:space="preserve"> 452 </w:t>
      </w:r>
      <w:r w:rsidRPr="00EC49E0">
        <w:rPr>
          <w:rFonts w:ascii="Arial" w:hAnsi="Arial" w:cs="Arial"/>
        </w:rPr>
        <w:t>mil.</w:t>
      </w:r>
      <w:r w:rsidR="003B3B64" w:rsidRPr="00EC49E0">
        <w:rPr>
          <w:rFonts w:ascii="Arial" w:hAnsi="Arial" w:cs="Arial"/>
        </w:rPr>
        <w:t xml:space="preserve"> Kč </w:t>
      </w:r>
      <w:r w:rsidR="00E70658">
        <w:rPr>
          <w:rFonts w:ascii="Arial" w:hAnsi="Arial" w:cs="Arial"/>
        </w:rPr>
        <w:t>(</w:t>
      </w:r>
      <w:r w:rsidR="003B3B64" w:rsidRPr="00EC49E0">
        <w:rPr>
          <w:rFonts w:ascii="Arial" w:hAnsi="Arial" w:cs="Arial"/>
        </w:rPr>
        <w:t>bez DPH</w:t>
      </w:r>
      <w:r w:rsidR="00E70658">
        <w:rPr>
          <w:rFonts w:ascii="Arial" w:hAnsi="Arial" w:cs="Arial"/>
        </w:rPr>
        <w:t>)</w:t>
      </w:r>
      <w:r w:rsidR="003B3B64" w:rsidRPr="00EC49E0">
        <w:rPr>
          <w:rFonts w:ascii="Arial" w:hAnsi="Arial" w:cs="Arial"/>
        </w:rPr>
        <w:t>.</w:t>
      </w:r>
    </w:p>
    <w:p w:rsidR="00D53C6D" w:rsidRDefault="00D53C6D" w:rsidP="009D0ED8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9D0ED8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Výše částky za vedení jednoho e</w:t>
      </w:r>
      <w:r w:rsidR="006D3771" w:rsidRPr="00EC49E0">
        <w:rPr>
          <w:rFonts w:ascii="Arial" w:hAnsi="Arial" w:cs="Arial"/>
        </w:rPr>
        <w:t xml:space="preserve">videnčního účtu </w:t>
      </w:r>
      <w:r w:rsidR="00A123B1" w:rsidRPr="00EC49E0">
        <w:rPr>
          <w:rFonts w:ascii="Arial" w:hAnsi="Arial" w:cs="Arial"/>
        </w:rPr>
        <w:t>nebyla v </w:t>
      </w:r>
      <w:r w:rsidR="006D3771" w:rsidRPr="00EC49E0">
        <w:rPr>
          <w:rFonts w:ascii="Arial" w:hAnsi="Arial" w:cs="Arial"/>
        </w:rPr>
        <w:t>dodat</w:t>
      </w:r>
      <w:r w:rsidR="00A123B1" w:rsidRPr="00EC49E0">
        <w:rPr>
          <w:rFonts w:ascii="Arial" w:hAnsi="Arial" w:cs="Arial"/>
        </w:rPr>
        <w:t>cích z </w:t>
      </w:r>
      <w:r w:rsidR="00EF7D6C">
        <w:rPr>
          <w:rFonts w:ascii="Arial" w:hAnsi="Arial" w:cs="Arial"/>
        </w:rPr>
        <w:t>let</w:t>
      </w:r>
      <w:r w:rsidR="00A123B1" w:rsidRPr="00EC49E0">
        <w:rPr>
          <w:rFonts w:ascii="Arial" w:hAnsi="Arial" w:cs="Arial"/>
        </w:rPr>
        <w:t xml:space="preserve"> 2010 a 2013 blíže </w:t>
      </w:r>
      <w:r w:rsidRPr="00EC49E0">
        <w:rPr>
          <w:rFonts w:ascii="Arial" w:hAnsi="Arial" w:cs="Arial"/>
        </w:rPr>
        <w:t xml:space="preserve">odůvodněna. </w:t>
      </w:r>
      <w:r w:rsidR="00E70658">
        <w:rPr>
          <w:rFonts w:ascii="Arial" w:hAnsi="Arial" w:cs="Arial"/>
        </w:rPr>
        <w:t>Skutečný r</w:t>
      </w:r>
      <w:r w:rsidRPr="00EC49E0">
        <w:rPr>
          <w:rFonts w:ascii="Arial" w:hAnsi="Arial" w:cs="Arial"/>
        </w:rPr>
        <w:t>ozsah poskytovaných služeb týkající</w:t>
      </w:r>
      <w:r w:rsidR="00EF7D6C">
        <w:rPr>
          <w:rFonts w:ascii="Arial" w:hAnsi="Arial" w:cs="Arial"/>
        </w:rPr>
        <w:t>ch</w:t>
      </w:r>
      <w:r w:rsidRPr="00EC49E0">
        <w:rPr>
          <w:rFonts w:ascii="Arial" w:hAnsi="Arial" w:cs="Arial"/>
        </w:rPr>
        <w:t xml:space="preserve"> se některých pohledávek byl velmi omezený, neboť v některých případech se výše pohledávky nezměnila a pohledávka nebyla ani úročena, případně byla sporná existence pohledávky nebo nereálné její vym</w:t>
      </w:r>
      <w:r w:rsidR="00A123B1" w:rsidRPr="00EC49E0">
        <w:rPr>
          <w:rFonts w:ascii="Arial" w:hAnsi="Arial" w:cs="Arial"/>
        </w:rPr>
        <w:t>ožení</w:t>
      </w:r>
      <w:r w:rsidRPr="00EC49E0">
        <w:rPr>
          <w:rFonts w:ascii="Arial" w:hAnsi="Arial" w:cs="Arial"/>
        </w:rPr>
        <w:t>.</w:t>
      </w:r>
      <w:r w:rsidR="001C376D" w:rsidRPr="00EC49E0">
        <w:rPr>
          <w:rFonts w:ascii="Arial" w:hAnsi="Arial" w:cs="Arial"/>
        </w:rPr>
        <w:t xml:space="preserve"> U většiny evidenčních účtů se jednalo pouze o vedení účtu s případným výpočtem úroků a o zpracování </w:t>
      </w:r>
      <w:r w:rsidR="00A123B1" w:rsidRPr="00EC49E0">
        <w:rPr>
          <w:rFonts w:ascii="Arial" w:hAnsi="Arial" w:cs="Arial"/>
        </w:rPr>
        <w:t>údajů do výkazů předkládaných MF. D</w:t>
      </w:r>
      <w:r w:rsidR="00ED5122" w:rsidRPr="00EC49E0">
        <w:rPr>
          <w:rFonts w:ascii="Arial" w:hAnsi="Arial" w:cs="Arial"/>
        </w:rPr>
        <w:t xml:space="preserve">ohodnutá paušální částka za vedení většiny těchto účtů </w:t>
      </w:r>
      <w:r w:rsidR="00721D22">
        <w:rPr>
          <w:rFonts w:ascii="Arial" w:hAnsi="Arial" w:cs="Arial"/>
        </w:rPr>
        <w:t xml:space="preserve">se </w:t>
      </w:r>
      <w:r w:rsidR="00ED5122" w:rsidRPr="00EC49E0">
        <w:rPr>
          <w:rFonts w:ascii="Arial" w:hAnsi="Arial" w:cs="Arial"/>
        </w:rPr>
        <w:t xml:space="preserve">jeví jako neúměrně vysoká </w:t>
      </w:r>
      <w:r w:rsidR="00EF7D6C">
        <w:rPr>
          <w:rFonts w:ascii="Arial" w:hAnsi="Arial" w:cs="Arial"/>
        </w:rPr>
        <w:t xml:space="preserve">a </w:t>
      </w:r>
      <w:r w:rsidR="00ED5122" w:rsidRPr="00EC49E0">
        <w:rPr>
          <w:rFonts w:ascii="Arial" w:hAnsi="Arial" w:cs="Arial"/>
        </w:rPr>
        <w:t>neodrážející skutečnou pracnost.</w:t>
      </w:r>
    </w:p>
    <w:p w:rsidR="00D53C6D" w:rsidRDefault="00D53C6D" w:rsidP="009D0ED8">
      <w:pPr>
        <w:spacing w:after="0" w:line="240" w:lineRule="auto"/>
        <w:jc w:val="both"/>
        <w:rPr>
          <w:rFonts w:ascii="Arial" w:hAnsi="Arial" w:cs="Arial"/>
        </w:rPr>
      </w:pPr>
    </w:p>
    <w:p w:rsidR="003B3B64" w:rsidRDefault="00E8594A" w:rsidP="009D0ED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V rámci této kontroly </w:t>
      </w:r>
      <w:r w:rsidR="001C376D" w:rsidRPr="00EC49E0">
        <w:rPr>
          <w:rFonts w:ascii="Arial" w:hAnsi="Arial" w:cs="Arial"/>
        </w:rPr>
        <w:t xml:space="preserve">bylo </w:t>
      </w:r>
      <w:r>
        <w:rPr>
          <w:rFonts w:ascii="Arial" w:hAnsi="Arial" w:cs="Arial"/>
        </w:rPr>
        <w:t xml:space="preserve">dále </w:t>
      </w:r>
      <w:r w:rsidR="001C376D" w:rsidRPr="00EC49E0">
        <w:rPr>
          <w:rFonts w:ascii="Arial" w:hAnsi="Arial" w:cs="Arial"/>
        </w:rPr>
        <w:t xml:space="preserve">zjištěno, že </w:t>
      </w:r>
      <w:r w:rsidR="00052846" w:rsidRPr="00EC49E0">
        <w:rPr>
          <w:rFonts w:ascii="Arial" w:hAnsi="Arial" w:cs="Arial"/>
        </w:rPr>
        <w:t>MF</w:t>
      </w:r>
      <w:r>
        <w:rPr>
          <w:rFonts w:ascii="Arial" w:hAnsi="Arial" w:cs="Arial"/>
        </w:rPr>
        <w:t xml:space="preserve"> nereagovalo na </w:t>
      </w:r>
      <w:r w:rsidR="003B3B64" w:rsidRPr="00EC49E0">
        <w:rPr>
          <w:rFonts w:ascii="Arial" w:hAnsi="Arial" w:cs="Arial"/>
        </w:rPr>
        <w:t xml:space="preserve">rozhodnutí soudu a </w:t>
      </w:r>
      <w:r w:rsidRPr="00EC49E0">
        <w:rPr>
          <w:rFonts w:ascii="Arial" w:hAnsi="Arial" w:cs="Arial"/>
        </w:rPr>
        <w:t xml:space="preserve">nevzalo v úvahu </w:t>
      </w:r>
      <w:r w:rsidR="00EF7D6C">
        <w:rPr>
          <w:rFonts w:ascii="Arial" w:hAnsi="Arial" w:cs="Arial"/>
        </w:rPr>
        <w:t xml:space="preserve">ani </w:t>
      </w:r>
      <w:r w:rsidR="003B3B64" w:rsidRPr="00EC49E0">
        <w:rPr>
          <w:rFonts w:ascii="Arial" w:hAnsi="Arial" w:cs="Arial"/>
        </w:rPr>
        <w:t>doporučení externího audit</w:t>
      </w:r>
      <w:r w:rsidR="00A123B1" w:rsidRPr="00EC49E0">
        <w:rPr>
          <w:rFonts w:ascii="Arial" w:hAnsi="Arial" w:cs="Arial"/>
        </w:rPr>
        <w:t>or</w:t>
      </w:r>
      <w:r w:rsidR="00E70658">
        <w:rPr>
          <w:rFonts w:ascii="Arial" w:hAnsi="Arial" w:cs="Arial"/>
        </w:rPr>
        <w:t xml:space="preserve">a zvážit odpis </w:t>
      </w:r>
      <w:r>
        <w:rPr>
          <w:rFonts w:ascii="Arial" w:hAnsi="Arial" w:cs="Arial"/>
        </w:rPr>
        <w:t xml:space="preserve">jedné z evidovaných </w:t>
      </w:r>
      <w:r w:rsidR="00E70658">
        <w:rPr>
          <w:rFonts w:ascii="Arial" w:hAnsi="Arial" w:cs="Arial"/>
        </w:rPr>
        <w:t>pohledáv</w:t>
      </w:r>
      <w:r>
        <w:rPr>
          <w:rFonts w:ascii="Arial" w:hAnsi="Arial" w:cs="Arial"/>
        </w:rPr>
        <w:t>e</w:t>
      </w:r>
      <w:r w:rsidR="00E70658">
        <w:rPr>
          <w:rFonts w:ascii="Arial" w:hAnsi="Arial" w:cs="Arial"/>
        </w:rPr>
        <w:t>k. P</w:t>
      </w:r>
      <w:r w:rsidR="00A123B1" w:rsidRPr="00EC49E0">
        <w:rPr>
          <w:rFonts w:ascii="Arial" w:hAnsi="Arial" w:cs="Arial"/>
        </w:rPr>
        <w:t xml:space="preserve">o dobu cca šesti let </w:t>
      </w:r>
      <w:r w:rsidR="003B3B64" w:rsidRPr="00EC49E0">
        <w:rPr>
          <w:rFonts w:ascii="Arial" w:hAnsi="Arial" w:cs="Arial"/>
        </w:rPr>
        <w:t>neučinilo žádný</w:t>
      </w:r>
      <w:r w:rsidR="00E70658">
        <w:rPr>
          <w:rFonts w:ascii="Arial" w:hAnsi="Arial" w:cs="Arial"/>
        </w:rPr>
        <w:t xml:space="preserve"> </w:t>
      </w:r>
      <w:r w:rsidR="00A768F8" w:rsidRPr="00EC49E0">
        <w:rPr>
          <w:rFonts w:ascii="Arial" w:hAnsi="Arial" w:cs="Arial"/>
        </w:rPr>
        <w:t>úkon směřující k</w:t>
      </w:r>
      <w:r w:rsidR="005F5C64">
        <w:rPr>
          <w:rFonts w:ascii="Arial" w:hAnsi="Arial" w:cs="Arial"/>
        </w:rPr>
        <w:t xml:space="preserve">e </w:t>
      </w:r>
      <w:r w:rsidR="00A768F8" w:rsidRPr="00EC49E0">
        <w:rPr>
          <w:rFonts w:ascii="Arial" w:hAnsi="Arial" w:cs="Arial"/>
        </w:rPr>
        <w:t xml:space="preserve">zrušení dvou evidenčních účtů </w:t>
      </w:r>
      <w:r w:rsidR="005F5C64">
        <w:rPr>
          <w:rFonts w:ascii="Arial" w:hAnsi="Arial" w:cs="Arial"/>
        </w:rPr>
        <w:t xml:space="preserve">(nominální hodnota </w:t>
      </w:r>
      <w:r>
        <w:rPr>
          <w:rFonts w:ascii="Arial" w:hAnsi="Arial" w:cs="Arial"/>
        </w:rPr>
        <w:t xml:space="preserve">pohledávky </w:t>
      </w:r>
      <w:r w:rsidR="005F5C64">
        <w:rPr>
          <w:rFonts w:ascii="Arial" w:hAnsi="Arial" w:cs="Arial"/>
        </w:rPr>
        <w:t xml:space="preserve">cca </w:t>
      </w:r>
      <w:r w:rsidR="00A768F8" w:rsidRPr="00EC49E0">
        <w:rPr>
          <w:rFonts w:ascii="Arial" w:hAnsi="Arial" w:cs="Arial"/>
        </w:rPr>
        <w:t>21</w:t>
      </w:r>
      <w:r w:rsidR="005F5C64">
        <w:rPr>
          <w:rFonts w:ascii="Arial" w:hAnsi="Arial" w:cs="Arial"/>
        </w:rPr>
        <w:t> </w:t>
      </w:r>
      <w:r w:rsidR="00A768F8" w:rsidRPr="00EC49E0">
        <w:rPr>
          <w:rFonts w:ascii="Arial" w:hAnsi="Arial" w:cs="Arial"/>
        </w:rPr>
        <w:t>mil</w:t>
      </w:r>
      <w:r w:rsidR="003D00C7">
        <w:rPr>
          <w:rFonts w:ascii="Arial" w:hAnsi="Arial" w:cs="Arial"/>
        </w:rPr>
        <w:t>.</w:t>
      </w:r>
      <w:r w:rsidR="005F5C64">
        <w:rPr>
          <w:rFonts w:ascii="Arial" w:hAnsi="Arial" w:cs="Arial"/>
        </w:rPr>
        <w:t> </w:t>
      </w:r>
      <w:r w:rsidR="00A768F8" w:rsidRPr="00EC49E0">
        <w:rPr>
          <w:rFonts w:ascii="Arial" w:hAnsi="Arial" w:cs="Arial"/>
        </w:rPr>
        <w:t>Kč</w:t>
      </w:r>
      <w:r w:rsidR="005F5C64">
        <w:rPr>
          <w:rFonts w:ascii="Arial" w:hAnsi="Arial" w:cs="Arial"/>
        </w:rPr>
        <w:t>)</w:t>
      </w:r>
      <w:r w:rsidR="00EF7D6C">
        <w:rPr>
          <w:rFonts w:ascii="Arial" w:hAnsi="Arial" w:cs="Arial"/>
        </w:rPr>
        <w:t>,</w:t>
      </w:r>
      <w:r w:rsidR="005F5C64">
        <w:rPr>
          <w:rFonts w:ascii="Arial" w:hAnsi="Arial" w:cs="Arial"/>
        </w:rPr>
        <w:t xml:space="preserve"> </w:t>
      </w:r>
      <w:r w:rsidR="003B3B64" w:rsidRPr="00EC49E0">
        <w:rPr>
          <w:rFonts w:ascii="Arial" w:hAnsi="Arial" w:cs="Arial"/>
        </w:rPr>
        <w:t xml:space="preserve">a </w:t>
      </w:r>
      <w:r w:rsidR="00052846" w:rsidRPr="00EC49E0">
        <w:rPr>
          <w:rFonts w:ascii="Arial" w:hAnsi="Arial" w:cs="Arial"/>
        </w:rPr>
        <w:t>u</w:t>
      </w:r>
      <w:r w:rsidR="003B3B64" w:rsidRPr="00EC49E0">
        <w:rPr>
          <w:rFonts w:ascii="Arial" w:hAnsi="Arial" w:cs="Arial"/>
        </w:rPr>
        <w:t xml:space="preserve">hradilo </w:t>
      </w:r>
      <w:r w:rsidR="00A768F8" w:rsidRPr="00EC49E0">
        <w:rPr>
          <w:rFonts w:ascii="Arial" w:hAnsi="Arial" w:cs="Arial"/>
        </w:rPr>
        <w:t xml:space="preserve">tak </w:t>
      </w:r>
      <w:r w:rsidR="003B3B64" w:rsidRPr="00EC49E0">
        <w:rPr>
          <w:rFonts w:ascii="Arial" w:hAnsi="Arial" w:cs="Arial"/>
        </w:rPr>
        <w:t>za služby spojené s jejich vedením</w:t>
      </w:r>
      <w:r w:rsidR="00052846" w:rsidRPr="00EC49E0">
        <w:rPr>
          <w:rFonts w:ascii="Arial" w:hAnsi="Arial" w:cs="Arial"/>
        </w:rPr>
        <w:t xml:space="preserve"> </w:t>
      </w:r>
      <w:r w:rsidR="00052846" w:rsidRPr="00EC49E0">
        <w:rPr>
          <w:rFonts w:ascii="Arial" w:eastAsia="Times New Roman" w:hAnsi="Arial" w:cs="Arial"/>
        </w:rPr>
        <w:t>v letech 2011 a 2012 částku přes</w:t>
      </w:r>
      <w:r w:rsidR="00EF7D6C">
        <w:rPr>
          <w:rFonts w:ascii="Arial" w:eastAsia="Times New Roman" w:hAnsi="Arial" w:cs="Arial"/>
        </w:rPr>
        <w:t>ahující</w:t>
      </w:r>
      <w:r w:rsidR="00052846" w:rsidRPr="00EC49E0">
        <w:rPr>
          <w:rFonts w:ascii="Arial" w:eastAsia="Times New Roman" w:hAnsi="Arial" w:cs="Arial"/>
        </w:rPr>
        <w:t xml:space="preserve"> 304 </w:t>
      </w:r>
      <w:r w:rsidR="000E2F1E" w:rsidRPr="00EC49E0">
        <w:rPr>
          <w:rFonts w:ascii="Arial" w:eastAsia="Times New Roman" w:hAnsi="Arial" w:cs="Arial"/>
        </w:rPr>
        <w:t xml:space="preserve">tis. </w:t>
      </w:r>
      <w:r w:rsidR="00052846" w:rsidRPr="00EC49E0">
        <w:rPr>
          <w:rFonts w:ascii="Arial" w:eastAsia="Times New Roman" w:hAnsi="Arial" w:cs="Arial"/>
        </w:rPr>
        <w:t>Kč (</w:t>
      </w:r>
      <w:r w:rsidR="000E2F1E" w:rsidRPr="00EC49E0">
        <w:rPr>
          <w:rFonts w:ascii="Arial" w:eastAsia="Times New Roman" w:hAnsi="Arial" w:cs="Arial"/>
        </w:rPr>
        <w:t xml:space="preserve">bez </w:t>
      </w:r>
      <w:r w:rsidR="00052846" w:rsidRPr="00EC49E0">
        <w:rPr>
          <w:rFonts w:ascii="Arial" w:eastAsia="Times New Roman" w:hAnsi="Arial" w:cs="Arial"/>
        </w:rPr>
        <w:t>DPH)</w:t>
      </w:r>
      <w:r w:rsidR="003B3B64" w:rsidRPr="00EC49E0">
        <w:rPr>
          <w:rFonts w:ascii="Arial" w:hAnsi="Arial" w:cs="Arial"/>
        </w:rPr>
        <w:t>.</w:t>
      </w:r>
      <w:r w:rsidR="00D53885">
        <w:rPr>
          <w:rFonts w:ascii="Arial" w:hAnsi="Arial" w:cs="Arial"/>
        </w:rPr>
        <w:t xml:space="preserve"> Takové použití peněžních prostředků státního rozpočtu</w:t>
      </w:r>
      <w:r w:rsidR="003B3B64" w:rsidRPr="00EC49E0">
        <w:rPr>
          <w:rFonts w:ascii="Arial" w:hAnsi="Arial" w:cs="Arial"/>
        </w:rPr>
        <w:t xml:space="preserve"> </w:t>
      </w:r>
      <w:r w:rsidR="00D53885">
        <w:rPr>
          <w:rFonts w:ascii="Arial" w:hAnsi="Arial" w:cs="Arial"/>
        </w:rPr>
        <w:t>hodnotí</w:t>
      </w:r>
      <w:r w:rsidR="00052846" w:rsidRPr="00EC49E0">
        <w:rPr>
          <w:rFonts w:ascii="Arial" w:hAnsi="Arial" w:cs="Arial"/>
        </w:rPr>
        <w:t xml:space="preserve"> </w:t>
      </w:r>
      <w:r w:rsidR="00EF7D6C" w:rsidRPr="00EC49E0">
        <w:rPr>
          <w:rFonts w:ascii="Arial" w:hAnsi="Arial" w:cs="Arial"/>
        </w:rPr>
        <w:t xml:space="preserve">NKÚ </w:t>
      </w:r>
      <w:r w:rsidR="00E17939">
        <w:rPr>
          <w:rFonts w:ascii="Arial" w:hAnsi="Arial" w:cs="Arial"/>
        </w:rPr>
        <w:t>jako porušení povinnosti plnit st</w:t>
      </w:r>
      <w:r w:rsidR="00400E77">
        <w:rPr>
          <w:rFonts w:ascii="Arial" w:hAnsi="Arial" w:cs="Arial"/>
        </w:rPr>
        <w:t>ano</w:t>
      </w:r>
      <w:r w:rsidR="00E17939">
        <w:rPr>
          <w:rFonts w:ascii="Arial" w:hAnsi="Arial" w:cs="Arial"/>
        </w:rPr>
        <w:t>vené úkoly nejhospodárnějším způsob</w:t>
      </w:r>
      <w:r w:rsidR="00D53885">
        <w:rPr>
          <w:rFonts w:ascii="Arial" w:hAnsi="Arial" w:cs="Arial"/>
        </w:rPr>
        <w:t>em</w:t>
      </w:r>
      <w:r w:rsidR="00E17939">
        <w:rPr>
          <w:rFonts w:ascii="Arial" w:hAnsi="Arial" w:cs="Arial"/>
        </w:rPr>
        <w:t xml:space="preserve"> a jako porušení rozpočtové kázně</w:t>
      </w:r>
      <w:r w:rsidR="00052846" w:rsidRPr="00EC49E0">
        <w:rPr>
          <w:rFonts w:ascii="Arial" w:eastAsia="Times New Roman" w:hAnsi="Arial" w:cs="Arial"/>
        </w:rPr>
        <w:t>.</w:t>
      </w:r>
    </w:p>
    <w:p w:rsidR="00D53C6D" w:rsidRPr="00EC49E0" w:rsidRDefault="00D53C6D" w:rsidP="009D0ED8">
      <w:pPr>
        <w:spacing w:after="0" w:line="240" w:lineRule="auto"/>
        <w:jc w:val="both"/>
        <w:rPr>
          <w:rFonts w:ascii="Arial" w:hAnsi="Arial" w:cs="Arial"/>
        </w:rPr>
      </w:pPr>
    </w:p>
    <w:p w:rsidR="00E70658" w:rsidRDefault="003B3B64" w:rsidP="009D0ED8">
      <w:pPr>
        <w:spacing w:after="120" w:line="240" w:lineRule="auto"/>
        <w:jc w:val="both"/>
        <w:rPr>
          <w:rFonts w:ascii="Arial" w:hAnsi="Arial" w:cs="Arial"/>
          <w:b/>
        </w:rPr>
      </w:pPr>
      <w:r w:rsidRPr="00EC49E0">
        <w:rPr>
          <w:rFonts w:ascii="Arial" w:hAnsi="Arial" w:cs="Arial"/>
          <w:b/>
        </w:rPr>
        <w:t>Služby poskytované advokátními ka</w:t>
      </w:r>
      <w:r w:rsidR="006D3771" w:rsidRPr="00EC49E0">
        <w:rPr>
          <w:rFonts w:ascii="Arial" w:hAnsi="Arial" w:cs="Arial"/>
          <w:b/>
        </w:rPr>
        <w:t>ncelářemi</w:t>
      </w:r>
    </w:p>
    <w:p w:rsidR="003B3B64" w:rsidRPr="00914AE7" w:rsidRDefault="003B3B64" w:rsidP="00914A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49E0">
        <w:rPr>
          <w:rFonts w:ascii="Arial" w:eastAsia="Times New Roman" w:hAnsi="Arial" w:cs="Arial"/>
        </w:rPr>
        <w:t xml:space="preserve">MF uhradilo od </w:t>
      </w:r>
      <w:r w:rsidR="00EF7D6C">
        <w:rPr>
          <w:rFonts w:ascii="Arial" w:eastAsia="Times New Roman" w:hAnsi="Arial" w:cs="Arial"/>
        </w:rPr>
        <w:t xml:space="preserve">počátku </w:t>
      </w:r>
      <w:r w:rsidRPr="00EC49E0">
        <w:rPr>
          <w:rFonts w:ascii="Arial" w:eastAsia="Times New Roman" w:hAnsi="Arial" w:cs="Arial"/>
        </w:rPr>
        <w:t xml:space="preserve">roku 2011 do dubna 2013 za právní a poradenské služby dvěma advokátním kancelářím celkem </w:t>
      </w:r>
      <w:r w:rsidR="005B09B9" w:rsidRPr="00EC49E0">
        <w:rPr>
          <w:rFonts w:ascii="Arial" w:eastAsia="Times New Roman" w:hAnsi="Arial" w:cs="Arial"/>
        </w:rPr>
        <w:t xml:space="preserve">přes </w:t>
      </w:r>
      <w:r w:rsidRPr="00EC49E0">
        <w:rPr>
          <w:rFonts w:ascii="Arial" w:eastAsia="Times New Roman" w:hAnsi="Arial" w:cs="Arial"/>
        </w:rPr>
        <w:t>2</w:t>
      </w:r>
      <w:r w:rsidR="005B09B9" w:rsidRPr="00EC49E0">
        <w:rPr>
          <w:rFonts w:ascii="Arial" w:eastAsia="Times New Roman" w:hAnsi="Arial" w:cs="Arial"/>
        </w:rPr>
        <w:t>,</w:t>
      </w:r>
      <w:r w:rsidRPr="00EC49E0">
        <w:rPr>
          <w:rFonts w:ascii="Arial" w:eastAsia="Times New Roman" w:hAnsi="Arial" w:cs="Arial"/>
        </w:rPr>
        <w:t>4</w:t>
      </w:r>
      <w:r w:rsidR="005B09B9" w:rsidRPr="00EC49E0">
        <w:rPr>
          <w:rFonts w:ascii="Arial" w:eastAsia="Times New Roman" w:hAnsi="Arial" w:cs="Arial"/>
        </w:rPr>
        <w:t xml:space="preserve"> mil.</w:t>
      </w:r>
      <w:r w:rsidRPr="00EC49E0">
        <w:rPr>
          <w:rFonts w:ascii="Arial" w:eastAsia="Times New Roman" w:hAnsi="Arial" w:cs="Arial"/>
        </w:rPr>
        <w:t xml:space="preserve"> Kč. </w:t>
      </w:r>
      <w:r w:rsidR="00ED5122" w:rsidRPr="00EC49E0">
        <w:rPr>
          <w:rFonts w:ascii="Arial" w:eastAsia="Times New Roman" w:hAnsi="Arial" w:cs="Arial"/>
        </w:rPr>
        <w:t>V jednom případě šl</w:t>
      </w:r>
      <w:r w:rsidR="00122191" w:rsidRPr="00EC49E0">
        <w:rPr>
          <w:rFonts w:ascii="Arial" w:eastAsia="Times New Roman" w:hAnsi="Arial" w:cs="Arial"/>
        </w:rPr>
        <w:t xml:space="preserve">o o dlouhodobou spolupráci </w:t>
      </w:r>
      <w:r w:rsidR="00ED5122" w:rsidRPr="00EC49E0">
        <w:rPr>
          <w:rFonts w:ascii="Arial" w:eastAsia="Times New Roman" w:hAnsi="Arial" w:cs="Arial"/>
        </w:rPr>
        <w:t>s advokátní kanceláří poskytující</w:t>
      </w:r>
      <w:r w:rsidR="00E70658">
        <w:rPr>
          <w:rFonts w:ascii="Arial" w:eastAsia="Times New Roman" w:hAnsi="Arial" w:cs="Arial"/>
        </w:rPr>
        <w:t xml:space="preserve"> specifická právní stanoviska a analýzy. </w:t>
      </w:r>
      <w:r w:rsidRPr="00EC49E0">
        <w:rPr>
          <w:rFonts w:ascii="Arial" w:eastAsia="Times New Roman" w:hAnsi="Arial" w:cs="Arial"/>
        </w:rPr>
        <w:t>V</w:t>
      </w:r>
      <w:r w:rsidR="00EF7D6C">
        <w:rPr>
          <w:rFonts w:ascii="Arial" w:eastAsia="Times New Roman" w:hAnsi="Arial" w:cs="Arial"/>
        </w:rPr>
        <w:t> </w:t>
      </w:r>
      <w:r w:rsidR="00ED5122" w:rsidRPr="00EC49E0">
        <w:rPr>
          <w:rFonts w:ascii="Arial" w:eastAsia="Times New Roman" w:hAnsi="Arial" w:cs="Arial"/>
        </w:rPr>
        <w:t xml:space="preserve">druhém </w:t>
      </w:r>
      <w:r w:rsidRPr="00EC49E0">
        <w:rPr>
          <w:rFonts w:ascii="Arial" w:eastAsia="Times New Roman" w:hAnsi="Arial" w:cs="Arial"/>
        </w:rPr>
        <w:t xml:space="preserve">případě MF hradilo </w:t>
      </w:r>
      <w:r w:rsidR="00914AE7">
        <w:rPr>
          <w:rFonts w:ascii="Arial" w:eastAsia="Times New Roman" w:hAnsi="Arial" w:cs="Arial"/>
        </w:rPr>
        <w:t>náklady řízení za právní zastoupení v soudním sporu</w:t>
      </w:r>
      <w:r w:rsidRPr="00EC49E0">
        <w:rPr>
          <w:rFonts w:ascii="Arial" w:eastAsia="Times New Roman" w:hAnsi="Arial" w:cs="Arial"/>
        </w:rPr>
        <w:t xml:space="preserve"> </w:t>
      </w:r>
      <w:r w:rsidR="005F5C64">
        <w:rPr>
          <w:rFonts w:ascii="Arial" w:eastAsia="Times New Roman" w:hAnsi="Arial" w:cs="Arial"/>
        </w:rPr>
        <w:t xml:space="preserve">vedeném v zahraničí </w:t>
      </w:r>
      <w:r w:rsidRPr="00EC49E0">
        <w:rPr>
          <w:rFonts w:ascii="Arial" w:eastAsia="Times New Roman" w:hAnsi="Arial" w:cs="Arial"/>
        </w:rPr>
        <w:t>dle § 25 odst. 5 zákona č. 201/2002 Sb</w:t>
      </w:r>
      <w:r w:rsidR="00122191" w:rsidRPr="00EC49E0">
        <w:rPr>
          <w:rFonts w:ascii="Arial" w:eastAsia="Times New Roman" w:hAnsi="Arial" w:cs="Arial"/>
        </w:rPr>
        <w:t>.</w:t>
      </w:r>
      <w:r w:rsidR="00122191" w:rsidRPr="00EC49E0">
        <w:rPr>
          <w:rStyle w:val="Znakapoznpodarou"/>
          <w:rFonts w:ascii="Arial" w:eastAsia="Times New Roman" w:hAnsi="Arial" w:cs="Arial"/>
        </w:rPr>
        <w:footnoteReference w:id="7"/>
      </w:r>
      <w:r w:rsidRPr="00EC49E0">
        <w:rPr>
          <w:rFonts w:ascii="Arial" w:eastAsia="Times New Roman" w:hAnsi="Arial" w:cs="Arial"/>
        </w:rPr>
        <w:t>.</w:t>
      </w:r>
      <w:r w:rsidR="00122191" w:rsidRPr="00EC49E0">
        <w:rPr>
          <w:rFonts w:ascii="Arial" w:eastAsia="Times New Roman" w:hAnsi="Arial" w:cs="Arial"/>
        </w:rPr>
        <w:t xml:space="preserve"> </w:t>
      </w:r>
      <w:r w:rsidR="002D7AA1" w:rsidRPr="00EC49E0">
        <w:rPr>
          <w:rFonts w:ascii="Arial" w:eastAsia="Times New Roman" w:hAnsi="Arial" w:cs="Arial"/>
        </w:rPr>
        <w:t>S</w:t>
      </w:r>
      <w:r w:rsidRPr="00EC49E0">
        <w:rPr>
          <w:rFonts w:ascii="Arial" w:eastAsia="Times New Roman" w:hAnsi="Arial" w:cs="Arial"/>
        </w:rPr>
        <w:t xml:space="preserve">mlouvu s advokátní kanceláří </w:t>
      </w:r>
      <w:r w:rsidR="002D7AA1" w:rsidRPr="00EC49E0">
        <w:rPr>
          <w:rFonts w:ascii="Arial" w:eastAsia="Times New Roman" w:hAnsi="Arial" w:cs="Arial"/>
        </w:rPr>
        <w:t xml:space="preserve">v tomto </w:t>
      </w:r>
      <w:r w:rsidR="00E8594A">
        <w:rPr>
          <w:rFonts w:ascii="Arial" w:eastAsia="Times New Roman" w:hAnsi="Arial" w:cs="Arial"/>
        </w:rPr>
        <w:t xml:space="preserve">druhém </w:t>
      </w:r>
      <w:r w:rsidR="002D7AA1" w:rsidRPr="00EC49E0">
        <w:rPr>
          <w:rFonts w:ascii="Arial" w:eastAsia="Times New Roman" w:hAnsi="Arial" w:cs="Arial"/>
        </w:rPr>
        <w:t xml:space="preserve">případě </w:t>
      </w:r>
      <w:r w:rsidRPr="00EC49E0">
        <w:rPr>
          <w:rFonts w:ascii="Arial" w:eastAsia="Times New Roman" w:hAnsi="Arial" w:cs="Arial"/>
        </w:rPr>
        <w:t>uzavře</w:t>
      </w:r>
      <w:r w:rsidR="00914AE7">
        <w:rPr>
          <w:rFonts w:ascii="Arial" w:eastAsia="Times New Roman" w:hAnsi="Arial" w:cs="Arial"/>
        </w:rPr>
        <w:t>l</w:t>
      </w:r>
      <w:r w:rsidRPr="00EC49E0">
        <w:rPr>
          <w:rFonts w:ascii="Arial" w:eastAsia="Times New Roman" w:hAnsi="Arial" w:cs="Arial"/>
        </w:rPr>
        <w:t xml:space="preserve"> Úřad pro zastupování </w:t>
      </w:r>
      <w:r w:rsidR="001113FA">
        <w:rPr>
          <w:rFonts w:ascii="Arial" w:eastAsia="Times New Roman" w:hAnsi="Arial" w:cs="Arial"/>
        </w:rPr>
        <w:t xml:space="preserve">státu </w:t>
      </w:r>
      <w:r w:rsidRPr="00EC49E0">
        <w:rPr>
          <w:rFonts w:ascii="Arial" w:eastAsia="Times New Roman" w:hAnsi="Arial" w:cs="Arial"/>
        </w:rPr>
        <w:t>ve věcech majetkových</w:t>
      </w:r>
      <w:r w:rsidR="00A768F8" w:rsidRPr="00EC49E0">
        <w:rPr>
          <w:rFonts w:ascii="Arial" w:eastAsia="Times New Roman" w:hAnsi="Arial" w:cs="Arial"/>
        </w:rPr>
        <w:t xml:space="preserve">. </w:t>
      </w:r>
    </w:p>
    <w:p w:rsidR="003B3B64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992855" w:rsidRDefault="003B3B64" w:rsidP="003B3B64">
      <w:pPr>
        <w:spacing w:after="0" w:line="240" w:lineRule="auto"/>
        <w:jc w:val="both"/>
        <w:rPr>
          <w:rFonts w:ascii="Arial" w:hAnsi="Arial" w:cs="Arial"/>
          <w:b/>
        </w:rPr>
      </w:pPr>
      <w:r w:rsidRPr="00992855">
        <w:rPr>
          <w:rFonts w:ascii="Arial" w:hAnsi="Arial" w:cs="Arial"/>
          <w:b/>
        </w:rPr>
        <w:t>4</w:t>
      </w:r>
      <w:r w:rsidR="00914AE7" w:rsidRPr="00992855">
        <w:rPr>
          <w:rFonts w:ascii="Arial" w:hAnsi="Arial" w:cs="Arial"/>
          <w:b/>
        </w:rPr>
        <w:t>.</w:t>
      </w:r>
      <w:r w:rsidRPr="00992855">
        <w:rPr>
          <w:rFonts w:ascii="Arial" w:hAnsi="Arial" w:cs="Arial"/>
          <w:b/>
        </w:rPr>
        <w:t xml:space="preserve"> Vedení účetnictví a vykazování údajů o zahraničních pohledávkách</w:t>
      </w:r>
    </w:p>
    <w:p w:rsidR="00D53C6D" w:rsidRDefault="00D53C6D" w:rsidP="00992855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3B3B64" w:rsidP="0099285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49E0">
        <w:rPr>
          <w:rFonts w:ascii="Arial" w:hAnsi="Arial" w:cs="Arial"/>
        </w:rPr>
        <w:t>S</w:t>
      </w:r>
      <w:r w:rsidRPr="00EC49E0">
        <w:rPr>
          <w:rFonts w:ascii="Arial" w:eastAsia="Times New Roman" w:hAnsi="Arial" w:cs="Arial"/>
        </w:rPr>
        <w:t xml:space="preserve">tav zahraničních pohledávek </w:t>
      </w:r>
      <w:r w:rsidRPr="00EC49E0">
        <w:rPr>
          <w:rFonts w:ascii="Arial" w:hAnsi="Arial" w:cs="Arial"/>
        </w:rPr>
        <w:t xml:space="preserve">k 31. </w:t>
      </w:r>
      <w:r w:rsidR="00AB0FEF">
        <w:rPr>
          <w:rFonts w:ascii="Arial" w:hAnsi="Arial" w:cs="Arial"/>
        </w:rPr>
        <w:t>prosinci</w:t>
      </w:r>
      <w:r w:rsidRPr="00EC49E0">
        <w:rPr>
          <w:rFonts w:ascii="Arial" w:hAnsi="Arial" w:cs="Arial"/>
        </w:rPr>
        <w:t xml:space="preserve"> 2012</w:t>
      </w:r>
      <w:r w:rsidRPr="00EC49E0">
        <w:rPr>
          <w:rFonts w:ascii="Arial" w:eastAsia="Times New Roman" w:hAnsi="Arial" w:cs="Arial"/>
        </w:rPr>
        <w:t xml:space="preserve"> činil </w:t>
      </w:r>
      <w:r w:rsidRPr="00EC49E0">
        <w:rPr>
          <w:rFonts w:ascii="Arial" w:hAnsi="Arial" w:cs="Arial"/>
        </w:rPr>
        <w:t xml:space="preserve">16 350 mil. Kč. MF zahraniční pohledávky spolu s dalšími pohledávkami, které nebyly předmětem kontroly, vedlo na syntetickém účtu </w:t>
      </w:r>
      <w:r w:rsidRPr="00992855">
        <w:rPr>
          <w:rFonts w:ascii="Arial" w:hAnsi="Arial" w:cs="Arial"/>
        </w:rPr>
        <w:t>469</w:t>
      </w:r>
      <w:r w:rsidRPr="00EC49E0">
        <w:rPr>
          <w:rFonts w:ascii="Arial" w:hAnsi="Arial" w:cs="Arial"/>
          <w:i/>
        </w:rPr>
        <w:t xml:space="preserve"> – Ostatní dlouhodobé pohledávky</w:t>
      </w:r>
      <w:r w:rsidRPr="00EC49E0">
        <w:rPr>
          <w:rFonts w:ascii="Arial" w:hAnsi="Arial" w:cs="Arial"/>
        </w:rPr>
        <w:t xml:space="preserve"> a vykazovalo v rozvaze na položce </w:t>
      </w:r>
      <w:proofErr w:type="gramStart"/>
      <w:r w:rsidRPr="00EC49E0">
        <w:rPr>
          <w:rFonts w:ascii="Arial" w:hAnsi="Arial" w:cs="Arial"/>
          <w:i/>
        </w:rPr>
        <w:t>A.IV</w:t>
      </w:r>
      <w:proofErr w:type="gramEnd"/>
      <w:r w:rsidRPr="00EC49E0">
        <w:rPr>
          <w:rFonts w:ascii="Arial" w:hAnsi="Arial" w:cs="Arial"/>
          <w:i/>
        </w:rPr>
        <w:t>.6.</w:t>
      </w:r>
    </w:p>
    <w:p w:rsidR="00E84F75" w:rsidRDefault="00E84F75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Default="003B3B64" w:rsidP="00E8594A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Kontrolou bylo zjištěno</w:t>
      </w:r>
      <w:r w:rsidR="0050569F">
        <w:rPr>
          <w:rFonts w:ascii="Arial" w:hAnsi="Arial" w:cs="Arial"/>
        </w:rPr>
        <w:t>, že</w:t>
      </w:r>
      <w:r w:rsidR="007967CE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 xml:space="preserve">inventurní soupisy zahraničních pohledávek k 31. </w:t>
      </w:r>
      <w:r w:rsidR="00AB0FEF">
        <w:rPr>
          <w:rFonts w:ascii="Arial" w:hAnsi="Arial" w:cs="Arial"/>
        </w:rPr>
        <w:t>prosinci l</w:t>
      </w:r>
      <w:r w:rsidR="00E8594A">
        <w:rPr>
          <w:rFonts w:ascii="Arial" w:hAnsi="Arial" w:cs="Arial"/>
        </w:rPr>
        <w:t xml:space="preserve">et </w:t>
      </w:r>
      <w:r w:rsidRPr="00EC49E0">
        <w:rPr>
          <w:rFonts w:ascii="Arial" w:hAnsi="Arial" w:cs="Arial"/>
        </w:rPr>
        <w:t>2010, 2011 a 2012 neobsahovaly veškeré náležitosti stanovené zákonem o účetnictví</w:t>
      </w:r>
      <w:r w:rsidR="00E8594A">
        <w:rPr>
          <w:rFonts w:ascii="Arial" w:hAnsi="Arial" w:cs="Arial"/>
        </w:rPr>
        <w:t xml:space="preserve">. Dále bylo zjištěno, že </w:t>
      </w:r>
      <w:r w:rsidR="0050569F">
        <w:rPr>
          <w:rFonts w:ascii="Arial" w:hAnsi="Arial" w:cs="Arial"/>
        </w:rPr>
        <w:t>MF v kontrolovaném období</w:t>
      </w:r>
      <w:r w:rsidRPr="00EC49E0">
        <w:rPr>
          <w:rFonts w:ascii="Arial" w:hAnsi="Arial" w:cs="Arial"/>
        </w:rPr>
        <w:t xml:space="preserve"> v </w:t>
      </w:r>
      <w:r w:rsidR="00E17939">
        <w:rPr>
          <w:rFonts w:ascii="Arial" w:hAnsi="Arial" w:cs="Arial"/>
        </w:rPr>
        <w:t>účetnictví</w:t>
      </w:r>
      <w:r w:rsidRPr="00EC49E0">
        <w:rPr>
          <w:rFonts w:ascii="Arial" w:hAnsi="Arial" w:cs="Arial"/>
        </w:rPr>
        <w:t xml:space="preserve"> nesprávně nastavilo splatnost u tří pohledávek</w:t>
      </w:r>
      <w:r w:rsidR="0025362C">
        <w:rPr>
          <w:rFonts w:ascii="Arial" w:hAnsi="Arial" w:cs="Arial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97173C" w:rsidRDefault="003B3B64" w:rsidP="00F30C13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O stavu a vývoji zahraničních pohl</w:t>
      </w:r>
      <w:r w:rsidR="00535338" w:rsidRPr="00EC49E0">
        <w:rPr>
          <w:rFonts w:ascii="Arial" w:hAnsi="Arial" w:cs="Arial"/>
        </w:rPr>
        <w:t xml:space="preserve">edávek informuje MF každoročně </w:t>
      </w:r>
      <w:r w:rsidRPr="00EC49E0">
        <w:rPr>
          <w:rFonts w:ascii="Arial" w:hAnsi="Arial" w:cs="Arial"/>
        </w:rPr>
        <w:t>v</w:t>
      </w:r>
      <w:r w:rsidR="001C4C06">
        <w:rPr>
          <w:rFonts w:ascii="Arial" w:hAnsi="Arial" w:cs="Arial"/>
        </w:rPr>
        <w:t>e</w:t>
      </w:r>
      <w:r w:rsidR="006F5421">
        <w:rPr>
          <w:rFonts w:ascii="Arial" w:hAnsi="Arial" w:cs="Arial"/>
        </w:rPr>
        <w:t> </w:t>
      </w:r>
      <w:r w:rsidR="00E8594A">
        <w:rPr>
          <w:rFonts w:ascii="Arial" w:hAnsi="Arial" w:cs="Arial"/>
        </w:rPr>
        <w:t xml:space="preserve">SZÚ </w:t>
      </w:r>
      <w:r w:rsidR="00B83E14">
        <w:rPr>
          <w:rFonts w:ascii="Arial" w:hAnsi="Arial" w:cs="Arial"/>
        </w:rPr>
        <w:t xml:space="preserve">a </w:t>
      </w:r>
      <w:r w:rsidR="00B83E14" w:rsidRPr="00EC49E0">
        <w:rPr>
          <w:rFonts w:ascii="Arial" w:hAnsi="Arial" w:cs="Arial"/>
        </w:rPr>
        <w:t>v </w:t>
      </w:r>
      <w:r w:rsidR="006F5421">
        <w:rPr>
          <w:rFonts w:ascii="Arial" w:hAnsi="Arial" w:cs="Arial"/>
        </w:rPr>
        <w:t>r</w:t>
      </w:r>
      <w:r w:rsidR="00B83E14" w:rsidRPr="00EC49E0">
        <w:rPr>
          <w:rFonts w:ascii="Arial" w:hAnsi="Arial" w:cs="Arial"/>
        </w:rPr>
        <w:t xml:space="preserve">oční souhrnné zprávě o stavu a vývoji zahraničních pohledávek ČR (dále </w:t>
      </w:r>
      <w:r w:rsidR="006F5421">
        <w:rPr>
          <w:rFonts w:ascii="Arial" w:hAnsi="Arial" w:cs="Arial"/>
        </w:rPr>
        <w:t>též</w:t>
      </w:r>
      <w:r w:rsidR="00B83E14" w:rsidRPr="00EC49E0">
        <w:rPr>
          <w:rFonts w:ascii="Arial" w:hAnsi="Arial" w:cs="Arial"/>
        </w:rPr>
        <w:t xml:space="preserve"> „Roční souhrnná zpráva“)</w:t>
      </w:r>
      <w:r w:rsidR="00B83E14">
        <w:rPr>
          <w:rFonts w:ascii="Arial" w:hAnsi="Arial" w:cs="Arial"/>
        </w:rPr>
        <w:t>.</w:t>
      </w:r>
      <w:r w:rsidR="00B83E14" w:rsidRPr="00EC49E0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Roční souhrnnou zprávu předkládá MF pro informaci vládě</w:t>
      </w:r>
      <w:r w:rsidR="008C5F3E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</w:t>
      </w:r>
      <w:r w:rsidR="00535338" w:rsidRPr="00EC49E0">
        <w:rPr>
          <w:rFonts w:ascii="Arial" w:hAnsi="Arial" w:cs="Arial"/>
        </w:rPr>
        <w:t>V</w:t>
      </w:r>
      <w:r w:rsidR="001C4C06">
        <w:rPr>
          <w:rFonts w:ascii="Arial" w:hAnsi="Arial" w:cs="Arial"/>
        </w:rPr>
        <w:t>e</w:t>
      </w:r>
      <w:r w:rsidR="00535338" w:rsidRPr="00EC49E0">
        <w:rPr>
          <w:rFonts w:ascii="Arial" w:hAnsi="Arial" w:cs="Arial"/>
        </w:rPr>
        <w:t xml:space="preserve"> SZÚ za rok 2011 byl </w:t>
      </w:r>
      <w:r w:rsidR="0039391D" w:rsidRPr="00EC49E0">
        <w:rPr>
          <w:rFonts w:ascii="Arial" w:hAnsi="Arial" w:cs="Arial"/>
        </w:rPr>
        <w:t>c</w:t>
      </w:r>
      <w:r w:rsidRPr="00EC49E0">
        <w:rPr>
          <w:rFonts w:ascii="Arial" w:hAnsi="Arial" w:cs="Arial"/>
        </w:rPr>
        <w:t>elkový stav</w:t>
      </w:r>
      <w:r w:rsidR="00257C48" w:rsidRPr="00EC49E0">
        <w:rPr>
          <w:rFonts w:ascii="Arial" w:hAnsi="Arial" w:cs="Arial"/>
        </w:rPr>
        <w:t xml:space="preserve"> </w:t>
      </w:r>
      <w:r w:rsidR="00E8594A" w:rsidRPr="00EC49E0">
        <w:rPr>
          <w:rFonts w:ascii="Arial" w:hAnsi="Arial" w:cs="Arial"/>
        </w:rPr>
        <w:t xml:space="preserve">(22 316 mil. Kč) </w:t>
      </w:r>
      <w:r w:rsidR="00257C48" w:rsidRPr="00EC49E0">
        <w:rPr>
          <w:rFonts w:ascii="Arial" w:hAnsi="Arial" w:cs="Arial"/>
        </w:rPr>
        <w:t xml:space="preserve">vykazovaných </w:t>
      </w:r>
      <w:r w:rsidR="009B4FC9" w:rsidRPr="00EC49E0">
        <w:rPr>
          <w:rFonts w:ascii="Arial" w:hAnsi="Arial" w:cs="Arial"/>
        </w:rPr>
        <w:t>pohledávek (civilních i</w:t>
      </w:r>
      <w:r w:rsidR="0092332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speciálních) nižší cca</w:t>
      </w:r>
      <w:r w:rsidR="004C6464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o</w:t>
      </w:r>
      <w:r w:rsidR="004C6464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37 mil. Kč</w:t>
      </w:r>
      <w:r w:rsidR="00257C48" w:rsidRPr="00EC49E0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a</w:t>
      </w:r>
      <w:r w:rsidR="00257C48" w:rsidRPr="00EC49E0">
        <w:rPr>
          <w:rFonts w:ascii="Arial" w:hAnsi="Arial" w:cs="Arial"/>
        </w:rPr>
        <w:t xml:space="preserve"> </w:t>
      </w:r>
      <w:r w:rsidR="006F5421">
        <w:rPr>
          <w:rFonts w:ascii="Arial" w:hAnsi="Arial" w:cs="Arial"/>
        </w:rPr>
        <w:t>v</w:t>
      </w:r>
      <w:r w:rsidR="00F30C13">
        <w:rPr>
          <w:rFonts w:ascii="Arial" w:hAnsi="Arial" w:cs="Arial"/>
        </w:rPr>
        <w:t>e</w:t>
      </w:r>
      <w:r w:rsidR="006F5421">
        <w:rPr>
          <w:rFonts w:ascii="Arial" w:hAnsi="Arial" w:cs="Arial"/>
        </w:rPr>
        <w:t xml:space="preserve"> SZÚ </w:t>
      </w:r>
      <w:r w:rsidR="00257C48" w:rsidRPr="00EC49E0">
        <w:rPr>
          <w:rFonts w:ascii="Arial" w:hAnsi="Arial" w:cs="Arial"/>
        </w:rPr>
        <w:t>za rok 2012 (22</w:t>
      </w:r>
      <w:r w:rsidR="009B4FC9" w:rsidRPr="00EC49E0">
        <w:rPr>
          <w:rFonts w:ascii="Arial" w:hAnsi="Arial" w:cs="Arial"/>
        </w:rPr>
        <w:t xml:space="preserve"> </w:t>
      </w:r>
      <w:r w:rsidR="00257C48" w:rsidRPr="00EC49E0">
        <w:rPr>
          <w:rFonts w:ascii="Arial" w:hAnsi="Arial" w:cs="Arial"/>
        </w:rPr>
        <w:t xml:space="preserve">031 mil. Kč) </w:t>
      </w:r>
      <w:r w:rsidR="006F5421">
        <w:rPr>
          <w:rFonts w:ascii="Arial" w:hAnsi="Arial" w:cs="Arial"/>
        </w:rPr>
        <w:t xml:space="preserve">byl </w:t>
      </w:r>
      <w:r w:rsidR="002D678C">
        <w:rPr>
          <w:rFonts w:ascii="Arial" w:hAnsi="Arial" w:cs="Arial"/>
        </w:rPr>
        <w:t xml:space="preserve">nižší </w:t>
      </w:r>
      <w:r w:rsidRPr="00EC49E0">
        <w:rPr>
          <w:rFonts w:ascii="Arial" w:hAnsi="Arial" w:cs="Arial"/>
        </w:rPr>
        <w:t>o cca 41 mil. Kč</w:t>
      </w:r>
      <w:r w:rsidR="00257C48" w:rsidRPr="00EC49E0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>oproti stavu uváděnému v Ročních souhrnných zprávách za s</w:t>
      </w:r>
      <w:r w:rsidR="00257C48" w:rsidRPr="00EC49E0">
        <w:rPr>
          <w:rFonts w:ascii="Arial" w:hAnsi="Arial" w:cs="Arial"/>
        </w:rPr>
        <w:t xml:space="preserve">tejné </w:t>
      </w:r>
      <w:r w:rsidR="006F5421">
        <w:rPr>
          <w:rFonts w:ascii="Arial" w:hAnsi="Arial" w:cs="Arial"/>
        </w:rPr>
        <w:t>roky</w:t>
      </w:r>
      <w:r w:rsidRPr="00EC49E0">
        <w:rPr>
          <w:rFonts w:ascii="Arial" w:hAnsi="Arial" w:cs="Arial"/>
        </w:rPr>
        <w:t xml:space="preserve">. Rozdíl představoval pohledávku </w:t>
      </w:r>
      <w:r w:rsidR="00257C48" w:rsidRPr="00EC49E0">
        <w:rPr>
          <w:rFonts w:ascii="Arial" w:hAnsi="Arial" w:cs="Arial"/>
        </w:rPr>
        <w:t xml:space="preserve">uplatněnou </w:t>
      </w:r>
      <w:r w:rsidRPr="00EC49E0">
        <w:rPr>
          <w:rFonts w:ascii="Arial" w:hAnsi="Arial" w:cs="Arial"/>
        </w:rPr>
        <w:t xml:space="preserve">za fyzickými osobami v souvislosti s původní pohledávkou </w:t>
      </w:r>
      <w:r w:rsidR="006F5421">
        <w:rPr>
          <w:rFonts w:ascii="Arial" w:hAnsi="Arial" w:cs="Arial"/>
        </w:rPr>
        <w:t>vůči</w:t>
      </w:r>
      <w:r w:rsidRPr="00EC49E0">
        <w:rPr>
          <w:rFonts w:ascii="Arial" w:hAnsi="Arial" w:cs="Arial"/>
        </w:rPr>
        <w:t xml:space="preserve"> Peru.</w:t>
      </w:r>
    </w:p>
    <w:p w:rsidR="00D53C6D" w:rsidRPr="0097173C" w:rsidRDefault="00D53C6D" w:rsidP="00F30C13">
      <w:pPr>
        <w:spacing w:after="0" w:line="240" w:lineRule="auto"/>
        <w:jc w:val="right"/>
        <w:rPr>
          <w:rFonts w:ascii="Arial" w:hAnsi="Arial" w:cs="Arial"/>
        </w:rPr>
      </w:pPr>
    </w:p>
    <w:p w:rsidR="002D678C" w:rsidRDefault="003B3B64" w:rsidP="000B7E5F">
      <w:pPr>
        <w:spacing w:after="0" w:line="240" w:lineRule="auto"/>
        <w:jc w:val="both"/>
        <w:rPr>
          <w:rFonts w:ascii="Arial" w:hAnsi="Arial" w:cs="Arial"/>
        </w:rPr>
      </w:pPr>
      <w:r w:rsidRPr="004115A1">
        <w:rPr>
          <w:rFonts w:ascii="Arial" w:hAnsi="Arial" w:cs="Arial"/>
        </w:rPr>
        <w:t>Součástí SZÚ</w:t>
      </w:r>
      <w:r w:rsidR="00BB7AD9" w:rsidRPr="004115A1">
        <w:rPr>
          <w:rFonts w:ascii="Arial" w:hAnsi="Arial" w:cs="Arial"/>
        </w:rPr>
        <w:t xml:space="preserve"> za příslušný rozpočtový rok</w:t>
      </w:r>
      <w:r w:rsidRPr="004115A1">
        <w:rPr>
          <w:rFonts w:ascii="Arial" w:hAnsi="Arial" w:cs="Arial"/>
        </w:rPr>
        <w:t xml:space="preserve"> </w:t>
      </w:r>
      <w:r w:rsidR="00B83E14" w:rsidRPr="004115A1">
        <w:rPr>
          <w:rFonts w:ascii="Arial" w:hAnsi="Arial" w:cs="Arial"/>
        </w:rPr>
        <w:t xml:space="preserve">je i část </w:t>
      </w:r>
      <w:r w:rsidR="006F5421">
        <w:rPr>
          <w:rFonts w:ascii="Arial" w:hAnsi="Arial" w:cs="Arial"/>
        </w:rPr>
        <w:t>obsahující</w:t>
      </w:r>
      <w:r w:rsidRPr="004115A1">
        <w:rPr>
          <w:rFonts w:ascii="Arial" w:hAnsi="Arial" w:cs="Arial"/>
        </w:rPr>
        <w:t xml:space="preserve"> vyhodnocení vývoje státních finančních aktiv a pasiv a</w:t>
      </w:r>
      <w:r w:rsidR="0025362C" w:rsidRPr="004115A1">
        <w:rPr>
          <w:rFonts w:ascii="Arial" w:hAnsi="Arial" w:cs="Arial"/>
        </w:rPr>
        <w:t> </w:t>
      </w:r>
      <w:r w:rsidRPr="004115A1">
        <w:rPr>
          <w:rFonts w:ascii="Arial" w:hAnsi="Arial" w:cs="Arial"/>
        </w:rPr>
        <w:t>přehled o</w:t>
      </w:r>
      <w:r w:rsidR="00A04BA8" w:rsidRPr="004115A1">
        <w:rPr>
          <w:rFonts w:ascii="Arial" w:hAnsi="Arial" w:cs="Arial"/>
        </w:rPr>
        <w:t xml:space="preserve"> jejich</w:t>
      </w:r>
      <w:r w:rsidRPr="004115A1">
        <w:rPr>
          <w:rFonts w:ascii="Arial" w:hAnsi="Arial" w:cs="Arial"/>
        </w:rPr>
        <w:t xml:space="preserve"> </w:t>
      </w:r>
      <w:r w:rsidR="00F34B20" w:rsidRPr="004115A1">
        <w:rPr>
          <w:rFonts w:ascii="Arial" w:hAnsi="Arial" w:cs="Arial"/>
        </w:rPr>
        <w:t>stavu</w:t>
      </w:r>
      <w:r w:rsidR="00BB7AD9" w:rsidRPr="004115A1">
        <w:rPr>
          <w:rFonts w:ascii="Arial" w:hAnsi="Arial" w:cs="Arial"/>
        </w:rPr>
        <w:t xml:space="preserve">. </w:t>
      </w:r>
      <w:r w:rsidR="002E228C" w:rsidRPr="004115A1">
        <w:rPr>
          <w:rFonts w:ascii="Arial" w:hAnsi="Arial" w:cs="Arial"/>
        </w:rPr>
        <w:t>MF uvádělo zahraniční pohledávky v</w:t>
      </w:r>
      <w:r w:rsidR="00CC735A" w:rsidRPr="004115A1">
        <w:rPr>
          <w:rFonts w:ascii="Arial" w:hAnsi="Arial" w:cs="Arial"/>
        </w:rPr>
        <w:t xml:space="preserve"> uvedeném </w:t>
      </w:r>
      <w:r w:rsidR="002E228C" w:rsidRPr="004115A1">
        <w:rPr>
          <w:rFonts w:ascii="Arial" w:hAnsi="Arial" w:cs="Arial"/>
        </w:rPr>
        <w:t xml:space="preserve">přehledu a hodnotilo jejich vývoj, aniž zohlednilo významné přechodné snížení </w:t>
      </w:r>
      <w:r w:rsidR="002E228C" w:rsidRPr="004115A1">
        <w:rPr>
          <w:rFonts w:ascii="Arial" w:hAnsi="Arial" w:cs="Arial"/>
        </w:rPr>
        <w:lastRenderedPageBreak/>
        <w:t xml:space="preserve">hodnoty majetku vyjádřené v účetnictví opravnými položkami, které </w:t>
      </w:r>
      <w:r w:rsidR="004115A1" w:rsidRPr="004115A1">
        <w:rPr>
          <w:rFonts w:ascii="Arial" w:hAnsi="Arial" w:cs="Arial"/>
        </w:rPr>
        <w:t>v</w:t>
      </w:r>
      <w:r w:rsidR="002E228C" w:rsidRPr="004115A1">
        <w:rPr>
          <w:rFonts w:ascii="Arial" w:hAnsi="Arial" w:cs="Arial"/>
        </w:rPr>
        <w:t> roce 2011 představovaly hodnotu cca 4,8 mld. Kč a v roce 2012 cca 5,5 mld. Kč.</w:t>
      </w:r>
      <w:r w:rsidRPr="004115A1">
        <w:rPr>
          <w:rFonts w:ascii="Arial" w:hAnsi="Arial" w:cs="Arial"/>
        </w:rPr>
        <w:t xml:space="preserve"> </w:t>
      </w:r>
      <w:r w:rsidR="00BB7AD9" w:rsidRPr="004115A1">
        <w:rPr>
          <w:rFonts w:ascii="Arial" w:hAnsi="Arial" w:cs="Arial"/>
        </w:rPr>
        <w:t xml:space="preserve">MF tímto de facto </w:t>
      </w:r>
      <w:r w:rsidR="00E8594A">
        <w:rPr>
          <w:rFonts w:ascii="Arial" w:hAnsi="Arial" w:cs="Arial"/>
        </w:rPr>
        <w:t xml:space="preserve">státní finanční aktiva </w:t>
      </w:r>
      <w:r w:rsidR="00E8594A" w:rsidRPr="004115A1">
        <w:rPr>
          <w:rFonts w:ascii="Arial" w:hAnsi="Arial" w:cs="Arial"/>
        </w:rPr>
        <w:t>nadhodnocovalo</w:t>
      </w:r>
      <w:r w:rsidR="00E8594A">
        <w:rPr>
          <w:rFonts w:ascii="Arial" w:hAnsi="Arial" w:cs="Arial"/>
        </w:rPr>
        <w:t>.</w:t>
      </w:r>
    </w:p>
    <w:p w:rsidR="00D53C6D" w:rsidRPr="004115A1" w:rsidRDefault="00D53C6D" w:rsidP="000B7E5F">
      <w:pPr>
        <w:spacing w:after="0" w:line="240" w:lineRule="auto"/>
        <w:jc w:val="both"/>
        <w:rPr>
          <w:rFonts w:ascii="Arial" w:hAnsi="Arial" w:cs="Arial"/>
        </w:rPr>
      </w:pPr>
    </w:p>
    <w:p w:rsidR="003B3B64" w:rsidRDefault="00257C48" w:rsidP="000B7E5F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 xml:space="preserve">Kontrolou bylo také zjištěno, že MF uplatňuje nesystémový přístup </w:t>
      </w:r>
      <w:r w:rsidR="00186265">
        <w:rPr>
          <w:rFonts w:ascii="Arial" w:hAnsi="Arial" w:cs="Arial"/>
        </w:rPr>
        <w:t>k </w:t>
      </w:r>
      <w:r w:rsidRPr="00EC49E0">
        <w:rPr>
          <w:rFonts w:ascii="Arial" w:hAnsi="Arial" w:cs="Arial"/>
        </w:rPr>
        <w:t xml:space="preserve">pohledávkám, které jsou součástí státních finančních aktiv. U jedné části pohledávek </w:t>
      </w:r>
      <w:r w:rsidR="00186265">
        <w:rPr>
          <w:rFonts w:ascii="Arial" w:hAnsi="Arial" w:cs="Arial"/>
        </w:rPr>
        <w:t>z </w:t>
      </w:r>
      <w:r w:rsidRPr="00EC49E0">
        <w:rPr>
          <w:rFonts w:ascii="Arial" w:hAnsi="Arial" w:cs="Arial"/>
        </w:rPr>
        <w:t xml:space="preserve">úvěrů podmiňuje </w:t>
      </w:r>
      <w:r w:rsidR="00481BF4" w:rsidRPr="00EC49E0">
        <w:rPr>
          <w:rFonts w:ascii="Arial" w:hAnsi="Arial" w:cs="Arial"/>
        </w:rPr>
        <w:t xml:space="preserve">MF </w:t>
      </w:r>
      <w:r w:rsidRPr="00EC49E0">
        <w:rPr>
          <w:rFonts w:ascii="Arial" w:hAnsi="Arial" w:cs="Arial"/>
        </w:rPr>
        <w:t>jejich zařazení do státních finančních aktiv poskytnutím prostředků ze státních finančních aktiv, u jiné (</w:t>
      </w:r>
      <w:r w:rsidR="00186265">
        <w:rPr>
          <w:rFonts w:ascii="Arial" w:hAnsi="Arial" w:cs="Arial"/>
        </w:rPr>
        <w:t>v </w:t>
      </w:r>
      <w:r w:rsidRPr="00EC49E0">
        <w:rPr>
          <w:rFonts w:ascii="Arial" w:hAnsi="Arial" w:cs="Arial"/>
        </w:rPr>
        <w:t xml:space="preserve">současné době větší) části </w:t>
      </w:r>
      <w:r w:rsidR="00E8594A">
        <w:rPr>
          <w:rFonts w:ascii="Arial" w:hAnsi="Arial" w:cs="Arial"/>
        </w:rPr>
        <w:t>toto kritérium</w:t>
      </w:r>
      <w:r w:rsidRPr="00EC49E0">
        <w:rPr>
          <w:rFonts w:ascii="Arial" w:hAnsi="Arial" w:cs="Arial"/>
        </w:rPr>
        <w:t xml:space="preserve"> neuplatňuje. </w:t>
      </w:r>
    </w:p>
    <w:p w:rsidR="00D53C6D" w:rsidRPr="00EC49E0" w:rsidRDefault="00D53C6D" w:rsidP="000B7E5F">
      <w:pPr>
        <w:spacing w:after="0" w:line="240" w:lineRule="auto"/>
        <w:jc w:val="both"/>
        <w:rPr>
          <w:rFonts w:ascii="Arial" w:hAnsi="Arial" w:cs="Arial"/>
        </w:rPr>
      </w:pPr>
    </w:p>
    <w:p w:rsidR="00AD14F8" w:rsidRDefault="003B3B64" w:rsidP="000B7E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49E0">
        <w:rPr>
          <w:rFonts w:ascii="Arial" w:eastAsia="Times New Roman" w:hAnsi="Arial" w:cs="Arial"/>
        </w:rPr>
        <w:t xml:space="preserve">Údaje o celkových příjmech z pohledávek včetně </w:t>
      </w:r>
      <w:r w:rsidR="00481BF4">
        <w:rPr>
          <w:rFonts w:ascii="Arial" w:eastAsia="Times New Roman" w:hAnsi="Arial" w:cs="Arial"/>
        </w:rPr>
        <w:t xml:space="preserve">informací o </w:t>
      </w:r>
      <w:r w:rsidRPr="00EC49E0">
        <w:rPr>
          <w:rFonts w:ascii="Arial" w:eastAsia="Times New Roman" w:hAnsi="Arial" w:cs="Arial"/>
        </w:rPr>
        <w:t>úhrad</w:t>
      </w:r>
      <w:r w:rsidR="00481BF4">
        <w:rPr>
          <w:rFonts w:ascii="Arial" w:eastAsia="Times New Roman" w:hAnsi="Arial" w:cs="Arial"/>
        </w:rPr>
        <w:t>ách</w:t>
      </w:r>
      <w:r w:rsidRPr="00EC49E0">
        <w:rPr>
          <w:rFonts w:ascii="Arial" w:eastAsia="Times New Roman" w:hAnsi="Arial" w:cs="Arial"/>
        </w:rPr>
        <w:t xml:space="preserve"> podle jednotlivých dlužnických zemí uvádělo </w:t>
      </w:r>
      <w:r w:rsidR="00D829F6" w:rsidRPr="00EC49E0">
        <w:rPr>
          <w:rFonts w:ascii="Arial" w:eastAsia="Times New Roman" w:hAnsi="Arial" w:cs="Arial"/>
        </w:rPr>
        <w:t xml:space="preserve">MF </w:t>
      </w:r>
      <w:r w:rsidR="00186265">
        <w:rPr>
          <w:rFonts w:ascii="Arial" w:eastAsia="Times New Roman" w:hAnsi="Arial" w:cs="Arial"/>
        </w:rPr>
        <w:t>v </w:t>
      </w:r>
      <w:r w:rsidRPr="00EC49E0">
        <w:rPr>
          <w:rFonts w:ascii="Arial" w:eastAsia="Times New Roman" w:hAnsi="Arial" w:cs="Arial"/>
        </w:rPr>
        <w:t xml:space="preserve">kontrolovaném období v kapitole </w:t>
      </w:r>
      <w:r w:rsidRPr="000B7E5F">
        <w:rPr>
          <w:rFonts w:ascii="Arial" w:eastAsia="Times New Roman" w:hAnsi="Arial" w:cs="Arial"/>
          <w:i/>
        </w:rPr>
        <w:t>Všeobecná pokladní správa</w:t>
      </w:r>
      <w:r w:rsidR="007D3B96">
        <w:rPr>
          <w:rFonts w:ascii="Arial" w:eastAsia="Times New Roman" w:hAnsi="Arial" w:cs="Arial"/>
        </w:rPr>
        <w:t>.</w:t>
      </w:r>
    </w:p>
    <w:p w:rsidR="00D53C6D" w:rsidRDefault="00D53C6D" w:rsidP="000B7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72BB" w:rsidRDefault="003B3B64" w:rsidP="000B7E5F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C49E0">
        <w:rPr>
          <w:rFonts w:ascii="Arial" w:eastAsia="Times New Roman" w:hAnsi="Arial" w:cs="Arial"/>
          <w:bCs/>
        </w:rPr>
        <w:t>Příjmy z úhrad zahraničních pohledávek</w:t>
      </w:r>
      <w:r w:rsidR="001E5BEE">
        <w:rPr>
          <w:rFonts w:ascii="Arial" w:eastAsia="Times New Roman" w:hAnsi="Arial" w:cs="Arial"/>
          <w:bCs/>
        </w:rPr>
        <w:t xml:space="preserve"> (inkasa)</w:t>
      </w:r>
      <w:r w:rsidRPr="00EC49E0">
        <w:rPr>
          <w:rFonts w:ascii="Arial" w:eastAsia="Times New Roman" w:hAnsi="Arial" w:cs="Arial"/>
          <w:bCs/>
        </w:rPr>
        <w:t xml:space="preserve"> v letech 2006–2012 jsou uvedeny v </w:t>
      </w:r>
      <w:r w:rsidR="001E5BEE">
        <w:rPr>
          <w:rFonts w:ascii="Arial" w:eastAsia="Times New Roman" w:hAnsi="Arial" w:cs="Arial"/>
          <w:bCs/>
        </w:rPr>
        <w:t>t</w:t>
      </w:r>
      <w:r w:rsidRPr="00EC49E0">
        <w:rPr>
          <w:rFonts w:ascii="Arial" w:eastAsia="Times New Roman" w:hAnsi="Arial" w:cs="Arial"/>
          <w:bCs/>
        </w:rPr>
        <w:t>abulce</w:t>
      </w:r>
      <w:r w:rsidR="00626828" w:rsidRPr="00EC49E0">
        <w:rPr>
          <w:rFonts w:ascii="Arial" w:eastAsia="Times New Roman" w:hAnsi="Arial" w:cs="Arial"/>
          <w:bCs/>
        </w:rPr>
        <w:t xml:space="preserve"> č</w:t>
      </w:r>
      <w:r w:rsidR="0025362C">
        <w:rPr>
          <w:rFonts w:ascii="Arial" w:eastAsia="Times New Roman" w:hAnsi="Arial" w:cs="Arial"/>
          <w:bCs/>
        </w:rPr>
        <w:t xml:space="preserve">. </w:t>
      </w:r>
      <w:r w:rsidR="0039391D" w:rsidRPr="00EC49E0">
        <w:rPr>
          <w:rFonts w:ascii="Arial" w:eastAsia="Times New Roman" w:hAnsi="Arial" w:cs="Arial"/>
          <w:bCs/>
        </w:rPr>
        <w:t>5.</w:t>
      </w:r>
    </w:p>
    <w:p w:rsidR="00D53C6D" w:rsidRDefault="00D53C6D" w:rsidP="000B7E5F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3B3B64" w:rsidRPr="00EC49E0" w:rsidRDefault="003B3B64" w:rsidP="000B7E5F">
      <w:pPr>
        <w:tabs>
          <w:tab w:val="right" w:pos="9072"/>
        </w:tabs>
        <w:spacing w:after="40" w:line="240" w:lineRule="auto"/>
        <w:jc w:val="both"/>
        <w:rPr>
          <w:rFonts w:ascii="Arial" w:eastAsia="Times New Roman" w:hAnsi="Arial" w:cs="Arial"/>
          <w:b/>
        </w:rPr>
      </w:pPr>
      <w:r w:rsidRPr="00EC49E0">
        <w:rPr>
          <w:rFonts w:ascii="Arial" w:eastAsia="Times New Roman" w:hAnsi="Arial" w:cs="Arial"/>
          <w:b/>
        </w:rPr>
        <w:t>Tabulka</w:t>
      </w:r>
      <w:r w:rsidR="00626828" w:rsidRPr="00EC49E0">
        <w:rPr>
          <w:rFonts w:ascii="Arial" w:eastAsia="Times New Roman" w:hAnsi="Arial" w:cs="Arial"/>
          <w:b/>
        </w:rPr>
        <w:t xml:space="preserve"> č. </w:t>
      </w:r>
      <w:r w:rsidR="009D1015" w:rsidRPr="00EC49E0">
        <w:rPr>
          <w:rFonts w:ascii="Arial" w:eastAsia="Times New Roman" w:hAnsi="Arial" w:cs="Arial"/>
          <w:b/>
        </w:rPr>
        <w:t>5</w:t>
      </w:r>
      <w:r w:rsidRPr="00EC49E0">
        <w:rPr>
          <w:rFonts w:ascii="Arial" w:eastAsia="Times New Roman" w:hAnsi="Arial" w:cs="Arial"/>
          <w:b/>
        </w:rPr>
        <w:t xml:space="preserve"> – Inkasa zahraničních pohledávek civilního charakteru </w:t>
      </w:r>
      <w:r w:rsidR="00481BF4">
        <w:rPr>
          <w:rFonts w:ascii="Arial" w:eastAsia="Times New Roman" w:hAnsi="Arial" w:cs="Arial"/>
          <w:b/>
        </w:rPr>
        <w:tab/>
      </w:r>
      <w:r w:rsidRPr="00EC49E0">
        <w:rPr>
          <w:rFonts w:ascii="Arial" w:eastAsia="Times New Roman" w:hAnsi="Arial" w:cs="Arial"/>
          <w:b/>
        </w:rPr>
        <w:t>(</w:t>
      </w:r>
      <w:r w:rsidR="00186265">
        <w:rPr>
          <w:rFonts w:ascii="Arial" w:eastAsia="Times New Roman" w:hAnsi="Arial" w:cs="Arial"/>
          <w:b/>
        </w:rPr>
        <w:t>v </w:t>
      </w:r>
      <w:r w:rsidRPr="00EC49E0">
        <w:rPr>
          <w:rFonts w:ascii="Arial" w:eastAsia="Times New Roman" w:hAnsi="Arial" w:cs="Arial"/>
          <w:b/>
        </w:rPr>
        <w:t>tis. Kč)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94"/>
        <w:gridCol w:w="1094"/>
        <w:gridCol w:w="1094"/>
        <w:gridCol w:w="1094"/>
        <w:gridCol w:w="1094"/>
        <w:gridCol w:w="1094"/>
        <w:gridCol w:w="1094"/>
      </w:tblGrid>
      <w:tr w:rsidR="003B3B64" w:rsidRPr="00EC49E0" w:rsidTr="000B7E5F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B3B64" w:rsidRPr="00E86BF7" w:rsidRDefault="00257C48" w:rsidP="00951D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 xml:space="preserve">Stát 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vMerge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2007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2008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2009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2011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F7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Afghánistán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481B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4 116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Albánie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49 521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481B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21 231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21 530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19 774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19 021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19 505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20 614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4C64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Alžírsko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234 851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50 325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41 741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179 810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4 687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Irák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12 216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27 792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85 279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151 976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Indie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4 200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160 912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Laos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481B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826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826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1 011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E97936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Barma</w:t>
            </w:r>
          </w:p>
          <w:p w:rsidR="003B3B64" w:rsidRPr="00E86BF7" w:rsidRDefault="003B3B64" w:rsidP="00E979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(Myanmar)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 xml:space="preserve">67 520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51 668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91 654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101 658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141 028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16 908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Peru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5 068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Nikaragua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481B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10 802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10 191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7 299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8 883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Rusko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1 043 025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48 345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308 581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2 572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1 515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3 450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Sýrie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481B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81 065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6BF7">
              <w:rPr>
                <w:rFonts w:ascii="Arial" w:hAnsi="Arial" w:cs="Arial"/>
                <w:sz w:val="18"/>
                <w:szCs w:val="18"/>
              </w:rPr>
              <w:t>9 638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E86BF7" w:rsidRDefault="00481BF4" w:rsidP="00951D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481BF4" w:rsidRPr="00EC49E0" w:rsidTr="000B7E5F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B3B64" w:rsidRPr="000B7E5F" w:rsidRDefault="00257C48" w:rsidP="00951D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1 491 810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188 202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481 191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484 264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200 168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123 207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B3B64" w:rsidRPr="000B7E5F" w:rsidRDefault="003B3B64" w:rsidP="00951D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7E5F">
              <w:rPr>
                <w:rFonts w:ascii="Arial" w:hAnsi="Arial" w:cs="Arial"/>
                <w:b/>
                <w:sz w:val="18"/>
                <w:szCs w:val="18"/>
              </w:rPr>
              <w:t>176 130</w:t>
            </w:r>
          </w:p>
        </w:tc>
      </w:tr>
    </w:tbl>
    <w:p w:rsidR="003B3B64" w:rsidRPr="00923320" w:rsidRDefault="003B3B64" w:rsidP="003B3B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3320">
        <w:rPr>
          <w:rFonts w:ascii="Arial" w:eastAsia="Times New Roman" w:hAnsi="Arial" w:cs="Arial"/>
          <w:b/>
          <w:sz w:val="18"/>
          <w:szCs w:val="18"/>
        </w:rPr>
        <w:t>Zdroj</w:t>
      </w:r>
      <w:r w:rsidRPr="000B7E5F">
        <w:rPr>
          <w:rFonts w:ascii="Arial" w:eastAsia="Times New Roman" w:hAnsi="Arial" w:cs="Arial"/>
          <w:b/>
          <w:sz w:val="18"/>
          <w:szCs w:val="18"/>
        </w:rPr>
        <w:t>:</w:t>
      </w:r>
      <w:r w:rsidRPr="00923320">
        <w:rPr>
          <w:rFonts w:ascii="Arial" w:eastAsia="Times New Roman" w:hAnsi="Arial" w:cs="Arial"/>
          <w:sz w:val="18"/>
          <w:szCs w:val="18"/>
        </w:rPr>
        <w:t xml:space="preserve"> </w:t>
      </w:r>
      <w:r w:rsidR="00481BF4">
        <w:rPr>
          <w:rFonts w:ascii="Arial" w:eastAsia="Times New Roman" w:hAnsi="Arial" w:cs="Arial"/>
          <w:sz w:val="18"/>
          <w:szCs w:val="18"/>
        </w:rPr>
        <w:t>r</w:t>
      </w:r>
      <w:r w:rsidRPr="00923320">
        <w:rPr>
          <w:rFonts w:ascii="Arial" w:eastAsia="Times New Roman" w:hAnsi="Arial" w:cs="Arial"/>
          <w:sz w:val="18"/>
          <w:szCs w:val="18"/>
        </w:rPr>
        <w:t>oční souhrnné zprávy o stavu a vývoji zahraničních pohledávek ČR za roky 2006–2012</w:t>
      </w:r>
      <w:r w:rsidR="007806FE">
        <w:rPr>
          <w:rFonts w:ascii="Arial" w:eastAsia="Times New Roman" w:hAnsi="Arial" w:cs="Arial"/>
          <w:sz w:val="18"/>
          <w:szCs w:val="18"/>
        </w:rPr>
        <w:t>.</w:t>
      </w:r>
    </w:p>
    <w:p w:rsidR="003B3B64" w:rsidRPr="00EC49E0" w:rsidRDefault="003B3B64" w:rsidP="003B3B64">
      <w:pPr>
        <w:spacing w:after="0" w:line="240" w:lineRule="auto"/>
        <w:jc w:val="both"/>
        <w:rPr>
          <w:rFonts w:ascii="Arial" w:hAnsi="Arial" w:cs="Arial"/>
        </w:rPr>
      </w:pPr>
    </w:p>
    <w:p w:rsidR="003B3B64" w:rsidRPr="00EC49E0" w:rsidRDefault="00186265" w:rsidP="000B7E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B3B64" w:rsidRPr="00EC49E0">
        <w:rPr>
          <w:rFonts w:ascii="Arial" w:hAnsi="Arial" w:cs="Arial"/>
        </w:rPr>
        <w:t xml:space="preserve">letech 2006 až 2012 </w:t>
      </w:r>
      <w:r w:rsidR="00AD14F8" w:rsidRPr="00EC49E0">
        <w:rPr>
          <w:rFonts w:ascii="Arial" w:hAnsi="Arial" w:cs="Arial"/>
        </w:rPr>
        <w:t xml:space="preserve">MF </w:t>
      </w:r>
      <w:r w:rsidR="003B3B64" w:rsidRPr="00EC49E0">
        <w:rPr>
          <w:rFonts w:ascii="Arial" w:hAnsi="Arial" w:cs="Arial"/>
        </w:rPr>
        <w:t xml:space="preserve">inkasovalo ze zahraničních pohledávek </w:t>
      </w:r>
      <w:r w:rsidR="00AD14F8">
        <w:rPr>
          <w:rFonts w:ascii="Arial" w:hAnsi="Arial" w:cs="Arial"/>
        </w:rPr>
        <w:t>c</w:t>
      </w:r>
      <w:r w:rsidR="00AD14F8" w:rsidRPr="00EC49E0">
        <w:rPr>
          <w:rFonts w:ascii="Arial" w:hAnsi="Arial" w:cs="Arial"/>
        </w:rPr>
        <w:t xml:space="preserve">elkem </w:t>
      </w:r>
      <w:r w:rsidR="003B3B64" w:rsidRPr="00EC49E0">
        <w:rPr>
          <w:rFonts w:ascii="Arial" w:hAnsi="Arial" w:cs="Arial"/>
        </w:rPr>
        <w:t>3 144 972</w:t>
      </w:r>
      <w:r w:rsidR="00B40065">
        <w:rPr>
          <w:rFonts w:ascii="Arial" w:hAnsi="Arial" w:cs="Arial"/>
        </w:rPr>
        <w:t> tis.</w:t>
      </w:r>
      <w:r w:rsidR="00923320">
        <w:rPr>
          <w:rFonts w:ascii="Arial" w:hAnsi="Arial" w:cs="Arial"/>
        </w:rPr>
        <w:t> </w:t>
      </w:r>
      <w:r w:rsidR="003B3B64" w:rsidRPr="00EC49E0">
        <w:rPr>
          <w:rFonts w:ascii="Arial" w:hAnsi="Arial" w:cs="Arial"/>
        </w:rPr>
        <w:t>Kč</w:t>
      </w:r>
      <w:r w:rsidR="00E17939">
        <w:rPr>
          <w:rFonts w:ascii="Arial" w:hAnsi="Arial" w:cs="Arial"/>
        </w:rPr>
        <w:t xml:space="preserve">, z toho </w:t>
      </w:r>
      <w:r>
        <w:rPr>
          <w:rFonts w:ascii="Arial" w:hAnsi="Arial" w:cs="Arial"/>
        </w:rPr>
        <w:t>v </w:t>
      </w:r>
      <w:r w:rsidR="00E17939">
        <w:rPr>
          <w:rFonts w:ascii="Arial" w:hAnsi="Arial" w:cs="Arial"/>
        </w:rPr>
        <w:t>kontrolovaném období (2011 a 2012) činilo inkaso</w:t>
      </w:r>
      <w:r w:rsidR="00AD14F8">
        <w:rPr>
          <w:rFonts w:ascii="Arial" w:hAnsi="Arial" w:cs="Arial"/>
        </w:rPr>
        <w:t xml:space="preserve"> pouze</w:t>
      </w:r>
      <w:r w:rsidR="00E17939">
        <w:rPr>
          <w:rFonts w:ascii="Arial" w:hAnsi="Arial" w:cs="Arial"/>
        </w:rPr>
        <w:t xml:space="preserve"> 299 337 </w:t>
      </w:r>
      <w:r w:rsidR="00B40065">
        <w:rPr>
          <w:rFonts w:ascii="Arial" w:hAnsi="Arial" w:cs="Arial"/>
        </w:rPr>
        <w:t>tis.</w:t>
      </w:r>
      <w:r w:rsidR="00E17939">
        <w:rPr>
          <w:rFonts w:ascii="Arial" w:hAnsi="Arial" w:cs="Arial"/>
        </w:rPr>
        <w:t xml:space="preserve"> Kč.</w:t>
      </w:r>
    </w:p>
    <w:p w:rsidR="00577DCD" w:rsidRDefault="00577DCD" w:rsidP="000F77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7DCD" w:rsidRDefault="00577DCD" w:rsidP="007806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31BFD" w:rsidRDefault="00731B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B3B64" w:rsidRPr="000008B0" w:rsidRDefault="003B3B64" w:rsidP="005770D2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0008B0">
        <w:rPr>
          <w:rFonts w:ascii="Arial" w:hAnsi="Arial" w:cs="Arial"/>
          <w:b/>
          <w:bCs/>
          <w:sz w:val="24"/>
          <w:szCs w:val="24"/>
        </w:rPr>
        <w:lastRenderedPageBreak/>
        <w:t xml:space="preserve">III. </w:t>
      </w:r>
      <w:r w:rsidR="00951DA1" w:rsidRPr="000008B0">
        <w:rPr>
          <w:rFonts w:ascii="Arial" w:hAnsi="Arial" w:cs="Arial"/>
          <w:b/>
          <w:bCs/>
          <w:sz w:val="24"/>
          <w:szCs w:val="24"/>
        </w:rPr>
        <w:t>Shrnutí a v</w:t>
      </w:r>
      <w:r w:rsidRPr="000008B0">
        <w:rPr>
          <w:rFonts w:ascii="Arial" w:hAnsi="Arial" w:cs="Arial"/>
          <w:b/>
          <w:bCs/>
          <w:sz w:val="24"/>
          <w:szCs w:val="24"/>
        </w:rPr>
        <w:t xml:space="preserve">yhodnocení </w:t>
      </w:r>
    </w:p>
    <w:p w:rsidR="00C34349" w:rsidRPr="0025362C" w:rsidRDefault="00C34349" w:rsidP="005770D2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846ABA" w:rsidRDefault="003C054B" w:rsidP="000008B0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S</w:t>
      </w:r>
      <w:r w:rsidR="00951DA1" w:rsidRPr="00EC49E0">
        <w:rPr>
          <w:rFonts w:ascii="Arial" w:hAnsi="Arial" w:cs="Arial"/>
        </w:rPr>
        <w:t>právu zahraničních pohledávek</w:t>
      </w:r>
      <w:r w:rsidR="009D1015" w:rsidRPr="00EC49E0">
        <w:rPr>
          <w:rFonts w:ascii="Arial" w:hAnsi="Arial" w:cs="Arial"/>
        </w:rPr>
        <w:t xml:space="preserve"> České republiky</w:t>
      </w:r>
      <w:r w:rsidR="00846ABA">
        <w:rPr>
          <w:rFonts w:ascii="Arial" w:hAnsi="Arial" w:cs="Arial"/>
        </w:rPr>
        <w:t xml:space="preserve"> vykonává MF</w:t>
      </w:r>
      <w:r w:rsidR="006E749C">
        <w:rPr>
          <w:rFonts w:ascii="Arial" w:hAnsi="Arial" w:cs="Arial"/>
        </w:rPr>
        <w:t xml:space="preserve">, které </w:t>
      </w:r>
      <w:r w:rsidR="00846ABA">
        <w:rPr>
          <w:rFonts w:ascii="Arial" w:hAnsi="Arial" w:cs="Arial"/>
        </w:rPr>
        <w:t>v</w:t>
      </w:r>
      <w:r w:rsidR="00EB0937" w:rsidRPr="00EC49E0">
        <w:rPr>
          <w:rFonts w:ascii="Arial" w:hAnsi="Arial" w:cs="Arial"/>
        </w:rPr>
        <w:t>ě</w:t>
      </w:r>
      <w:r w:rsidR="006A647B" w:rsidRPr="00EC49E0">
        <w:rPr>
          <w:rFonts w:ascii="Arial" w:hAnsi="Arial" w:cs="Arial"/>
        </w:rPr>
        <w:t>tšin</w:t>
      </w:r>
      <w:r w:rsidR="006E749C">
        <w:rPr>
          <w:rFonts w:ascii="Arial" w:hAnsi="Arial" w:cs="Arial"/>
        </w:rPr>
        <w:t xml:space="preserve">u těchto pohledávek </w:t>
      </w:r>
      <w:r w:rsidR="006A647B" w:rsidRPr="00EC49E0">
        <w:rPr>
          <w:rFonts w:ascii="Arial" w:hAnsi="Arial" w:cs="Arial"/>
        </w:rPr>
        <w:t>evid</w:t>
      </w:r>
      <w:r w:rsidR="006E749C">
        <w:rPr>
          <w:rFonts w:ascii="Arial" w:hAnsi="Arial" w:cs="Arial"/>
        </w:rPr>
        <w:t xml:space="preserve">uje </w:t>
      </w:r>
      <w:r w:rsidR="006A647B" w:rsidRPr="00EC49E0">
        <w:rPr>
          <w:rFonts w:ascii="Arial" w:hAnsi="Arial" w:cs="Arial"/>
        </w:rPr>
        <w:t xml:space="preserve">na základě dohod </w:t>
      </w:r>
      <w:r w:rsidR="00691DD4" w:rsidRPr="00EC49E0">
        <w:rPr>
          <w:rFonts w:ascii="Arial" w:hAnsi="Arial" w:cs="Arial"/>
        </w:rPr>
        <w:t xml:space="preserve">z let 1992 a 1993 uzavřených </w:t>
      </w:r>
      <w:r w:rsidR="006A647B" w:rsidRPr="00EC49E0">
        <w:rPr>
          <w:rFonts w:ascii="Arial" w:hAnsi="Arial" w:cs="Arial"/>
        </w:rPr>
        <w:t>mezi</w:t>
      </w:r>
      <w:r w:rsidR="009D1015" w:rsidRPr="00EC49E0">
        <w:rPr>
          <w:rFonts w:ascii="Arial" w:hAnsi="Arial" w:cs="Arial"/>
        </w:rPr>
        <w:t xml:space="preserve"> ministerstvy financí České </w:t>
      </w:r>
      <w:r w:rsidR="005C01D7" w:rsidRPr="00EC49E0">
        <w:rPr>
          <w:rFonts w:ascii="Arial" w:hAnsi="Arial" w:cs="Arial"/>
        </w:rPr>
        <w:t xml:space="preserve">republiky </w:t>
      </w:r>
      <w:r w:rsidR="009D1015" w:rsidRPr="00EC49E0">
        <w:rPr>
          <w:rFonts w:ascii="Arial" w:hAnsi="Arial" w:cs="Arial"/>
        </w:rPr>
        <w:t xml:space="preserve">a Slovenské republiky </w:t>
      </w:r>
      <w:r w:rsidR="006A647B" w:rsidRPr="00EC49E0">
        <w:rPr>
          <w:rFonts w:ascii="Arial" w:hAnsi="Arial" w:cs="Arial"/>
        </w:rPr>
        <w:t>a</w:t>
      </w:r>
      <w:r w:rsidR="0025362C">
        <w:rPr>
          <w:rFonts w:ascii="Arial" w:hAnsi="Arial" w:cs="Arial"/>
        </w:rPr>
        <w:t> </w:t>
      </w:r>
      <w:r w:rsidR="006A647B" w:rsidRPr="00EC49E0">
        <w:rPr>
          <w:rFonts w:ascii="Arial" w:hAnsi="Arial" w:cs="Arial"/>
        </w:rPr>
        <w:t>ČSOB</w:t>
      </w:r>
      <w:r w:rsidR="00691DD4" w:rsidRPr="00EC49E0">
        <w:rPr>
          <w:rFonts w:ascii="Arial" w:hAnsi="Arial" w:cs="Arial"/>
        </w:rPr>
        <w:t>.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257C48" w:rsidRPr="00EC49E0" w:rsidRDefault="005631BB" w:rsidP="000008B0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Zahraniční pohledávky jsou zahrnuty do státních finančních aktiv</w:t>
      </w:r>
      <w:r>
        <w:rPr>
          <w:rFonts w:ascii="Arial" w:hAnsi="Arial" w:cs="Arial"/>
        </w:rPr>
        <w:t xml:space="preserve">. </w:t>
      </w:r>
      <w:r w:rsidR="000A0538">
        <w:rPr>
          <w:rFonts w:ascii="Arial" w:hAnsi="Arial" w:cs="Arial"/>
        </w:rPr>
        <w:t xml:space="preserve">V přehledu zahraničních pohledávek, který státní závěrečný účet </w:t>
      </w:r>
      <w:r w:rsidR="006E749C">
        <w:rPr>
          <w:rFonts w:ascii="Arial" w:hAnsi="Arial" w:cs="Arial"/>
        </w:rPr>
        <w:t xml:space="preserve">mj. </w:t>
      </w:r>
      <w:r w:rsidR="000A0538">
        <w:rPr>
          <w:rFonts w:ascii="Arial" w:hAnsi="Arial" w:cs="Arial"/>
        </w:rPr>
        <w:t>obsahuje</w:t>
      </w:r>
      <w:r w:rsidR="00846ABA">
        <w:rPr>
          <w:rFonts w:ascii="Arial" w:hAnsi="Arial" w:cs="Arial"/>
        </w:rPr>
        <w:t>,</w:t>
      </w:r>
      <w:r w:rsidR="000A0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zahraniční pohledávky uváděny v částkách nezohledňující</w:t>
      </w:r>
      <w:r w:rsidR="00AD14F8">
        <w:rPr>
          <w:rFonts w:ascii="Arial" w:hAnsi="Arial" w:cs="Arial"/>
        </w:rPr>
        <w:t>ch</w:t>
      </w:r>
      <w:r w:rsidR="006E7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vytvořené opravné položky. Informace o státních finančních aktivech tak nevypovídá o </w:t>
      </w:r>
      <w:r w:rsidR="000A0538">
        <w:rPr>
          <w:rFonts w:ascii="Arial" w:hAnsi="Arial" w:cs="Arial"/>
        </w:rPr>
        <w:t xml:space="preserve">jejich </w:t>
      </w:r>
      <w:r w:rsidR="001113FA">
        <w:rPr>
          <w:rFonts w:ascii="Arial" w:hAnsi="Arial" w:cs="Arial"/>
        </w:rPr>
        <w:t>hodnotě.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6E749C" w:rsidRDefault="0038107C" w:rsidP="000008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 hlediska vývoje stavu zahraničních pohledávek civilního charakteru</w:t>
      </w:r>
      <w:r w:rsidR="006E749C">
        <w:rPr>
          <w:rFonts w:ascii="Arial" w:hAnsi="Arial" w:cs="Arial"/>
        </w:rPr>
        <w:t xml:space="preserve">, které byly předmětem této kontroly, </w:t>
      </w:r>
      <w:r>
        <w:rPr>
          <w:rFonts w:ascii="Arial" w:hAnsi="Arial" w:cs="Arial"/>
        </w:rPr>
        <w:t xml:space="preserve">se </w:t>
      </w:r>
      <w:r w:rsidR="006E749C">
        <w:rPr>
          <w:rFonts w:ascii="Arial" w:hAnsi="Arial" w:cs="Arial"/>
        </w:rPr>
        <w:t xml:space="preserve">částka </w:t>
      </w:r>
      <w:r w:rsidR="006E749C" w:rsidRPr="005631BB">
        <w:rPr>
          <w:rFonts w:ascii="Arial" w:hAnsi="Arial" w:cs="Arial"/>
        </w:rPr>
        <w:t xml:space="preserve">122,2 mld. Kč </w:t>
      </w:r>
      <w:r w:rsidR="00400BC3">
        <w:rPr>
          <w:rFonts w:ascii="Arial" w:hAnsi="Arial" w:cs="Arial"/>
        </w:rPr>
        <w:t xml:space="preserve">evidovaná </w:t>
      </w:r>
      <w:r w:rsidR="006E749C" w:rsidRPr="005631BB">
        <w:rPr>
          <w:rFonts w:ascii="Arial" w:hAnsi="Arial" w:cs="Arial"/>
        </w:rPr>
        <w:t xml:space="preserve">v roce 1998 </w:t>
      </w:r>
      <w:r w:rsidRPr="005631BB">
        <w:rPr>
          <w:rFonts w:ascii="Arial" w:hAnsi="Arial" w:cs="Arial"/>
        </w:rPr>
        <w:t>razantn</w:t>
      </w:r>
      <w:r w:rsidR="006E749C">
        <w:rPr>
          <w:rFonts w:ascii="Arial" w:hAnsi="Arial" w:cs="Arial"/>
        </w:rPr>
        <w:t>ě</w:t>
      </w:r>
      <w:r w:rsidRPr="005631BB">
        <w:rPr>
          <w:rFonts w:ascii="Arial" w:hAnsi="Arial" w:cs="Arial"/>
        </w:rPr>
        <w:t xml:space="preserve"> sníž</w:t>
      </w:r>
      <w:r w:rsidR="006E749C">
        <w:rPr>
          <w:rFonts w:ascii="Arial" w:hAnsi="Arial" w:cs="Arial"/>
        </w:rPr>
        <w:t xml:space="preserve">ila </w:t>
      </w:r>
      <w:r w:rsidRPr="005631BB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částku</w:t>
      </w:r>
      <w:r w:rsidR="00F431F6">
        <w:rPr>
          <w:rFonts w:ascii="Arial" w:hAnsi="Arial" w:cs="Arial"/>
        </w:rPr>
        <w:t xml:space="preserve"> 19,7 </w:t>
      </w:r>
      <w:r w:rsidR="00846ABA">
        <w:rPr>
          <w:rFonts w:ascii="Arial" w:hAnsi="Arial" w:cs="Arial"/>
        </w:rPr>
        <w:t>mld. Kč v roce 2006</w:t>
      </w:r>
      <w:r w:rsidR="006E749C">
        <w:rPr>
          <w:rFonts w:ascii="Arial" w:hAnsi="Arial" w:cs="Arial"/>
        </w:rPr>
        <w:t>. Ke konci roku 2012</w:t>
      </w:r>
      <w:r w:rsidR="006E749C" w:rsidRPr="00EC49E0">
        <w:rPr>
          <w:rFonts w:ascii="Arial" w:hAnsi="Arial" w:cs="Arial"/>
        </w:rPr>
        <w:t xml:space="preserve"> </w:t>
      </w:r>
      <w:r w:rsidR="00400BC3">
        <w:rPr>
          <w:rFonts w:ascii="Arial" w:hAnsi="Arial" w:cs="Arial"/>
        </w:rPr>
        <w:t xml:space="preserve">spravovalo </w:t>
      </w:r>
      <w:r w:rsidR="006E749C" w:rsidRPr="00EC49E0">
        <w:rPr>
          <w:rFonts w:ascii="Arial" w:hAnsi="Arial" w:cs="Arial"/>
        </w:rPr>
        <w:t xml:space="preserve">MF zahraniční pohledávky </w:t>
      </w:r>
      <w:r w:rsidR="006E749C">
        <w:rPr>
          <w:rFonts w:ascii="Arial" w:hAnsi="Arial" w:cs="Arial"/>
        </w:rPr>
        <w:t xml:space="preserve">civilního charakteru ve výši přes </w:t>
      </w:r>
      <w:r w:rsidRPr="005631BB">
        <w:rPr>
          <w:rFonts w:ascii="Arial" w:hAnsi="Arial" w:cs="Arial"/>
        </w:rPr>
        <w:t xml:space="preserve">16 mld. Kč. 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38107C" w:rsidRDefault="0038107C" w:rsidP="000008B0">
      <w:pPr>
        <w:spacing w:after="0" w:line="240" w:lineRule="auto"/>
        <w:jc w:val="both"/>
        <w:rPr>
          <w:rFonts w:ascii="Arial" w:hAnsi="Arial" w:cs="Arial"/>
        </w:rPr>
      </w:pPr>
      <w:r w:rsidRPr="005631BB">
        <w:rPr>
          <w:rFonts w:ascii="Arial" w:hAnsi="Arial" w:cs="Arial"/>
        </w:rPr>
        <w:t>MF v</w:t>
      </w:r>
      <w:r w:rsidR="00AD14F8">
        <w:rPr>
          <w:rFonts w:ascii="Arial" w:hAnsi="Arial" w:cs="Arial"/>
        </w:rPr>
        <w:t xml:space="preserve"> období let </w:t>
      </w:r>
      <w:r w:rsidRPr="005631BB">
        <w:rPr>
          <w:rFonts w:ascii="Arial" w:hAnsi="Arial" w:cs="Arial"/>
        </w:rPr>
        <w:t>2006 až 2012 inkasovalo ze zahraničních pohledávek</w:t>
      </w:r>
      <w:r>
        <w:rPr>
          <w:rFonts w:ascii="Arial" w:hAnsi="Arial" w:cs="Arial"/>
        </w:rPr>
        <w:t xml:space="preserve"> celkem</w:t>
      </w:r>
      <w:r w:rsidRPr="005631BB">
        <w:rPr>
          <w:rFonts w:ascii="Arial" w:hAnsi="Arial" w:cs="Arial"/>
        </w:rPr>
        <w:t xml:space="preserve"> 3,1</w:t>
      </w:r>
      <w:r w:rsidR="00AD14F8">
        <w:rPr>
          <w:rFonts w:ascii="Arial" w:hAnsi="Arial" w:cs="Arial"/>
        </w:rPr>
        <w:t>45</w:t>
      </w:r>
      <w:r w:rsidRPr="005631BB">
        <w:rPr>
          <w:rFonts w:ascii="Arial" w:hAnsi="Arial" w:cs="Arial"/>
        </w:rPr>
        <w:t xml:space="preserve"> mld. Kč</w:t>
      </w:r>
      <w:r w:rsidR="006E749C">
        <w:rPr>
          <w:rFonts w:ascii="Arial" w:hAnsi="Arial" w:cs="Arial"/>
        </w:rPr>
        <w:t xml:space="preserve">. </w:t>
      </w:r>
    </w:p>
    <w:p w:rsidR="00B343DD" w:rsidRDefault="00B343DD" w:rsidP="000008B0">
      <w:pPr>
        <w:spacing w:after="0" w:line="240" w:lineRule="auto"/>
        <w:jc w:val="both"/>
        <w:rPr>
          <w:rFonts w:ascii="Arial" w:hAnsi="Arial" w:cs="Arial"/>
        </w:rPr>
      </w:pPr>
    </w:p>
    <w:p w:rsidR="002349C6" w:rsidRPr="00EC49E0" w:rsidRDefault="00567C4C" w:rsidP="000008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57C48" w:rsidRPr="00EC49E0">
        <w:rPr>
          <w:rFonts w:ascii="Arial" w:hAnsi="Arial" w:cs="Arial"/>
        </w:rPr>
        <w:t xml:space="preserve">ři </w:t>
      </w:r>
      <w:r w:rsidR="00A801BD" w:rsidRPr="00EC49E0">
        <w:rPr>
          <w:rFonts w:ascii="Arial" w:hAnsi="Arial" w:cs="Arial"/>
        </w:rPr>
        <w:t>správ</w:t>
      </w:r>
      <w:r w:rsidR="00257C48" w:rsidRPr="00EC49E0">
        <w:rPr>
          <w:rFonts w:ascii="Arial" w:hAnsi="Arial" w:cs="Arial"/>
        </w:rPr>
        <w:t>ě</w:t>
      </w:r>
      <w:r w:rsidR="00A801BD" w:rsidRPr="00EC49E0">
        <w:rPr>
          <w:rFonts w:ascii="Arial" w:hAnsi="Arial" w:cs="Arial"/>
        </w:rPr>
        <w:t xml:space="preserve"> zahraničních pohledávek</w:t>
      </w:r>
      <w:r w:rsidR="009D1015" w:rsidRPr="00EC4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MF povinno </w:t>
      </w:r>
      <w:r w:rsidR="00257C48" w:rsidRPr="00EC49E0">
        <w:rPr>
          <w:rFonts w:ascii="Arial" w:hAnsi="Arial" w:cs="Arial"/>
        </w:rPr>
        <w:t xml:space="preserve">řídit </w:t>
      </w:r>
      <w:r w:rsidR="006E749C">
        <w:rPr>
          <w:rFonts w:ascii="Arial" w:hAnsi="Arial" w:cs="Arial"/>
        </w:rPr>
        <w:t xml:space="preserve">se </w:t>
      </w:r>
      <w:r w:rsidR="00B343DD">
        <w:rPr>
          <w:rFonts w:ascii="Arial" w:hAnsi="Arial" w:cs="Arial"/>
        </w:rPr>
        <w:t>kromě</w:t>
      </w:r>
      <w:r w:rsidR="00257C48" w:rsidRPr="00EC49E0">
        <w:rPr>
          <w:rFonts w:ascii="Arial" w:hAnsi="Arial" w:cs="Arial"/>
        </w:rPr>
        <w:t xml:space="preserve"> obecné zákonné úpravy</w:t>
      </w:r>
      <w:r>
        <w:rPr>
          <w:rFonts w:ascii="Arial" w:hAnsi="Arial" w:cs="Arial"/>
        </w:rPr>
        <w:t xml:space="preserve"> také</w:t>
      </w:r>
      <w:r w:rsidR="00257C48" w:rsidRPr="00EC49E0">
        <w:rPr>
          <w:rFonts w:ascii="Arial" w:hAnsi="Arial" w:cs="Arial"/>
        </w:rPr>
        <w:t xml:space="preserve"> pokyny obsaženými v Zásadách schválených vládou v roce 2006</w:t>
      </w:r>
      <w:r w:rsidR="00EB0937" w:rsidRPr="00EC49E0">
        <w:rPr>
          <w:rFonts w:ascii="Arial" w:hAnsi="Arial" w:cs="Arial"/>
        </w:rPr>
        <w:t xml:space="preserve">. </w:t>
      </w:r>
      <w:r w:rsidR="00257C48" w:rsidRPr="00EC49E0">
        <w:rPr>
          <w:rFonts w:ascii="Arial" w:hAnsi="Arial" w:cs="Arial"/>
        </w:rPr>
        <w:t>Po</w:t>
      </w:r>
      <w:r w:rsidR="0033427E" w:rsidRPr="00EC49E0">
        <w:rPr>
          <w:rFonts w:ascii="Arial" w:hAnsi="Arial" w:cs="Arial"/>
        </w:rPr>
        <w:t xml:space="preserve">dle těchto </w:t>
      </w:r>
      <w:r w:rsidR="00EB0937" w:rsidRPr="00EC49E0">
        <w:rPr>
          <w:rFonts w:ascii="Arial" w:hAnsi="Arial" w:cs="Arial"/>
        </w:rPr>
        <w:t>Z</w:t>
      </w:r>
      <w:r w:rsidR="0033427E" w:rsidRPr="00EC49E0">
        <w:rPr>
          <w:rFonts w:ascii="Arial" w:hAnsi="Arial" w:cs="Arial"/>
        </w:rPr>
        <w:t xml:space="preserve">ásad </w:t>
      </w:r>
      <w:r w:rsidR="00EB0937" w:rsidRPr="00EC49E0">
        <w:rPr>
          <w:rFonts w:ascii="Arial" w:hAnsi="Arial" w:cs="Arial"/>
        </w:rPr>
        <w:t>mělo MF</w:t>
      </w:r>
      <w:r w:rsidR="002349C6" w:rsidRPr="00EC4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mimo jiné </w:t>
      </w:r>
      <w:r w:rsidR="002349C6" w:rsidRPr="00EC49E0">
        <w:rPr>
          <w:rFonts w:ascii="Arial" w:hAnsi="Arial" w:cs="Arial"/>
        </w:rPr>
        <w:t xml:space="preserve">zajistit ukládání údajů o zahraničních pohledávkách </w:t>
      </w:r>
      <w:r w:rsidR="00186265">
        <w:rPr>
          <w:rFonts w:ascii="Arial" w:hAnsi="Arial" w:cs="Arial"/>
        </w:rPr>
        <w:t>v </w:t>
      </w:r>
      <w:r w:rsidR="0033427E" w:rsidRPr="00EC49E0">
        <w:rPr>
          <w:rFonts w:ascii="Arial" w:hAnsi="Arial" w:cs="Arial"/>
        </w:rPr>
        <w:t>informační</w:t>
      </w:r>
      <w:r w:rsidR="002349C6" w:rsidRPr="00EC49E0">
        <w:rPr>
          <w:rFonts w:ascii="Arial" w:hAnsi="Arial" w:cs="Arial"/>
        </w:rPr>
        <w:t>m</w:t>
      </w:r>
      <w:r w:rsidR="0033427E" w:rsidRPr="00EC49E0">
        <w:rPr>
          <w:rFonts w:ascii="Arial" w:hAnsi="Arial" w:cs="Arial"/>
        </w:rPr>
        <w:t xml:space="preserve"> systém</w:t>
      </w:r>
      <w:r w:rsidR="002349C6" w:rsidRPr="00EC49E0">
        <w:rPr>
          <w:rFonts w:ascii="Arial" w:hAnsi="Arial" w:cs="Arial"/>
        </w:rPr>
        <w:t xml:space="preserve">u. </w:t>
      </w:r>
      <w:r w:rsidR="0033427E" w:rsidRPr="00EC49E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jeho </w:t>
      </w:r>
      <w:r w:rsidR="0033427E" w:rsidRPr="00EC49E0">
        <w:rPr>
          <w:rFonts w:ascii="Arial" w:hAnsi="Arial" w:cs="Arial"/>
        </w:rPr>
        <w:t xml:space="preserve">vytvoření </w:t>
      </w:r>
      <w:r w:rsidR="00257C48" w:rsidRPr="00EC49E0">
        <w:rPr>
          <w:rFonts w:ascii="Arial" w:hAnsi="Arial" w:cs="Arial"/>
        </w:rPr>
        <w:t xml:space="preserve">MF </w:t>
      </w:r>
      <w:r w:rsidR="0033427E" w:rsidRPr="00EC49E0">
        <w:rPr>
          <w:rFonts w:ascii="Arial" w:hAnsi="Arial" w:cs="Arial"/>
        </w:rPr>
        <w:t>vynaložilo</w:t>
      </w:r>
      <w:r w:rsidR="00FE254C">
        <w:rPr>
          <w:rFonts w:ascii="Arial" w:hAnsi="Arial" w:cs="Arial"/>
        </w:rPr>
        <w:t xml:space="preserve"> ze státního rozpočtu</w:t>
      </w:r>
      <w:r w:rsidR="0033427E" w:rsidRPr="00EC49E0">
        <w:rPr>
          <w:rFonts w:ascii="Arial" w:hAnsi="Arial" w:cs="Arial"/>
        </w:rPr>
        <w:t xml:space="preserve"> </w:t>
      </w:r>
      <w:r w:rsidR="002349C6" w:rsidRPr="00EC49E0">
        <w:rPr>
          <w:rFonts w:ascii="Arial" w:hAnsi="Arial" w:cs="Arial"/>
        </w:rPr>
        <w:t xml:space="preserve">během let </w:t>
      </w:r>
      <w:r w:rsidR="00831D72" w:rsidRPr="00EC49E0">
        <w:rPr>
          <w:rFonts w:ascii="Arial" w:hAnsi="Arial" w:cs="Arial"/>
        </w:rPr>
        <w:t xml:space="preserve">2006 a </w:t>
      </w:r>
      <w:r w:rsidR="0033427E" w:rsidRPr="00EC49E0">
        <w:rPr>
          <w:rFonts w:ascii="Arial" w:hAnsi="Arial" w:cs="Arial"/>
        </w:rPr>
        <w:t xml:space="preserve">2007 </w:t>
      </w:r>
      <w:r w:rsidR="00831D72" w:rsidRPr="00EC49E0">
        <w:rPr>
          <w:rFonts w:ascii="Arial" w:hAnsi="Arial" w:cs="Arial"/>
        </w:rPr>
        <w:t xml:space="preserve">přes </w:t>
      </w:r>
      <w:r w:rsidR="0033427E" w:rsidRPr="00EC49E0">
        <w:rPr>
          <w:rFonts w:ascii="Arial" w:hAnsi="Arial" w:cs="Arial"/>
        </w:rPr>
        <w:t>2</w:t>
      </w:r>
      <w:r w:rsidR="00831D72" w:rsidRPr="00EC49E0">
        <w:rPr>
          <w:rFonts w:ascii="Arial" w:hAnsi="Arial" w:cs="Arial"/>
        </w:rPr>
        <w:t>,2</w:t>
      </w:r>
      <w:r w:rsidR="00E1097D">
        <w:rPr>
          <w:rFonts w:ascii="Arial" w:hAnsi="Arial" w:cs="Arial"/>
        </w:rPr>
        <w:t> </w:t>
      </w:r>
      <w:r w:rsidR="00831D72" w:rsidRPr="00EC49E0">
        <w:rPr>
          <w:rFonts w:ascii="Arial" w:hAnsi="Arial" w:cs="Arial"/>
        </w:rPr>
        <w:t>mil.</w:t>
      </w:r>
      <w:r w:rsidR="00E1097D">
        <w:rPr>
          <w:rFonts w:ascii="Arial" w:hAnsi="Arial" w:cs="Arial"/>
        </w:rPr>
        <w:t> </w:t>
      </w:r>
      <w:r w:rsidR="00831D72" w:rsidRPr="00EC49E0">
        <w:rPr>
          <w:rFonts w:ascii="Arial" w:hAnsi="Arial" w:cs="Arial"/>
        </w:rPr>
        <w:t>K</w:t>
      </w:r>
      <w:r w:rsidR="00EB0937" w:rsidRPr="00EC49E0">
        <w:rPr>
          <w:rFonts w:ascii="Arial" w:hAnsi="Arial" w:cs="Arial"/>
        </w:rPr>
        <w:t>č.</w:t>
      </w:r>
      <w:r w:rsidR="00257C48" w:rsidRPr="00EC49E0">
        <w:rPr>
          <w:rFonts w:ascii="Arial" w:hAnsi="Arial" w:cs="Arial"/>
        </w:rPr>
        <w:t xml:space="preserve"> </w:t>
      </w:r>
      <w:r w:rsidR="0039391D" w:rsidRPr="00EC49E0">
        <w:rPr>
          <w:rFonts w:ascii="Arial" w:hAnsi="Arial" w:cs="Arial"/>
        </w:rPr>
        <w:t xml:space="preserve">Pořízený </w:t>
      </w:r>
      <w:r w:rsidR="00257C48" w:rsidRPr="00EC49E0">
        <w:rPr>
          <w:rFonts w:ascii="Arial" w:hAnsi="Arial" w:cs="Arial"/>
        </w:rPr>
        <w:t>systé</w:t>
      </w:r>
      <w:r w:rsidR="00EB0937" w:rsidRPr="00EC49E0">
        <w:rPr>
          <w:rFonts w:ascii="Arial" w:hAnsi="Arial" w:cs="Arial"/>
        </w:rPr>
        <w:t>m</w:t>
      </w:r>
      <w:r w:rsidR="00257C48" w:rsidRPr="00EC49E0">
        <w:rPr>
          <w:rFonts w:ascii="Arial" w:hAnsi="Arial" w:cs="Arial"/>
        </w:rPr>
        <w:t xml:space="preserve"> však MF nevyužívalo a projekt v roce 2011 ukončilo</w:t>
      </w:r>
      <w:r w:rsidR="002349C6" w:rsidRPr="00EC49E0">
        <w:rPr>
          <w:rFonts w:ascii="Arial" w:hAnsi="Arial" w:cs="Arial"/>
        </w:rPr>
        <w:t xml:space="preserve">. </w:t>
      </w:r>
      <w:r w:rsidR="008C3F50">
        <w:rPr>
          <w:rFonts w:ascii="Arial" w:hAnsi="Arial" w:cs="Arial"/>
        </w:rPr>
        <w:t>Vynaložení prostředků státního rozpočtu na informační systém, který nebyl použit,</w:t>
      </w:r>
      <w:r w:rsidR="005C01D7" w:rsidRPr="00EC49E0">
        <w:rPr>
          <w:rFonts w:ascii="Arial" w:hAnsi="Arial" w:cs="Arial"/>
        </w:rPr>
        <w:t xml:space="preserve"> </w:t>
      </w:r>
      <w:r w:rsidR="002349C6" w:rsidRPr="00EC49E0">
        <w:rPr>
          <w:rFonts w:ascii="Arial" w:hAnsi="Arial" w:cs="Arial"/>
        </w:rPr>
        <w:t xml:space="preserve">hodnotí NKÚ jako porušení rozpočtové kázně. 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A7241D" w:rsidRDefault="001A77EB" w:rsidP="000008B0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P</w:t>
      </w:r>
      <w:r w:rsidR="00331CD2" w:rsidRPr="00EC49E0">
        <w:rPr>
          <w:rFonts w:ascii="Arial" w:hAnsi="Arial" w:cs="Arial"/>
        </w:rPr>
        <w:t xml:space="preserve">ři správě zahraničních pohledávek </w:t>
      </w:r>
      <w:r w:rsidRPr="00EC49E0">
        <w:rPr>
          <w:rFonts w:ascii="Arial" w:hAnsi="Arial" w:cs="Arial"/>
        </w:rPr>
        <w:t xml:space="preserve">využívá </w:t>
      </w:r>
      <w:r w:rsidR="00B343DD" w:rsidRPr="00EC49E0">
        <w:rPr>
          <w:rFonts w:ascii="Arial" w:hAnsi="Arial" w:cs="Arial"/>
        </w:rPr>
        <w:t xml:space="preserve">MF </w:t>
      </w:r>
      <w:r w:rsidR="00257C48" w:rsidRPr="00EC49E0">
        <w:rPr>
          <w:rFonts w:ascii="Arial" w:hAnsi="Arial" w:cs="Arial"/>
        </w:rPr>
        <w:t xml:space="preserve">specifických </w:t>
      </w:r>
      <w:r w:rsidRPr="00EC49E0">
        <w:rPr>
          <w:rFonts w:ascii="Arial" w:hAnsi="Arial" w:cs="Arial"/>
        </w:rPr>
        <w:t>služeb</w:t>
      </w:r>
      <w:r w:rsidR="00EB0937" w:rsidRPr="00EC49E0">
        <w:rPr>
          <w:rFonts w:ascii="Arial" w:hAnsi="Arial" w:cs="Arial"/>
        </w:rPr>
        <w:t xml:space="preserve"> </w:t>
      </w:r>
      <w:r w:rsidR="002D678C">
        <w:rPr>
          <w:rFonts w:ascii="Arial" w:hAnsi="Arial" w:cs="Arial"/>
        </w:rPr>
        <w:t>banky</w:t>
      </w:r>
      <w:r w:rsidR="00AD14F8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</w:t>
      </w:r>
      <w:r w:rsidR="002D678C">
        <w:rPr>
          <w:rFonts w:ascii="Arial" w:hAnsi="Arial" w:cs="Arial"/>
        </w:rPr>
        <w:t>Výše ú</w:t>
      </w:r>
      <w:r w:rsidRPr="00EC49E0">
        <w:rPr>
          <w:rFonts w:ascii="Arial" w:hAnsi="Arial" w:cs="Arial"/>
        </w:rPr>
        <w:t>hrad</w:t>
      </w:r>
      <w:r w:rsidR="002D678C">
        <w:rPr>
          <w:rFonts w:ascii="Arial" w:hAnsi="Arial" w:cs="Arial"/>
        </w:rPr>
        <w:t>y</w:t>
      </w:r>
      <w:r w:rsidRPr="00EC49E0">
        <w:rPr>
          <w:rFonts w:ascii="Arial" w:hAnsi="Arial" w:cs="Arial"/>
        </w:rPr>
        <w:t xml:space="preserve"> za služby </w:t>
      </w:r>
      <w:r w:rsidR="002D678C">
        <w:rPr>
          <w:rFonts w:ascii="Arial" w:hAnsi="Arial" w:cs="Arial"/>
        </w:rPr>
        <w:t xml:space="preserve">poskytované bankou </w:t>
      </w:r>
      <w:r w:rsidRPr="00EC49E0">
        <w:rPr>
          <w:rFonts w:ascii="Arial" w:hAnsi="Arial" w:cs="Arial"/>
        </w:rPr>
        <w:t>z</w:t>
      </w:r>
      <w:r w:rsidR="00340F6A" w:rsidRPr="00EC49E0">
        <w:rPr>
          <w:rFonts w:ascii="Arial" w:hAnsi="Arial" w:cs="Arial"/>
        </w:rPr>
        <w:t> </w:t>
      </w:r>
      <w:r w:rsidRPr="00EC49E0">
        <w:rPr>
          <w:rFonts w:ascii="Arial" w:hAnsi="Arial" w:cs="Arial"/>
        </w:rPr>
        <w:t>původn</w:t>
      </w:r>
      <w:r w:rsidR="002D678C">
        <w:rPr>
          <w:rFonts w:ascii="Arial" w:hAnsi="Arial" w:cs="Arial"/>
        </w:rPr>
        <w:t xml:space="preserve">ích </w:t>
      </w:r>
      <w:r w:rsidRPr="00EC49E0">
        <w:rPr>
          <w:rFonts w:ascii="Arial" w:hAnsi="Arial" w:cs="Arial"/>
        </w:rPr>
        <w:t>40 mil</w:t>
      </w:r>
      <w:r w:rsidR="003D00C7">
        <w:rPr>
          <w:rFonts w:ascii="Arial" w:hAnsi="Arial" w:cs="Arial"/>
        </w:rPr>
        <w:t>.</w:t>
      </w:r>
      <w:r w:rsidRPr="00EC49E0">
        <w:rPr>
          <w:rFonts w:ascii="Arial" w:hAnsi="Arial" w:cs="Arial"/>
        </w:rPr>
        <w:t xml:space="preserve"> Kč </w:t>
      </w:r>
      <w:r w:rsidR="00186265">
        <w:rPr>
          <w:rFonts w:ascii="Arial" w:hAnsi="Arial" w:cs="Arial"/>
        </w:rPr>
        <w:t>v </w:t>
      </w:r>
      <w:r w:rsidR="00AD14F8">
        <w:rPr>
          <w:rFonts w:ascii="Arial" w:hAnsi="Arial" w:cs="Arial"/>
        </w:rPr>
        <w:t xml:space="preserve">roce 1997 </w:t>
      </w:r>
      <w:r w:rsidRPr="00EC49E0">
        <w:rPr>
          <w:rFonts w:ascii="Arial" w:hAnsi="Arial" w:cs="Arial"/>
        </w:rPr>
        <w:t>postupně kles</w:t>
      </w:r>
      <w:r w:rsidR="005C01D7" w:rsidRPr="00EC49E0">
        <w:rPr>
          <w:rFonts w:ascii="Arial" w:hAnsi="Arial" w:cs="Arial"/>
        </w:rPr>
        <w:t>a</w:t>
      </w:r>
      <w:r w:rsidRPr="00EC49E0">
        <w:rPr>
          <w:rFonts w:ascii="Arial" w:hAnsi="Arial" w:cs="Arial"/>
        </w:rPr>
        <w:t xml:space="preserve">la </w:t>
      </w:r>
      <w:r w:rsidR="005C01D7" w:rsidRPr="00EC49E0">
        <w:rPr>
          <w:rFonts w:ascii="Arial" w:hAnsi="Arial" w:cs="Arial"/>
        </w:rPr>
        <w:t xml:space="preserve">až na </w:t>
      </w:r>
      <w:r w:rsidR="008D2983" w:rsidRPr="00EC49E0">
        <w:rPr>
          <w:rFonts w:ascii="Arial" w:hAnsi="Arial" w:cs="Arial"/>
        </w:rPr>
        <w:t>částku 14,1 mil</w:t>
      </w:r>
      <w:r w:rsidR="003D00C7">
        <w:rPr>
          <w:rFonts w:ascii="Arial" w:hAnsi="Arial" w:cs="Arial"/>
        </w:rPr>
        <w:t>.</w:t>
      </w:r>
      <w:r w:rsidR="008D2983" w:rsidRPr="00EC49E0">
        <w:rPr>
          <w:rFonts w:ascii="Arial" w:hAnsi="Arial" w:cs="Arial"/>
        </w:rPr>
        <w:t xml:space="preserve"> Kč </w:t>
      </w:r>
      <w:r w:rsidR="00186265">
        <w:rPr>
          <w:rFonts w:ascii="Arial" w:hAnsi="Arial" w:cs="Arial"/>
        </w:rPr>
        <w:t>v </w:t>
      </w:r>
      <w:r w:rsidR="00340F6A" w:rsidRPr="00EC49E0">
        <w:rPr>
          <w:rFonts w:ascii="Arial" w:hAnsi="Arial" w:cs="Arial"/>
        </w:rPr>
        <w:t xml:space="preserve">roce </w:t>
      </w:r>
      <w:r w:rsidR="008D2983" w:rsidRPr="00EC49E0">
        <w:rPr>
          <w:rFonts w:ascii="Arial" w:hAnsi="Arial" w:cs="Arial"/>
        </w:rPr>
        <w:t>2012.</w:t>
      </w:r>
      <w:r w:rsidRPr="00EC49E0">
        <w:rPr>
          <w:rFonts w:ascii="Arial" w:hAnsi="Arial" w:cs="Arial"/>
        </w:rPr>
        <w:t xml:space="preserve"> </w:t>
      </w:r>
      <w:r w:rsidR="00AD14F8">
        <w:rPr>
          <w:rFonts w:ascii="Arial" w:hAnsi="Arial" w:cs="Arial"/>
        </w:rPr>
        <w:t>Přitom r</w:t>
      </w:r>
      <w:r w:rsidRPr="00EC49E0">
        <w:rPr>
          <w:rFonts w:ascii="Arial" w:hAnsi="Arial" w:cs="Arial"/>
        </w:rPr>
        <w:t xml:space="preserve">ozsah bankovních služeb </w:t>
      </w:r>
      <w:r w:rsidR="008D2983" w:rsidRPr="00EC49E0">
        <w:rPr>
          <w:rFonts w:ascii="Arial" w:hAnsi="Arial" w:cs="Arial"/>
        </w:rPr>
        <w:t xml:space="preserve">ve vztahu k jednotlivým pohledávkám </w:t>
      </w:r>
      <w:r w:rsidRPr="00EC49E0">
        <w:rPr>
          <w:rFonts w:ascii="Arial" w:hAnsi="Arial" w:cs="Arial"/>
        </w:rPr>
        <w:t>je různý</w:t>
      </w:r>
      <w:r w:rsidR="008D2983" w:rsidRPr="00EC49E0">
        <w:rPr>
          <w:rFonts w:ascii="Arial" w:hAnsi="Arial" w:cs="Arial"/>
        </w:rPr>
        <w:t xml:space="preserve"> </w:t>
      </w:r>
      <w:r w:rsidR="00B343DD">
        <w:rPr>
          <w:rFonts w:ascii="Arial" w:hAnsi="Arial" w:cs="Arial"/>
        </w:rPr>
        <w:t xml:space="preserve">– </w:t>
      </w:r>
      <w:r w:rsidR="008D2983" w:rsidRPr="00EC49E0">
        <w:rPr>
          <w:rFonts w:ascii="Arial" w:hAnsi="Arial" w:cs="Arial"/>
        </w:rPr>
        <w:t>ve většině případů jde pouze o vedení evidenčních účtů s výpočtem úroků a podávání</w:t>
      </w:r>
      <w:r w:rsidR="00AD14F8">
        <w:rPr>
          <w:rFonts w:ascii="Arial" w:hAnsi="Arial" w:cs="Arial"/>
        </w:rPr>
        <w:t>m</w:t>
      </w:r>
      <w:r w:rsidR="008D2983" w:rsidRPr="00EC49E0">
        <w:rPr>
          <w:rFonts w:ascii="Arial" w:hAnsi="Arial" w:cs="Arial"/>
        </w:rPr>
        <w:t xml:space="preserve"> zpráv MF. </w:t>
      </w:r>
      <w:r w:rsidR="00257C48" w:rsidRPr="00EC49E0">
        <w:rPr>
          <w:rFonts w:ascii="Arial" w:hAnsi="Arial" w:cs="Arial"/>
        </w:rPr>
        <w:t xml:space="preserve">U </w:t>
      </w:r>
      <w:r w:rsidR="00331CD2" w:rsidRPr="00EC49E0">
        <w:rPr>
          <w:rFonts w:ascii="Arial" w:hAnsi="Arial" w:cs="Arial"/>
        </w:rPr>
        <w:t xml:space="preserve">některých pohledávek není zřejmá opodstatněnost </w:t>
      </w:r>
      <w:r w:rsidR="005C01D7" w:rsidRPr="00EC49E0">
        <w:rPr>
          <w:rFonts w:ascii="Arial" w:hAnsi="Arial" w:cs="Arial"/>
        </w:rPr>
        <w:t xml:space="preserve">samotného </w:t>
      </w:r>
      <w:r w:rsidR="00B8057C" w:rsidRPr="00EC49E0">
        <w:rPr>
          <w:rFonts w:ascii="Arial" w:hAnsi="Arial" w:cs="Arial"/>
        </w:rPr>
        <w:t xml:space="preserve">vedení </w:t>
      </w:r>
      <w:r w:rsidR="008D2983" w:rsidRPr="00EC49E0">
        <w:rPr>
          <w:rFonts w:ascii="Arial" w:hAnsi="Arial" w:cs="Arial"/>
        </w:rPr>
        <w:t xml:space="preserve">evidenčních </w:t>
      </w:r>
      <w:r w:rsidR="00B8057C" w:rsidRPr="00EC49E0">
        <w:rPr>
          <w:rFonts w:ascii="Arial" w:hAnsi="Arial" w:cs="Arial"/>
        </w:rPr>
        <w:t>účtů</w:t>
      </w:r>
      <w:r w:rsidR="00B343DD">
        <w:rPr>
          <w:rFonts w:ascii="Arial" w:hAnsi="Arial" w:cs="Arial"/>
        </w:rPr>
        <w:t>,</w:t>
      </w:r>
      <w:r w:rsidR="00B8057C" w:rsidRPr="00EC49E0">
        <w:rPr>
          <w:rFonts w:ascii="Arial" w:hAnsi="Arial" w:cs="Arial"/>
        </w:rPr>
        <w:t xml:space="preserve"> a tím i </w:t>
      </w:r>
      <w:r w:rsidR="00A7241D">
        <w:rPr>
          <w:rFonts w:ascii="Arial" w:hAnsi="Arial" w:cs="Arial"/>
        </w:rPr>
        <w:t xml:space="preserve">nezbytnost </w:t>
      </w:r>
      <w:r w:rsidR="00331CD2" w:rsidRPr="00EC49E0">
        <w:rPr>
          <w:rFonts w:ascii="Arial" w:hAnsi="Arial" w:cs="Arial"/>
        </w:rPr>
        <w:t>plateb</w:t>
      </w:r>
      <w:r w:rsidR="008D2983" w:rsidRPr="00EC49E0">
        <w:rPr>
          <w:rFonts w:ascii="Arial" w:hAnsi="Arial" w:cs="Arial"/>
        </w:rPr>
        <w:t xml:space="preserve"> </w:t>
      </w:r>
      <w:r w:rsidR="00B8057C" w:rsidRPr="00EC49E0">
        <w:rPr>
          <w:rFonts w:ascii="Arial" w:hAnsi="Arial" w:cs="Arial"/>
        </w:rPr>
        <w:t xml:space="preserve">za </w:t>
      </w:r>
      <w:r w:rsidR="008D2983" w:rsidRPr="00EC49E0">
        <w:rPr>
          <w:rFonts w:ascii="Arial" w:hAnsi="Arial" w:cs="Arial"/>
        </w:rPr>
        <w:t xml:space="preserve">jejich </w:t>
      </w:r>
      <w:r w:rsidR="00B8057C" w:rsidRPr="00EC49E0">
        <w:rPr>
          <w:rFonts w:ascii="Arial" w:hAnsi="Arial" w:cs="Arial"/>
        </w:rPr>
        <w:t>vedení</w:t>
      </w:r>
      <w:r w:rsidR="008D2983" w:rsidRPr="00EC49E0">
        <w:rPr>
          <w:rFonts w:ascii="Arial" w:hAnsi="Arial" w:cs="Arial"/>
        </w:rPr>
        <w:t xml:space="preserve">. 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250580" w:rsidRPr="00EC49E0" w:rsidRDefault="00257C48" w:rsidP="000008B0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Pro</w:t>
      </w:r>
      <w:r w:rsidR="00110A35" w:rsidRPr="00EC49E0">
        <w:rPr>
          <w:rFonts w:ascii="Arial" w:hAnsi="Arial" w:cs="Arial"/>
        </w:rPr>
        <w:t xml:space="preserve"> zajištění návratnosti </w:t>
      </w:r>
      <w:r w:rsidRPr="00EC49E0">
        <w:rPr>
          <w:rFonts w:ascii="Arial" w:hAnsi="Arial" w:cs="Arial"/>
        </w:rPr>
        <w:t>zahraničních pohledávek</w:t>
      </w:r>
      <w:r w:rsidR="00B71FC3">
        <w:rPr>
          <w:rFonts w:ascii="Arial" w:hAnsi="Arial" w:cs="Arial"/>
        </w:rPr>
        <w:t xml:space="preserve"> </w:t>
      </w:r>
      <w:r w:rsidR="00B343DD" w:rsidRPr="00EC49E0">
        <w:rPr>
          <w:rFonts w:ascii="Arial" w:hAnsi="Arial" w:cs="Arial"/>
        </w:rPr>
        <w:t xml:space="preserve">uzavíralo </w:t>
      </w:r>
      <w:r w:rsidR="00B343DD">
        <w:rPr>
          <w:rFonts w:ascii="Arial" w:hAnsi="Arial" w:cs="Arial"/>
        </w:rPr>
        <w:t>dříve</w:t>
      </w:r>
      <w:r w:rsidR="00B343DD" w:rsidRPr="00EC49E0">
        <w:rPr>
          <w:rFonts w:ascii="Arial" w:hAnsi="Arial" w:cs="Arial"/>
        </w:rPr>
        <w:t xml:space="preserve"> </w:t>
      </w:r>
      <w:r w:rsidRPr="00EC49E0">
        <w:rPr>
          <w:rFonts w:ascii="Arial" w:hAnsi="Arial" w:cs="Arial"/>
        </w:rPr>
        <w:t xml:space="preserve">MF </w:t>
      </w:r>
      <w:r w:rsidR="00110A35" w:rsidRPr="00EC49E0">
        <w:rPr>
          <w:rFonts w:ascii="Arial" w:hAnsi="Arial" w:cs="Arial"/>
        </w:rPr>
        <w:t xml:space="preserve">zvláštní smlouvy k vymáhání nebo odprodeji pohledávek </w:t>
      </w:r>
      <w:r w:rsidR="00AD14F8">
        <w:rPr>
          <w:rFonts w:ascii="Arial" w:hAnsi="Arial" w:cs="Arial"/>
        </w:rPr>
        <w:t>(</w:t>
      </w:r>
      <w:r w:rsidR="00110A35" w:rsidRPr="00EC49E0">
        <w:rPr>
          <w:rFonts w:ascii="Arial" w:hAnsi="Arial" w:cs="Arial"/>
        </w:rPr>
        <w:t>deblokace</w:t>
      </w:r>
      <w:r w:rsidR="00AD14F8">
        <w:rPr>
          <w:rFonts w:ascii="Arial" w:hAnsi="Arial" w:cs="Arial"/>
        </w:rPr>
        <w:t>)</w:t>
      </w:r>
      <w:r w:rsidR="00110A35" w:rsidRPr="00EC49E0">
        <w:rPr>
          <w:rFonts w:ascii="Arial" w:hAnsi="Arial" w:cs="Arial"/>
        </w:rPr>
        <w:t>. V</w:t>
      </w:r>
      <w:r w:rsidR="00250580" w:rsidRPr="00EC49E0">
        <w:rPr>
          <w:rFonts w:ascii="Arial" w:hAnsi="Arial" w:cs="Arial"/>
        </w:rPr>
        <w:t> kontrolovaném období</w:t>
      </w:r>
      <w:r w:rsidR="00B343DD">
        <w:rPr>
          <w:rFonts w:ascii="Arial" w:hAnsi="Arial" w:cs="Arial"/>
        </w:rPr>
        <w:t>,</w:t>
      </w:r>
      <w:r w:rsidR="00250580" w:rsidRPr="00EC49E0">
        <w:rPr>
          <w:rFonts w:ascii="Arial" w:hAnsi="Arial" w:cs="Arial"/>
        </w:rPr>
        <w:t xml:space="preserve"> </w:t>
      </w:r>
      <w:r w:rsidR="002D678C">
        <w:rPr>
          <w:rFonts w:ascii="Arial" w:hAnsi="Arial" w:cs="Arial"/>
        </w:rPr>
        <w:t xml:space="preserve">tj. </w:t>
      </w:r>
      <w:r w:rsidR="00186265">
        <w:rPr>
          <w:rFonts w:ascii="Arial" w:hAnsi="Arial" w:cs="Arial"/>
        </w:rPr>
        <w:t>v</w:t>
      </w:r>
      <w:r w:rsidR="00B343DD">
        <w:rPr>
          <w:rFonts w:ascii="Arial" w:hAnsi="Arial" w:cs="Arial"/>
        </w:rPr>
        <w:t xml:space="preserve"> letech </w:t>
      </w:r>
      <w:r w:rsidR="00250580" w:rsidRPr="00EC49E0">
        <w:rPr>
          <w:rFonts w:ascii="Arial" w:hAnsi="Arial" w:cs="Arial"/>
        </w:rPr>
        <w:t>20</w:t>
      </w:r>
      <w:r w:rsidRPr="00EC49E0">
        <w:rPr>
          <w:rFonts w:ascii="Arial" w:hAnsi="Arial" w:cs="Arial"/>
        </w:rPr>
        <w:t>11 a 2012</w:t>
      </w:r>
      <w:r w:rsidR="00B343DD">
        <w:rPr>
          <w:rFonts w:ascii="Arial" w:hAnsi="Arial" w:cs="Arial"/>
        </w:rPr>
        <w:t>,</w:t>
      </w:r>
      <w:r w:rsidRPr="00EC49E0">
        <w:rPr>
          <w:rFonts w:ascii="Arial" w:hAnsi="Arial" w:cs="Arial"/>
        </w:rPr>
        <w:t xml:space="preserve"> žádná smlouva tohoto typu nebyla sjednána, avšak </w:t>
      </w:r>
      <w:r w:rsidR="00A7241D">
        <w:rPr>
          <w:rFonts w:ascii="Arial" w:hAnsi="Arial" w:cs="Arial"/>
        </w:rPr>
        <w:t>v</w:t>
      </w:r>
      <w:r w:rsidRPr="00EC49E0">
        <w:rPr>
          <w:rFonts w:ascii="Arial" w:hAnsi="Arial" w:cs="Arial"/>
        </w:rPr>
        <w:t xml:space="preserve"> těchto letech </w:t>
      </w:r>
      <w:r w:rsidR="00AD14F8">
        <w:rPr>
          <w:rFonts w:ascii="Arial" w:hAnsi="Arial" w:cs="Arial"/>
        </w:rPr>
        <w:t>ještě trval</w:t>
      </w:r>
      <w:r w:rsidR="00250580" w:rsidRPr="00EC49E0">
        <w:rPr>
          <w:rFonts w:ascii="Arial" w:hAnsi="Arial" w:cs="Arial"/>
        </w:rPr>
        <w:t xml:space="preserve"> smluvní vztah s 11 </w:t>
      </w:r>
      <w:proofErr w:type="spellStart"/>
      <w:r w:rsidR="00250580" w:rsidRPr="00EC49E0">
        <w:rPr>
          <w:rFonts w:ascii="Arial" w:hAnsi="Arial" w:cs="Arial"/>
        </w:rPr>
        <w:t>deblokátory</w:t>
      </w:r>
      <w:proofErr w:type="spellEnd"/>
      <w:r w:rsidR="00250580" w:rsidRPr="00EC49E0">
        <w:rPr>
          <w:rFonts w:ascii="Arial" w:hAnsi="Arial" w:cs="Arial"/>
        </w:rPr>
        <w:t>.</w:t>
      </w:r>
    </w:p>
    <w:p w:rsidR="004C6464" w:rsidRDefault="004C6464" w:rsidP="000008B0">
      <w:pPr>
        <w:spacing w:after="0" w:line="240" w:lineRule="auto"/>
        <w:jc w:val="both"/>
        <w:rPr>
          <w:rFonts w:ascii="Arial" w:hAnsi="Arial" w:cs="Arial"/>
        </w:rPr>
      </w:pPr>
    </w:p>
    <w:p w:rsidR="00F34B20" w:rsidRDefault="00250580" w:rsidP="000008B0">
      <w:pPr>
        <w:spacing w:after="0" w:line="240" w:lineRule="auto"/>
        <w:jc w:val="both"/>
        <w:rPr>
          <w:rFonts w:ascii="Arial" w:hAnsi="Arial" w:cs="Arial"/>
        </w:rPr>
      </w:pPr>
      <w:r w:rsidRPr="00EC49E0">
        <w:rPr>
          <w:rFonts w:ascii="Arial" w:hAnsi="Arial" w:cs="Arial"/>
        </w:rPr>
        <w:t>Kontrolou bylo</w:t>
      </w:r>
      <w:r w:rsidR="00257C48" w:rsidRPr="00EC49E0">
        <w:rPr>
          <w:rFonts w:ascii="Arial" w:hAnsi="Arial" w:cs="Arial"/>
        </w:rPr>
        <w:t xml:space="preserve"> zjištěno, že</w:t>
      </w:r>
      <w:r w:rsidRPr="00EC49E0">
        <w:rPr>
          <w:rFonts w:ascii="Arial" w:hAnsi="Arial" w:cs="Arial"/>
        </w:rPr>
        <w:t xml:space="preserve"> </w:t>
      </w:r>
      <w:r w:rsidR="00186265">
        <w:rPr>
          <w:rFonts w:ascii="Arial" w:hAnsi="Arial" w:cs="Arial"/>
        </w:rPr>
        <w:t>v </w:t>
      </w:r>
      <w:r w:rsidR="002D678C">
        <w:rPr>
          <w:rFonts w:ascii="Arial" w:hAnsi="Arial" w:cs="Arial"/>
        </w:rPr>
        <w:t xml:space="preserve">sedmi </w:t>
      </w:r>
      <w:r w:rsidRPr="00EC49E0">
        <w:rPr>
          <w:rFonts w:ascii="Arial" w:hAnsi="Arial" w:cs="Arial"/>
        </w:rPr>
        <w:t>kontrolovaných případech byli deblokátoři vybráni bez výběrového řízení.</w:t>
      </w:r>
      <w:r w:rsidR="00257C48" w:rsidRPr="00EC49E0">
        <w:rPr>
          <w:rFonts w:ascii="Arial" w:hAnsi="Arial" w:cs="Arial"/>
        </w:rPr>
        <w:t xml:space="preserve"> </w:t>
      </w:r>
      <w:r w:rsidR="0025362C">
        <w:rPr>
          <w:rFonts w:ascii="Arial" w:hAnsi="Arial" w:cs="Arial"/>
        </w:rPr>
        <w:t>U</w:t>
      </w:r>
      <w:r w:rsidR="00257C48" w:rsidRPr="00EC49E0">
        <w:rPr>
          <w:rFonts w:ascii="Arial" w:hAnsi="Arial" w:cs="Arial"/>
        </w:rPr>
        <w:t>zavřené smlouvy, přestože se týkaly v</w:t>
      </w:r>
      <w:r w:rsidR="00400BC3">
        <w:rPr>
          <w:rFonts w:ascii="Arial" w:hAnsi="Arial" w:cs="Arial"/>
        </w:rPr>
        <w:t xml:space="preserve">ysokých </w:t>
      </w:r>
      <w:r w:rsidR="00257C48" w:rsidRPr="00EC49E0">
        <w:rPr>
          <w:rFonts w:ascii="Arial" w:hAnsi="Arial" w:cs="Arial"/>
        </w:rPr>
        <w:t>částek, neobsahovaly žádné zajišťovací instituty</w:t>
      </w:r>
      <w:r w:rsidR="00C26E8F" w:rsidRPr="00EC49E0">
        <w:rPr>
          <w:rFonts w:ascii="Arial" w:hAnsi="Arial" w:cs="Arial"/>
        </w:rPr>
        <w:t xml:space="preserve">. </w:t>
      </w:r>
      <w:r w:rsidR="00257C48" w:rsidRPr="00EC49E0">
        <w:rPr>
          <w:rFonts w:ascii="Arial" w:hAnsi="Arial" w:cs="Arial"/>
        </w:rPr>
        <w:t>Nominální hodnota pohledávek, které MF postupně převedlo na deblokátory</w:t>
      </w:r>
      <w:r w:rsidR="00C26E8F" w:rsidRPr="00EC49E0">
        <w:rPr>
          <w:rFonts w:ascii="Arial" w:hAnsi="Arial" w:cs="Arial"/>
        </w:rPr>
        <w:t xml:space="preserve">, činila desítky milionů USD, </w:t>
      </w:r>
      <w:r w:rsidR="00257C48" w:rsidRPr="00EC49E0">
        <w:rPr>
          <w:rFonts w:ascii="Arial" w:hAnsi="Arial" w:cs="Arial"/>
        </w:rPr>
        <w:t xml:space="preserve">avšak inkasované částky </w:t>
      </w:r>
      <w:r w:rsidR="006F1D6F">
        <w:rPr>
          <w:rFonts w:ascii="Arial" w:hAnsi="Arial" w:cs="Arial"/>
        </w:rPr>
        <w:t>byly</w:t>
      </w:r>
      <w:r w:rsidR="00257C48" w:rsidRPr="00EC49E0">
        <w:rPr>
          <w:rFonts w:ascii="Arial" w:hAnsi="Arial" w:cs="Arial"/>
        </w:rPr>
        <w:t xml:space="preserve"> minimální</w:t>
      </w:r>
      <w:r w:rsidR="006F1D6F">
        <w:rPr>
          <w:rFonts w:ascii="Arial" w:hAnsi="Arial" w:cs="Arial"/>
        </w:rPr>
        <w:t>.</w:t>
      </w:r>
      <w:r w:rsidR="002D678C">
        <w:rPr>
          <w:rFonts w:ascii="Arial" w:hAnsi="Arial" w:cs="Arial"/>
        </w:rPr>
        <w:t xml:space="preserve"> V</w:t>
      </w:r>
      <w:r w:rsidR="00C26E8F" w:rsidRPr="00EC49E0">
        <w:rPr>
          <w:rFonts w:ascii="Arial" w:hAnsi="Arial" w:cs="Arial"/>
        </w:rPr>
        <w:t xml:space="preserve">e čtyřech případech </w:t>
      </w:r>
      <w:r w:rsidR="00AD14F8">
        <w:rPr>
          <w:rFonts w:ascii="Arial" w:hAnsi="Arial" w:cs="Arial"/>
        </w:rPr>
        <w:t xml:space="preserve">ze sedmi kontrolovaných </w:t>
      </w:r>
      <w:r w:rsidR="002D678C">
        <w:rPr>
          <w:rFonts w:ascii="Arial" w:hAnsi="Arial" w:cs="Arial"/>
        </w:rPr>
        <w:t xml:space="preserve">dokonce </w:t>
      </w:r>
      <w:r w:rsidR="00C26E8F" w:rsidRPr="00EC49E0">
        <w:rPr>
          <w:rFonts w:ascii="Arial" w:hAnsi="Arial" w:cs="Arial"/>
        </w:rPr>
        <w:t>nebyla inkasována žádná úhrada</w:t>
      </w:r>
      <w:r w:rsidR="002D678C">
        <w:rPr>
          <w:rFonts w:ascii="Arial" w:hAnsi="Arial" w:cs="Arial"/>
        </w:rPr>
        <w:t>, n</w:t>
      </w:r>
      <w:r w:rsidR="00257C48" w:rsidRPr="00EC49E0">
        <w:rPr>
          <w:rFonts w:ascii="Arial" w:hAnsi="Arial" w:cs="Arial"/>
        </w:rPr>
        <w:t xml:space="preserve">avíc </w:t>
      </w:r>
      <w:r w:rsidR="00C26E8F" w:rsidRPr="00EC49E0">
        <w:rPr>
          <w:rFonts w:ascii="Arial" w:hAnsi="Arial" w:cs="Arial"/>
        </w:rPr>
        <w:t xml:space="preserve">bylo </w:t>
      </w:r>
      <w:r w:rsidR="00257C48" w:rsidRPr="00EC49E0">
        <w:rPr>
          <w:rFonts w:ascii="Arial" w:hAnsi="Arial" w:cs="Arial"/>
        </w:rPr>
        <w:t xml:space="preserve">zjištěno, že </w:t>
      </w:r>
      <w:r w:rsidR="00AD1F52">
        <w:rPr>
          <w:rFonts w:ascii="Arial" w:hAnsi="Arial" w:cs="Arial"/>
        </w:rPr>
        <w:t xml:space="preserve">MF </w:t>
      </w:r>
      <w:r w:rsidR="00400BC3">
        <w:rPr>
          <w:rFonts w:ascii="Arial" w:hAnsi="Arial" w:cs="Arial"/>
        </w:rPr>
        <w:t xml:space="preserve">nechalo </w:t>
      </w:r>
      <w:r w:rsidR="00257C48" w:rsidRPr="00EC49E0">
        <w:rPr>
          <w:rFonts w:ascii="Arial" w:hAnsi="Arial" w:cs="Arial"/>
        </w:rPr>
        <w:t xml:space="preserve">v roce </w:t>
      </w:r>
      <w:r w:rsidR="00C26E8F" w:rsidRPr="00EC49E0">
        <w:rPr>
          <w:rFonts w:ascii="Arial" w:hAnsi="Arial" w:cs="Arial"/>
        </w:rPr>
        <w:t xml:space="preserve">2006 </w:t>
      </w:r>
      <w:r w:rsidR="009358BF">
        <w:rPr>
          <w:rFonts w:ascii="Arial" w:hAnsi="Arial" w:cs="Arial"/>
        </w:rPr>
        <w:t xml:space="preserve">pohledávku ve výši </w:t>
      </w:r>
      <w:r w:rsidR="00AD14F8">
        <w:rPr>
          <w:rFonts w:ascii="Arial" w:hAnsi="Arial" w:cs="Arial"/>
        </w:rPr>
        <w:t>téměř 5</w:t>
      </w:r>
      <w:r w:rsidR="001E19BE">
        <w:rPr>
          <w:rFonts w:ascii="Arial" w:hAnsi="Arial" w:cs="Arial"/>
        </w:rPr>
        <w:t xml:space="preserve"> mil. USD</w:t>
      </w:r>
      <w:r w:rsidR="00257C48" w:rsidRPr="00EC49E0">
        <w:rPr>
          <w:rFonts w:ascii="Arial" w:hAnsi="Arial" w:cs="Arial"/>
        </w:rPr>
        <w:t xml:space="preserve"> za jedním</w:t>
      </w:r>
      <w:r w:rsidR="0039391D" w:rsidRPr="00EC49E0">
        <w:rPr>
          <w:rFonts w:ascii="Arial" w:hAnsi="Arial" w:cs="Arial"/>
        </w:rPr>
        <w:t xml:space="preserve"> </w:t>
      </w:r>
      <w:r w:rsidR="00186265">
        <w:rPr>
          <w:rFonts w:ascii="Arial" w:hAnsi="Arial" w:cs="Arial"/>
        </w:rPr>
        <w:t>z </w:t>
      </w:r>
      <w:proofErr w:type="spellStart"/>
      <w:r w:rsidR="00C26E8F" w:rsidRPr="00EC49E0">
        <w:rPr>
          <w:rFonts w:ascii="Arial" w:hAnsi="Arial" w:cs="Arial"/>
        </w:rPr>
        <w:t>deblokátorů</w:t>
      </w:r>
      <w:proofErr w:type="spellEnd"/>
      <w:r w:rsidR="00C26E8F" w:rsidRPr="00EC49E0">
        <w:rPr>
          <w:rFonts w:ascii="Arial" w:hAnsi="Arial" w:cs="Arial"/>
        </w:rPr>
        <w:t xml:space="preserve"> promlčet. T</w:t>
      </w:r>
      <w:r w:rsidR="00257C48" w:rsidRPr="00EC49E0">
        <w:rPr>
          <w:rFonts w:ascii="Arial" w:hAnsi="Arial" w:cs="Arial"/>
        </w:rPr>
        <w:t xml:space="preserve">akovým opomenutím </w:t>
      </w:r>
      <w:r w:rsidR="00C26E8F" w:rsidRPr="00EC49E0">
        <w:rPr>
          <w:rFonts w:ascii="Arial" w:hAnsi="Arial" w:cs="Arial"/>
        </w:rPr>
        <w:t xml:space="preserve">MF </w:t>
      </w:r>
      <w:r w:rsidR="00257C48" w:rsidRPr="00EC49E0">
        <w:rPr>
          <w:rFonts w:ascii="Arial" w:hAnsi="Arial" w:cs="Arial"/>
        </w:rPr>
        <w:t>porušilo zákonem stanovené</w:t>
      </w:r>
      <w:r w:rsidR="00C26E8F" w:rsidRPr="00EC49E0">
        <w:rPr>
          <w:rFonts w:ascii="Arial" w:hAnsi="Arial" w:cs="Arial"/>
        </w:rPr>
        <w:t xml:space="preserve"> povinnosti. NKÚ postoupí</w:t>
      </w:r>
      <w:r w:rsidR="00942791" w:rsidRPr="00EC49E0">
        <w:rPr>
          <w:rFonts w:ascii="Arial" w:hAnsi="Arial" w:cs="Arial"/>
        </w:rPr>
        <w:t xml:space="preserve"> </w:t>
      </w:r>
      <w:r w:rsidR="00257C48" w:rsidRPr="00EC49E0">
        <w:rPr>
          <w:rFonts w:ascii="Arial" w:hAnsi="Arial" w:cs="Arial"/>
        </w:rPr>
        <w:t>svá zjištění k dalšímu opatření</w:t>
      </w:r>
      <w:r w:rsidR="001E5BEE">
        <w:rPr>
          <w:rFonts w:ascii="Arial" w:hAnsi="Arial" w:cs="Arial"/>
        </w:rPr>
        <w:t xml:space="preserve"> příslušným státním orgánům.</w:t>
      </w:r>
    </w:p>
    <w:p w:rsidR="0068300E" w:rsidRDefault="0068300E" w:rsidP="0025362C">
      <w:pPr>
        <w:spacing w:before="120" w:after="0" w:line="240" w:lineRule="auto"/>
        <w:jc w:val="both"/>
      </w:pPr>
    </w:p>
    <w:p w:rsidR="00803302" w:rsidRDefault="00803302" w:rsidP="0025362C">
      <w:pPr>
        <w:spacing w:before="120" w:after="0" w:line="240" w:lineRule="auto"/>
        <w:jc w:val="both"/>
      </w:pPr>
    </w:p>
    <w:p w:rsidR="004C6464" w:rsidRDefault="004C6464">
      <w:r>
        <w:br w:type="page"/>
      </w:r>
    </w:p>
    <w:p w:rsidR="00803302" w:rsidRDefault="00803302" w:rsidP="00803302">
      <w:pPr>
        <w:rPr>
          <w:rFonts w:ascii="Arial" w:hAnsi="Arial" w:cs="Arial"/>
          <w:b/>
          <w:u w:val="single"/>
        </w:rPr>
      </w:pPr>
    </w:p>
    <w:p w:rsidR="00C135DD" w:rsidRDefault="00C135DD" w:rsidP="00D75C8F">
      <w:pPr>
        <w:spacing w:after="0"/>
        <w:rPr>
          <w:rFonts w:ascii="Arial" w:hAnsi="Arial" w:cs="Arial"/>
          <w:b/>
          <w:sz w:val="24"/>
          <w:szCs w:val="24"/>
        </w:rPr>
      </w:pPr>
      <w:r w:rsidRPr="00D75C8F">
        <w:rPr>
          <w:rFonts w:ascii="Arial" w:hAnsi="Arial" w:cs="Arial"/>
          <w:b/>
          <w:sz w:val="24"/>
          <w:szCs w:val="24"/>
        </w:rPr>
        <w:t>Použité zkratky:</w:t>
      </w:r>
    </w:p>
    <w:p w:rsidR="009C37E0" w:rsidRPr="00D75C8F" w:rsidRDefault="009C37E0" w:rsidP="00D75C8F">
      <w:pPr>
        <w:spacing w:after="0"/>
        <w:rPr>
          <w:rFonts w:ascii="Arial" w:hAnsi="Arial" w:cs="Arial"/>
          <w:sz w:val="24"/>
          <w:szCs w:val="24"/>
        </w:rPr>
      </w:pP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CCHF</w:t>
      </w:r>
      <w:r>
        <w:rPr>
          <w:rFonts w:ascii="Arial" w:hAnsi="Arial" w:cs="Arial"/>
        </w:rPr>
        <w:tab/>
        <w:t>Clearingový švýcarský frank</w:t>
      </w:r>
    </w:p>
    <w:p w:rsidR="0062719D" w:rsidRDefault="0062719D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proofErr w:type="spellStart"/>
      <w:r w:rsidRPr="00D75C8F">
        <w:rPr>
          <w:rFonts w:ascii="Arial" w:hAnsi="Arial" w:cs="Arial"/>
          <w:b/>
        </w:rPr>
        <w:t>clg</w:t>
      </w:r>
      <w:proofErr w:type="spellEnd"/>
      <w:r w:rsidRPr="00D75C8F">
        <w:rPr>
          <w:rFonts w:ascii="Arial" w:hAnsi="Arial" w:cs="Arial"/>
          <w:b/>
        </w:rPr>
        <w:t>. USD</w:t>
      </w:r>
      <w:r>
        <w:rPr>
          <w:rFonts w:ascii="Arial" w:hAnsi="Arial" w:cs="Arial"/>
        </w:rPr>
        <w:tab/>
        <w:t>Clearingový americký dolar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CM</w:t>
      </w:r>
      <w:r>
        <w:rPr>
          <w:rFonts w:ascii="Arial" w:hAnsi="Arial" w:cs="Arial"/>
        </w:rPr>
        <w:tab/>
        <w:t xml:space="preserve">Cizí měna </w:t>
      </w:r>
    </w:p>
    <w:p w:rsidR="00954D46" w:rsidRPr="00D75C8F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 w:rsidRPr="00D75C8F">
        <w:rPr>
          <w:rFonts w:ascii="Arial" w:hAnsi="Arial" w:cs="Arial"/>
          <w:b/>
        </w:rPr>
        <w:t>ČNB</w:t>
      </w:r>
      <w:r>
        <w:rPr>
          <w:rFonts w:ascii="Arial" w:hAnsi="Arial" w:cs="Arial"/>
        </w:rPr>
        <w:tab/>
        <w:t>Česká národní banka</w:t>
      </w:r>
    </w:p>
    <w:p w:rsidR="00954D46" w:rsidRPr="00D75C8F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ČR</w:t>
      </w:r>
      <w:r>
        <w:rPr>
          <w:rFonts w:ascii="Arial" w:hAnsi="Arial" w:cs="Arial"/>
        </w:rPr>
        <w:tab/>
        <w:t>Česká republika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ČSOB</w:t>
      </w:r>
      <w:r>
        <w:rPr>
          <w:rFonts w:ascii="Arial" w:hAnsi="Arial" w:cs="Arial"/>
        </w:rPr>
        <w:tab/>
        <w:t>Československá obchodní banka, a.</w:t>
      </w:r>
      <w:r w:rsidR="00E1097D">
        <w:rPr>
          <w:rFonts w:ascii="Arial" w:hAnsi="Arial" w:cs="Arial"/>
        </w:rPr>
        <w:t> </w:t>
      </w:r>
      <w:r>
        <w:rPr>
          <w:rFonts w:ascii="Arial" w:hAnsi="Arial" w:cs="Arial"/>
        </w:rPr>
        <w:t>s.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DPH</w:t>
      </w:r>
      <w:r>
        <w:rPr>
          <w:rFonts w:ascii="Arial" w:hAnsi="Arial" w:cs="Arial"/>
        </w:rPr>
        <w:tab/>
        <w:t>Daň z přidané hodnoty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EUR</w:t>
      </w:r>
      <w:r>
        <w:rPr>
          <w:rFonts w:ascii="Arial" w:hAnsi="Arial" w:cs="Arial"/>
        </w:rPr>
        <w:tab/>
        <w:t>Euro</w:t>
      </w:r>
    </w:p>
    <w:p w:rsidR="00954D46" w:rsidRPr="00C135DD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CHF</w:t>
      </w:r>
      <w:r w:rsidRPr="00C135DD">
        <w:rPr>
          <w:rFonts w:ascii="Arial" w:hAnsi="Arial" w:cs="Arial"/>
        </w:rPr>
        <w:tab/>
        <w:t>Švýcarský frank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INR</w:t>
      </w:r>
      <w:r>
        <w:rPr>
          <w:rFonts w:ascii="Arial" w:hAnsi="Arial" w:cs="Arial"/>
        </w:rPr>
        <w:tab/>
        <w:t>Indická rupie</w:t>
      </w:r>
    </w:p>
    <w:p w:rsidR="00042A44" w:rsidRDefault="00042A44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 w:rsidRPr="00D75C8F">
        <w:rPr>
          <w:rFonts w:ascii="Arial" w:hAnsi="Arial" w:cs="Arial"/>
          <w:b/>
        </w:rPr>
        <w:t>Kč</w:t>
      </w:r>
      <w:r w:rsidR="009D35F1">
        <w:rPr>
          <w:rFonts w:ascii="Arial" w:hAnsi="Arial" w:cs="Arial"/>
          <w:b/>
        </w:rPr>
        <w:t>, CZK</w:t>
      </w:r>
      <w:r>
        <w:rPr>
          <w:rFonts w:ascii="Arial" w:hAnsi="Arial" w:cs="Arial"/>
        </w:rPr>
        <w:tab/>
        <w:t>Česká koruna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MF</w:t>
      </w:r>
      <w:r>
        <w:rPr>
          <w:rFonts w:ascii="Arial" w:hAnsi="Arial" w:cs="Arial"/>
        </w:rPr>
        <w:tab/>
        <w:t>Ministerstvo financí</w:t>
      </w:r>
    </w:p>
    <w:p w:rsidR="00954D46" w:rsidRP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 w:rsidRPr="00D75C8F">
        <w:rPr>
          <w:rFonts w:ascii="Arial" w:hAnsi="Arial" w:cs="Arial"/>
          <w:b/>
        </w:rPr>
        <w:t>NKÚ</w:t>
      </w:r>
      <w:r w:rsidRPr="00954D46">
        <w:rPr>
          <w:rFonts w:ascii="Arial" w:hAnsi="Arial" w:cs="Arial"/>
        </w:rPr>
        <w:tab/>
      </w:r>
      <w:r w:rsidRPr="00D75C8F">
        <w:rPr>
          <w:rFonts w:ascii="Arial" w:hAnsi="Arial" w:cs="Arial"/>
        </w:rPr>
        <w:t>Nejvyšší kontrolní úřad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SNS</w:t>
      </w:r>
      <w:r>
        <w:rPr>
          <w:rFonts w:ascii="Arial" w:hAnsi="Arial" w:cs="Arial"/>
        </w:rPr>
        <w:tab/>
        <w:t>Společenství nezávislých států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SZÚ</w:t>
      </w:r>
      <w:r>
        <w:rPr>
          <w:rFonts w:ascii="Arial" w:hAnsi="Arial" w:cs="Arial"/>
        </w:rPr>
        <w:tab/>
        <w:t>Státní závěrečný účet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USD</w:t>
      </w:r>
      <w:r>
        <w:rPr>
          <w:rFonts w:ascii="Arial" w:hAnsi="Arial" w:cs="Arial"/>
        </w:rPr>
        <w:tab/>
        <w:t xml:space="preserve">Americký dolar 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XCRO, XCRC, XCRS</w:t>
      </w:r>
      <w:r>
        <w:rPr>
          <w:rFonts w:ascii="Arial" w:hAnsi="Arial" w:cs="Arial"/>
        </w:rPr>
        <w:tab/>
        <w:t>Clearingový ruský rubl</w:t>
      </w:r>
    </w:p>
    <w:p w:rsidR="00954D46" w:rsidRDefault="00954D46" w:rsidP="00D75C8F">
      <w:pPr>
        <w:tabs>
          <w:tab w:val="left" w:pos="311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YUSD, IUSD, SUSD</w:t>
      </w:r>
      <w:r w:rsidR="00D75C8F">
        <w:rPr>
          <w:rFonts w:ascii="Arial" w:hAnsi="Arial" w:cs="Arial"/>
          <w:b/>
        </w:rPr>
        <w:t>, OUSD</w:t>
      </w:r>
      <w:r>
        <w:rPr>
          <w:rFonts w:ascii="Arial" w:hAnsi="Arial" w:cs="Arial"/>
        </w:rPr>
        <w:tab/>
        <w:t>Clearingový americký dolar</w:t>
      </w:r>
    </w:p>
    <w:p w:rsidR="00954D46" w:rsidRDefault="00954D46" w:rsidP="00C135DD">
      <w:pPr>
        <w:tabs>
          <w:tab w:val="left" w:pos="2835"/>
        </w:tabs>
        <w:rPr>
          <w:rFonts w:ascii="Arial" w:hAnsi="Arial" w:cs="Arial"/>
        </w:rPr>
      </w:pPr>
    </w:p>
    <w:p w:rsidR="00803302" w:rsidRDefault="00803302" w:rsidP="0025362C">
      <w:pPr>
        <w:spacing w:before="120" w:after="0" w:line="240" w:lineRule="auto"/>
        <w:jc w:val="both"/>
      </w:pPr>
    </w:p>
    <w:sectPr w:rsidR="00803302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73" w:rsidRDefault="00F35773">
      <w:pPr>
        <w:spacing w:after="0" w:line="240" w:lineRule="auto"/>
      </w:pPr>
      <w:r>
        <w:separator/>
      </w:r>
    </w:p>
  </w:endnote>
  <w:endnote w:type="continuationSeparator" w:id="0">
    <w:p w:rsidR="00F35773" w:rsidRDefault="00F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73" w:rsidRDefault="00F35773" w:rsidP="00951DA1">
    <w:pPr>
      <w:pStyle w:val="Zpat"/>
      <w:jc w:val="center"/>
    </w:pPr>
    <w:r w:rsidRPr="00114CE6">
      <w:rPr>
        <w:rFonts w:ascii="Arial" w:hAnsi="Arial" w:cs="Arial"/>
      </w:rPr>
      <w:fldChar w:fldCharType="begin"/>
    </w:r>
    <w:r w:rsidRPr="00114CE6">
      <w:rPr>
        <w:rFonts w:ascii="Arial" w:hAnsi="Arial" w:cs="Arial"/>
      </w:rPr>
      <w:instrText xml:space="preserve"> PAGE   \* MERGEFORMAT </w:instrText>
    </w:r>
    <w:r w:rsidRPr="00114CE6">
      <w:rPr>
        <w:rFonts w:ascii="Arial" w:hAnsi="Arial" w:cs="Arial"/>
      </w:rPr>
      <w:fldChar w:fldCharType="separate"/>
    </w:r>
    <w:r w:rsidR="008B71A2">
      <w:rPr>
        <w:rFonts w:ascii="Arial" w:hAnsi="Arial" w:cs="Arial"/>
        <w:noProof/>
      </w:rPr>
      <w:t>4</w:t>
    </w:r>
    <w:r w:rsidRPr="00114CE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73" w:rsidRDefault="00F35773">
      <w:pPr>
        <w:spacing w:after="0" w:line="240" w:lineRule="auto"/>
      </w:pPr>
      <w:r>
        <w:separator/>
      </w:r>
    </w:p>
  </w:footnote>
  <w:footnote w:type="continuationSeparator" w:id="0">
    <w:p w:rsidR="00F35773" w:rsidRDefault="00F35773">
      <w:pPr>
        <w:spacing w:after="0" w:line="240" w:lineRule="auto"/>
      </w:pPr>
      <w:r>
        <w:continuationSeparator/>
      </w:r>
    </w:p>
  </w:footnote>
  <w:footnote w:id="1">
    <w:p w:rsidR="00F35773" w:rsidRPr="009F062F" w:rsidRDefault="00F35773" w:rsidP="00E9793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9F062F">
        <w:rPr>
          <w:rStyle w:val="Znakapoznpodarou"/>
          <w:rFonts w:ascii="Arial" w:hAnsi="Arial" w:cs="Arial"/>
          <w:sz w:val="18"/>
          <w:szCs w:val="18"/>
        </w:rPr>
        <w:footnoteRef/>
      </w:r>
      <w:r w:rsidRPr="009F06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F062F">
        <w:rPr>
          <w:rFonts w:ascii="Arial" w:hAnsi="Arial" w:cs="Arial"/>
          <w:sz w:val="18"/>
          <w:szCs w:val="18"/>
        </w:rPr>
        <w:t>Zákon č. 2/1969 Sb.</w:t>
      </w:r>
      <w:r>
        <w:rPr>
          <w:rFonts w:ascii="Arial" w:hAnsi="Arial" w:cs="Arial"/>
          <w:sz w:val="18"/>
          <w:szCs w:val="18"/>
        </w:rPr>
        <w:t>,</w:t>
      </w:r>
      <w:r w:rsidRPr="009F062F">
        <w:rPr>
          <w:rFonts w:ascii="Arial" w:hAnsi="Arial" w:cs="Arial"/>
          <w:sz w:val="18"/>
          <w:szCs w:val="18"/>
        </w:rPr>
        <w:t xml:space="preserve"> o zřízení ministerstev a jiných ústředních orgánů státní správy České republiky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F35773" w:rsidRPr="009F062F" w:rsidRDefault="00F35773" w:rsidP="00E97936">
      <w:pPr>
        <w:pStyle w:val="Textpoznpodarou"/>
        <w:spacing w:before="40"/>
        <w:ind w:left="284" w:hanging="284"/>
        <w:rPr>
          <w:rFonts w:ascii="Arial" w:hAnsi="Arial" w:cs="Arial"/>
          <w:sz w:val="18"/>
          <w:szCs w:val="18"/>
        </w:rPr>
      </w:pPr>
      <w:r w:rsidRPr="009F062F">
        <w:rPr>
          <w:rStyle w:val="Znakapoznpodarou"/>
          <w:rFonts w:ascii="Arial" w:hAnsi="Arial" w:cs="Arial"/>
          <w:sz w:val="18"/>
          <w:szCs w:val="18"/>
        </w:rPr>
        <w:footnoteRef/>
      </w:r>
      <w:r w:rsidRPr="009F06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F062F">
        <w:rPr>
          <w:rFonts w:ascii="Arial" w:hAnsi="Arial" w:cs="Arial"/>
          <w:sz w:val="18"/>
          <w:szCs w:val="18"/>
        </w:rPr>
        <w:t xml:space="preserve">§ 36 zákona č. 218/2000 Sb., o rozpočtových pravidlech a </w:t>
      </w:r>
      <w:r>
        <w:rPr>
          <w:rFonts w:ascii="Arial" w:hAnsi="Arial" w:cs="Arial"/>
          <w:sz w:val="18"/>
          <w:szCs w:val="18"/>
        </w:rPr>
        <w:t xml:space="preserve">o </w:t>
      </w:r>
      <w:r w:rsidRPr="009F062F">
        <w:rPr>
          <w:rFonts w:ascii="Arial" w:hAnsi="Arial" w:cs="Arial"/>
          <w:sz w:val="18"/>
          <w:szCs w:val="18"/>
        </w:rPr>
        <w:t>změně některých souvisejících zákonů (rozpočtová pravidla</w:t>
      </w:r>
      <w:r>
        <w:rPr>
          <w:rFonts w:ascii="Arial" w:hAnsi="Arial" w:cs="Arial"/>
          <w:sz w:val="18"/>
          <w:szCs w:val="18"/>
        </w:rPr>
        <w:t>).</w:t>
      </w:r>
    </w:p>
  </w:footnote>
  <w:footnote w:id="3">
    <w:p w:rsidR="00F35773" w:rsidRDefault="00F35773" w:rsidP="00E97936">
      <w:pPr>
        <w:pStyle w:val="Textpoznpodarou"/>
        <w:spacing w:before="40"/>
        <w:ind w:left="284" w:hanging="284"/>
      </w:pPr>
      <w:r w:rsidRPr="009F062F">
        <w:rPr>
          <w:rStyle w:val="Znakapoznpodarou"/>
          <w:rFonts w:ascii="Arial" w:hAnsi="Arial" w:cs="Arial"/>
          <w:sz w:val="18"/>
          <w:szCs w:val="18"/>
        </w:rPr>
        <w:footnoteRef/>
      </w:r>
      <w:r w:rsidRPr="009F06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F062F">
        <w:rPr>
          <w:rFonts w:ascii="Arial" w:hAnsi="Arial" w:cs="Arial"/>
          <w:sz w:val="18"/>
          <w:szCs w:val="18"/>
        </w:rPr>
        <w:t>Zákon č. 219/2000 Sb., o majetku České republiky a jejím vystupování v právních vztazích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F35773" w:rsidRPr="00BE2BA3" w:rsidRDefault="00F35773" w:rsidP="00BE2B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BE2BA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BE2BA3">
        <w:rPr>
          <w:rFonts w:ascii="Arial" w:eastAsia="Times New Roman" w:hAnsi="Arial" w:cs="Arial"/>
          <w:sz w:val="18"/>
          <w:szCs w:val="18"/>
        </w:rPr>
        <w:t>Dohoda mezi Ministerstvem financí České republiky a Ministerstvem financí Slovenské republiky na straně jedné a Československou obchodní bankou, a. s.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BE2BA3">
        <w:rPr>
          <w:rFonts w:ascii="Arial" w:eastAsia="Times New Roman" w:hAnsi="Arial" w:cs="Arial"/>
          <w:sz w:val="18"/>
          <w:szCs w:val="18"/>
        </w:rPr>
        <w:t xml:space="preserve"> Praha na straně druhé o převodu pohledávek a závazků v nesměnitelných měnách do státních finančních aktiv a pasiv České republiky a Slovenské republiky ze dne 30. </w:t>
      </w:r>
      <w:r>
        <w:rPr>
          <w:rFonts w:ascii="Arial" w:eastAsia="Times New Roman" w:hAnsi="Arial" w:cs="Arial"/>
          <w:sz w:val="18"/>
          <w:szCs w:val="18"/>
        </w:rPr>
        <w:t>prosince</w:t>
      </w:r>
      <w:r w:rsidRPr="00BE2BA3">
        <w:rPr>
          <w:rFonts w:ascii="Arial" w:eastAsia="Times New Roman" w:hAnsi="Arial" w:cs="Arial"/>
          <w:sz w:val="18"/>
          <w:szCs w:val="18"/>
        </w:rPr>
        <w:t xml:space="preserve"> 1992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F35773" w:rsidRPr="00BE2BA3" w:rsidRDefault="00F35773" w:rsidP="00BE2B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Pr="00BE2BA3">
        <w:rPr>
          <w:rFonts w:ascii="Arial" w:eastAsia="Times New Roman" w:hAnsi="Arial" w:cs="Arial"/>
          <w:sz w:val="18"/>
          <w:szCs w:val="18"/>
        </w:rPr>
        <w:t>Dohoda mezi Ministerstvem financí České republiky a Ministerstvem financí Slovenské republiky na straně jedné a Československou obchodní bankou, a. s.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BE2BA3">
        <w:rPr>
          <w:rFonts w:ascii="Arial" w:eastAsia="Times New Roman" w:hAnsi="Arial" w:cs="Arial"/>
          <w:sz w:val="18"/>
          <w:szCs w:val="18"/>
        </w:rPr>
        <w:t xml:space="preserve"> Praha na straně druhé o převodu závazků a pohledávek ve volně směnitelných měnách zahrnutých do Centrálního devizového zdroje do státních finančních aktiv a pasiv ze dne 30. </w:t>
      </w:r>
      <w:r>
        <w:rPr>
          <w:rFonts w:ascii="Arial" w:eastAsia="Times New Roman" w:hAnsi="Arial" w:cs="Arial"/>
          <w:sz w:val="18"/>
          <w:szCs w:val="18"/>
        </w:rPr>
        <w:t>prosince</w:t>
      </w:r>
      <w:r w:rsidRPr="00BE2BA3">
        <w:rPr>
          <w:rFonts w:ascii="Arial" w:eastAsia="Times New Roman" w:hAnsi="Arial" w:cs="Arial"/>
          <w:sz w:val="18"/>
          <w:szCs w:val="18"/>
        </w:rPr>
        <w:t xml:space="preserve"> 1992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F35773" w:rsidRPr="00BE2BA3" w:rsidRDefault="00F35773" w:rsidP="00BE2BA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Pr="00BE2BA3">
        <w:rPr>
          <w:rFonts w:ascii="Arial" w:eastAsia="Times New Roman" w:hAnsi="Arial" w:cs="Arial"/>
          <w:sz w:val="18"/>
          <w:szCs w:val="18"/>
        </w:rPr>
        <w:t xml:space="preserve">Dohoda mezi vládami České republiky a Slovenské republiky o převodu vládních pohledávek vůči zahraničí do kompetence České republiky a Slovenské republiky a o zajištění vnitřního financování poskytnutých vládních úvěrů ze dne 7. </w:t>
      </w:r>
      <w:r>
        <w:rPr>
          <w:rFonts w:ascii="Arial" w:eastAsia="Times New Roman" w:hAnsi="Arial" w:cs="Arial"/>
          <w:sz w:val="18"/>
          <w:szCs w:val="18"/>
        </w:rPr>
        <w:t>dubna</w:t>
      </w:r>
      <w:r w:rsidRPr="00BE2BA3">
        <w:rPr>
          <w:rFonts w:ascii="Arial" w:eastAsia="Times New Roman" w:hAnsi="Arial" w:cs="Arial"/>
          <w:sz w:val="18"/>
          <w:szCs w:val="18"/>
        </w:rPr>
        <w:t xml:space="preserve"> 1993.</w:t>
      </w:r>
    </w:p>
  </w:footnote>
  <w:footnote w:id="5">
    <w:p w:rsidR="00F35773" w:rsidRDefault="00F35773" w:rsidP="00A906D7">
      <w:pPr>
        <w:pStyle w:val="Textpoznpodarou"/>
        <w:ind w:left="284" w:hanging="284"/>
      </w:pPr>
      <w:r w:rsidRPr="00A906D7">
        <w:rPr>
          <w:rStyle w:val="Znakapoznpodarou"/>
          <w:rFonts w:ascii="Arial" w:hAnsi="Arial" w:cs="Arial"/>
          <w:sz w:val="18"/>
          <w:szCs w:val="18"/>
        </w:rPr>
        <w:footnoteRef/>
      </w:r>
      <w:r w:rsidRPr="00A906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906D7">
        <w:rPr>
          <w:rFonts w:ascii="Arial" w:hAnsi="Arial" w:cs="Arial"/>
          <w:sz w:val="18"/>
          <w:szCs w:val="18"/>
        </w:rPr>
        <w:t>Zákon č. 563/1991 Sb.</w:t>
      </w:r>
      <w:r>
        <w:rPr>
          <w:rFonts w:ascii="Arial" w:hAnsi="Arial" w:cs="Arial"/>
          <w:sz w:val="18"/>
          <w:szCs w:val="18"/>
        </w:rPr>
        <w:t>,</w:t>
      </w:r>
      <w:r w:rsidRPr="00A906D7">
        <w:rPr>
          <w:rFonts w:ascii="Arial" w:hAnsi="Arial" w:cs="Arial"/>
          <w:sz w:val="18"/>
          <w:szCs w:val="18"/>
        </w:rPr>
        <w:t xml:space="preserve"> o účetnictví.</w:t>
      </w:r>
    </w:p>
  </w:footnote>
  <w:footnote w:id="6">
    <w:p w:rsidR="00F35773" w:rsidRPr="007C2EA0" w:rsidRDefault="00F35773" w:rsidP="00D4141B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D4141B">
        <w:rPr>
          <w:rStyle w:val="Znakapoznpodarou"/>
          <w:rFonts w:ascii="Arial" w:hAnsi="Arial" w:cs="Arial"/>
          <w:sz w:val="18"/>
          <w:szCs w:val="18"/>
        </w:rPr>
        <w:footnoteRef/>
      </w:r>
      <w:r w:rsidRPr="00D414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4141B">
        <w:rPr>
          <w:rFonts w:ascii="Arial" w:hAnsi="Arial" w:cs="Arial"/>
          <w:sz w:val="18"/>
          <w:szCs w:val="18"/>
        </w:rPr>
        <w:t>Dle smlouvy s bankou se e</w:t>
      </w:r>
      <w:r w:rsidRPr="009F47C3">
        <w:rPr>
          <w:rFonts w:ascii="Arial" w:hAnsi="Arial" w:cs="Arial"/>
          <w:sz w:val="18"/>
          <w:szCs w:val="18"/>
        </w:rPr>
        <w:t xml:space="preserve">videnčním účtem rozumí jakýkoli účet vedený v souvislosti se správou civilních vládních úvěrů a jiných </w:t>
      </w:r>
      <w:r w:rsidRPr="004718CC">
        <w:rPr>
          <w:rFonts w:ascii="Arial" w:hAnsi="Arial" w:cs="Arial"/>
          <w:sz w:val="18"/>
          <w:szCs w:val="18"/>
        </w:rPr>
        <w:t>státních pohledávek vůči zahraničí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:rsidR="00F35773" w:rsidRPr="00D06937" w:rsidRDefault="00F35773" w:rsidP="00923320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06937">
        <w:rPr>
          <w:rStyle w:val="Znakapoznpodarou"/>
          <w:rFonts w:ascii="Arial" w:hAnsi="Arial" w:cs="Arial"/>
          <w:sz w:val="18"/>
          <w:szCs w:val="18"/>
        </w:rPr>
        <w:footnoteRef/>
      </w:r>
      <w:r w:rsidRPr="00D06937">
        <w:rPr>
          <w:rFonts w:ascii="Arial" w:hAnsi="Arial" w:cs="Arial"/>
          <w:sz w:val="18"/>
          <w:szCs w:val="18"/>
        </w:rPr>
        <w:tab/>
        <w:t>Zákon č. 201/2002 Sb., o Úřadu pro zastupování státu ve věcech majetkových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73" w:rsidRDefault="008B71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.05pt;margin-top:18.55pt;width:207.05pt;height:40.2pt;z-index:251659264;visibility:visible;mso-wrap-edited:f" wrapcoords="-48 0 -48 21355 21600 21355 21600 0 -48 0">
          <v:imagedata r:id="rId1" o:title=""/>
          <w10:wrap type="tight"/>
        </v:shape>
        <o:OLEObject Type="Embed" ProgID="Word.Picture.8" ShapeID="_x0000_s2049" DrawAspect="Content" ObjectID="_145085602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CB6"/>
    <w:multiLevelType w:val="hybridMultilevel"/>
    <w:tmpl w:val="3FEED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77EE"/>
    <w:multiLevelType w:val="hybridMultilevel"/>
    <w:tmpl w:val="742AE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C67"/>
    <w:multiLevelType w:val="hybridMultilevel"/>
    <w:tmpl w:val="42900F12"/>
    <w:lvl w:ilvl="0" w:tplc="1956604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167573"/>
    <w:multiLevelType w:val="hybridMultilevel"/>
    <w:tmpl w:val="5024F3BA"/>
    <w:lvl w:ilvl="0" w:tplc="70A04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0B69"/>
    <w:multiLevelType w:val="hybridMultilevel"/>
    <w:tmpl w:val="DB68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0347F"/>
    <w:multiLevelType w:val="hybridMultilevel"/>
    <w:tmpl w:val="253CF86E"/>
    <w:lvl w:ilvl="0" w:tplc="BD0AE3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C5037"/>
    <w:multiLevelType w:val="hybridMultilevel"/>
    <w:tmpl w:val="0576B936"/>
    <w:lvl w:ilvl="0" w:tplc="BD0AE3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210B7"/>
    <w:multiLevelType w:val="hybridMultilevel"/>
    <w:tmpl w:val="4D5AFC88"/>
    <w:lvl w:ilvl="0" w:tplc="7CF66F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307B1"/>
    <w:multiLevelType w:val="hybridMultilevel"/>
    <w:tmpl w:val="7AA6C9A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E143621"/>
    <w:multiLevelType w:val="hybridMultilevel"/>
    <w:tmpl w:val="F7CCF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478E"/>
    <w:multiLevelType w:val="hybridMultilevel"/>
    <w:tmpl w:val="7AEAE202"/>
    <w:lvl w:ilvl="0" w:tplc="090671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008B0"/>
    <w:rsid w:val="00026D67"/>
    <w:rsid w:val="0003479D"/>
    <w:rsid w:val="00042A44"/>
    <w:rsid w:val="00044773"/>
    <w:rsid w:val="00052846"/>
    <w:rsid w:val="00076BBB"/>
    <w:rsid w:val="00076D5D"/>
    <w:rsid w:val="000776A2"/>
    <w:rsid w:val="000829A7"/>
    <w:rsid w:val="000A0538"/>
    <w:rsid w:val="000A48F9"/>
    <w:rsid w:val="000B7E5F"/>
    <w:rsid w:val="000C0F8D"/>
    <w:rsid w:val="000C7BDC"/>
    <w:rsid w:val="000D4510"/>
    <w:rsid w:val="000E2F1E"/>
    <w:rsid w:val="000E4007"/>
    <w:rsid w:val="000E6C21"/>
    <w:rsid w:val="000F77C1"/>
    <w:rsid w:val="0010371A"/>
    <w:rsid w:val="00106066"/>
    <w:rsid w:val="00110A35"/>
    <w:rsid w:val="001113FA"/>
    <w:rsid w:val="00121337"/>
    <w:rsid w:val="00122191"/>
    <w:rsid w:val="0012784A"/>
    <w:rsid w:val="00133842"/>
    <w:rsid w:val="0017689E"/>
    <w:rsid w:val="00181400"/>
    <w:rsid w:val="00181676"/>
    <w:rsid w:val="00186265"/>
    <w:rsid w:val="001A77EB"/>
    <w:rsid w:val="001B1AFB"/>
    <w:rsid w:val="001C376D"/>
    <w:rsid w:val="001C4C06"/>
    <w:rsid w:val="001D71A0"/>
    <w:rsid w:val="001E19BE"/>
    <w:rsid w:val="001E2520"/>
    <w:rsid w:val="001E5BEE"/>
    <w:rsid w:val="001F3BF4"/>
    <w:rsid w:val="001F78AD"/>
    <w:rsid w:val="0020248E"/>
    <w:rsid w:val="00207453"/>
    <w:rsid w:val="002106B5"/>
    <w:rsid w:val="00210ECC"/>
    <w:rsid w:val="00211AA4"/>
    <w:rsid w:val="0021394E"/>
    <w:rsid w:val="00222BAE"/>
    <w:rsid w:val="002349C6"/>
    <w:rsid w:val="0024067F"/>
    <w:rsid w:val="00250580"/>
    <w:rsid w:val="0025362C"/>
    <w:rsid w:val="00254669"/>
    <w:rsid w:val="00257C48"/>
    <w:rsid w:val="002804FD"/>
    <w:rsid w:val="00285427"/>
    <w:rsid w:val="002B04D9"/>
    <w:rsid w:val="002D678C"/>
    <w:rsid w:val="002D7AA1"/>
    <w:rsid w:val="002E228C"/>
    <w:rsid w:val="003141AC"/>
    <w:rsid w:val="00326780"/>
    <w:rsid w:val="00331CD2"/>
    <w:rsid w:val="0033427E"/>
    <w:rsid w:val="00340F6A"/>
    <w:rsid w:val="0035187D"/>
    <w:rsid w:val="00353298"/>
    <w:rsid w:val="00355C8E"/>
    <w:rsid w:val="0035747B"/>
    <w:rsid w:val="003579E6"/>
    <w:rsid w:val="00371085"/>
    <w:rsid w:val="0037372C"/>
    <w:rsid w:val="003765BE"/>
    <w:rsid w:val="0038107C"/>
    <w:rsid w:val="00381936"/>
    <w:rsid w:val="0039391D"/>
    <w:rsid w:val="003A34FF"/>
    <w:rsid w:val="003A7BCA"/>
    <w:rsid w:val="003B3B64"/>
    <w:rsid w:val="003C054B"/>
    <w:rsid w:val="003C1416"/>
    <w:rsid w:val="003D00C7"/>
    <w:rsid w:val="003D3A18"/>
    <w:rsid w:val="003D57A7"/>
    <w:rsid w:val="003E7D8B"/>
    <w:rsid w:val="00400BC3"/>
    <w:rsid w:val="00400E77"/>
    <w:rsid w:val="004115A1"/>
    <w:rsid w:val="004176B4"/>
    <w:rsid w:val="00424836"/>
    <w:rsid w:val="00427334"/>
    <w:rsid w:val="004665AE"/>
    <w:rsid w:val="004718CC"/>
    <w:rsid w:val="00481BF4"/>
    <w:rsid w:val="0048293A"/>
    <w:rsid w:val="004961CC"/>
    <w:rsid w:val="004C6464"/>
    <w:rsid w:val="004C7003"/>
    <w:rsid w:val="004E33DB"/>
    <w:rsid w:val="004E3C7B"/>
    <w:rsid w:val="004F290A"/>
    <w:rsid w:val="0050569F"/>
    <w:rsid w:val="0051392E"/>
    <w:rsid w:val="00532E56"/>
    <w:rsid w:val="00535338"/>
    <w:rsid w:val="00556C2F"/>
    <w:rsid w:val="005631BB"/>
    <w:rsid w:val="00563926"/>
    <w:rsid w:val="00567C4C"/>
    <w:rsid w:val="005770D2"/>
    <w:rsid w:val="00577DCD"/>
    <w:rsid w:val="0059139B"/>
    <w:rsid w:val="005936DD"/>
    <w:rsid w:val="00593A2D"/>
    <w:rsid w:val="005A57D6"/>
    <w:rsid w:val="005B09B9"/>
    <w:rsid w:val="005B2148"/>
    <w:rsid w:val="005B4DEB"/>
    <w:rsid w:val="005C01D7"/>
    <w:rsid w:val="005C7900"/>
    <w:rsid w:val="005F5C64"/>
    <w:rsid w:val="00604C7B"/>
    <w:rsid w:val="0060587B"/>
    <w:rsid w:val="006117A0"/>
    <w:rsid w:val="0061197D"/>
    <w:rsid w:val="00623953"/>
    <w:rsid w:val="00626828"/>
    <w:rsid w:val="0062719D"/>
    <w:rsid w:val="00632194"/>
    <w:rsid w:val="00632F13"/>
    <w:rsid w:val="006345F7"/>
    <w:rsid w:val="006346C2"/>
    <w:rsid w:val="00642626"/>
    <w:rsid w:val="00644611"/>
    <w:rsid w:val="0065075A"/>
    <w:rsid w:val="00651BDA"/>
    <w:rsid w:val="0067448F"/>
    <w:rsid w:val="00681942"/>
    <w:rsid w:val="00682C16"/>
    <w:rsid w:val="0068300E"/>
    <w:rsid w:val="00691DD4"/>
    <w:rsid w:val="00693589"/>
    <w:rsid w:val="006A647B"/>
    <w:rsid w:val="006A7F72"/>
    <w:rsid w:val="006C779B"/>
    <w:rsid w:val="006D3771"/>
    <w:rsid w:val="006E749C"/>
    <w:rsid w:val="006F1D6F"/>
    <w:rsid w:val="006F5421"/>
    <w:rsid w:val="006F639D"/>
    <w:rsid w:val="00702148"/>
    <w:rsid w:val="007074EB"/>
    <w:rsid w:val="00713A17"/>
    <w:rsid w:val="00715EFC"/>
    <w:rsid w:val="007172BB"/>
    <w:rsid w:val="00721D22"/>
    <w:rsid w:val="00724E48"/>
    <w:rsid w:val="00730C5B"/>
    <w:rsid w:val="00731BFD"/>
    <w:rsid w:val="007414D4"/>
    <w:rsid w:val="00741E5E"/>
    <w:rsid w:val="00744F0C"/>
    <w:rsid w:val="00746A0F"/>
    <w:rsid w:val="007576F9"/>
    <w:rsid w:val="0076320A"/>
    <w:rsid w:val="00774ABA"/>
    <w:rsid w:val="007806FE"/>
    <w:rsid w:val="00782094"/>
    <w:rsid w:val="007841E6"/>
    <w:rsid w:val="007967CE"/>
    <w:rsid w:val="007B44F8"/>
    <w:rsid w:val="007B5CD9"/>
    <w:rsid w:val="007C2EA0"/>
    <w:rsid w:val="007C5C6F"/>
    <w:rsid w:val="007D05F8"/>
    <w:rsid w:val="007D3B96"/>
    <w:rsid w:val="007D799D"/>
    <w:rsid w:val="007F2211"/>
    <w:rsid w:val="007F327F"/>
    <w:rsid w:val="00803302"/>
    <w:rsid w:val="00805A81"/>
    <w:rsid w:val="00811D03"/>
    <w:rsid w:val="00811E08"/>
    <w:rsid w:val="00817BAC"/>
    <w:rsid w:val="00831D72"/>
    <w:rsid w:val="00845889"/>
    <w:rsid w:val="00846ABA"/>
    <w:rsid w:val="00853516"/>
    <w:rsid w:val="00871EAA"/>
    <w:rsid w:val="00881B60"/>
    <w:rsid w:val="00881E23"/>
    <w:rsid w:val="008940A7"/>
    <w:rsid w:val="008A0928"/>
    <w:rsid w:val="008B71A2"/>
    <w:rsid w:val="008C3F50"/>
    <w:rsid w:val="008C5F3E"/>
    <w:rsid w:val="008C6DE4"/>
    <w:rsid w:val="008D2983"/>
    <w:rsid w:val="008E2C4F"/>
    <w:rsid w:val="008F0FF4"/>
    <w:rsid w:val="008F13A8"/>
    <w:rsid w:val="0090380E"/>
    <w:rsid w:val="00912811"/>
    <w:rsid w:val="00914AE7"/>
    <w:rsid w:val="00916ADE"/>
    <w:rsid w:val="00923320"/>
    <w:rsid w:val="009325ED"/>
    <w:rsid w:val="009358BF"/>
    <w:rsid w:val="009405C3"/>
    <w:rsid w:val="00941CF6"/>
    <w:rsid w:val="00942791"/>
    <w:rsid w:val="00944E0F"/>
    <w:rsid w:val="00951DA1"/>
    <w:rsid w:val="00954D46"/>
    <w:rsid w:val="00961ED0"/>
    <w:rsid w:val="0097173C"/>
    <w:rsid w:val="00976A99"/>
    <w:rsid w:val="0097789E"/>
    <w:rsid w:val="0098589E"/>
    <w:rsid w:val="00992855"/>
    <w:rsid w:val="009B1E82"/>
    <w:rsid w:val="009B4FC9"/>
    <w:rsid w:val="009B6279"/>
    <w:rsid w:val="009C37E0"/>
    <w:rsid w:val="009D0ED8"/>
    <w:rsid w:val="009D1015"/>
    <w:rsid w:val="009D35F1"/>
    <w:rsid w:val="009E2C16"/>
    <w:rsid w:val="009F062F"/>
    <w:rsid w:val="009F2921"/>
    <w:rsid w:val="009F47C3"/>
    <w:rsid w:val="00A04BA8"/>
    <w:rsid w:val="00A123B1"/>
    <w:rsid w:val="00A1695C"/>
    <w:rsid w:val="00A22DCB"/>
    <w:rsid w:val="00A233B2"/>
    <w:rsid w:val="00A27880"/>
    <w:rsid w:val="00A3107F"/>
    <w:rsid w:val="00A323BD"/>
    <w:rsid w:val="00A47ECC"/>
    <w:rsid w:val="00A54D76"/>
    <w:rsid w:val="00A56163"/>
    <w:rsid w:val="00A7241D"/>
    <w:rsid w:val="00A735C0"/>
    <w:rsid w:val="00A743C3"/>
    <w:rsid w:val="00A768F8"/>
    <w:rsid w:val="00A801BD"/>
    <w:rsid w:val="00A85EBC"/>
    <w:rsid w:val="00A906D7"/>
    <w:rsid w:val="00A93931"/>
    <w:rsid w:val="00AA7FEC"/>
    <w:rsid w:val="00AB0FEF"/>
    <w:rsid w:val="00AB1525"/>
    <w:rsid w:val="00AB5D9A"/>
    <w:rsid w:val="00AB7511"/>
    <w:rsid w:val="00AD09D3"/>
    <w:rsid w:val="00AD14F8"/>
    <w:rsid w:val="00AD1F52"/>
    <w:rsid w:val="00AE0F2C"/>
    <w:rsid w:val="00AE74CC"/>
    <w:rsid w:val="00AF4629"/>
    <w:rsid w:val="00AF5564"/>
    <w:rsid w:val="00B2778D"/>
    <w:rsid w:val="00B32190"/>
    <w:rsid w:val="00B34102"/>
    <w:rsid w:val="00B343DD"/>
    <w:rsid w:val="00B40065"/>
    <w:rsid w:val="00B47763"/>
    <w:rsid w:val="00B62395"/>
    <w:rsid w:val="00B71FC3"/>
    <w:rsid w:val="00B75FAA"/>
    <w:rsid w:val="00B8057C"/>
    <w:rsid w:val="00B82043"/>
    <w:rsid w:val="00B83E14"/>
    <w:rsid w:val="00B84A16"/>
    <w:rsid w:val="00B93AB4"/>
    <w:rsid w:val="00B93F3E"/>
    <w:rsid w:val="00BA4151"/>
    <w:rsid w:val="00BB7947"/>
    <w:rsid w:val="00BB7AD9"/>
    <w:rsid w:val="00BC0450"/>
    <w:rsid w:val="00BC1CE4"/>
    <w:rsid w:val="00BC3E7D"/>
    <w:rsid w:val="00BC6076"/>
    <w:rsid w:val="00BE2BA3"/>
    <w:rsid w:val="00BE439A"/>
    <w:rsid w:val="00BF335A"/>
    <w:rsid w:val="00BF4048"/>
    <w:rsid w:val="00BF7DFA"/>
    <w:rsid w:val="00C11470"/>
    <w:rsid w:val="00C135DD"/>
    <w:rsid w:val="00C26E8F"/>
    <w:rsid w:val="00C31293"/>
    <w:rsid w:val="00C34349"/>
    <w:rsid w:val="00C35B0F"/>
    <w:rsid w:val="00C63997"/>
    <w:rsid w:val="00C653BF"/>
    <w:rsid w:val="00C8482B"/>
    <w:rsid w:val="00C96EBB"/>
    <w:rsid w:val="00CA14A8"/>
    <w:rsid w:val="00CB4DAC"/>
    <w:rsid w:val="00CB5245"/>
    <w:rsid w:val="00CC3912"/>
    <w:rsid w:val="00CC735A"/>
    <w:rsid w:val="00CD7AC2"/>
    <w:rsid w:val="00CF4B3C"/>
    <w:rsid w:val="00CF6800"/>
    <w:rsid w:val="00D06937"/>
    <w:rsid w:val="00D11198"/>
    <w:rsid w:val="00D141CA"/>
    <w:rsid w:val="00D4141B"/>
    <w:rsid w:val="00D46ADD"/>
    <w:rsid w:val="00D53885"/>
    <w:rsid w:val="00D53C6D"/>
    <w:rsid w:val="00D5790F"/>
    <w:rsid w:val="00D665A0"/>
    <w:rsid w:val="00D75C8F"/>
    <w:rsid w:val="00D81836"/>
    <w:rsid w:val="00D829F6"/>
    <w:rsid w:val="00D856E2"/>
    <w:rsid w:val="00D9137C"/>
    <w:rsid w:val="00DA3062"/>
    <w:rsid w:val="00DA31CB"/>
    <w:rsid w:val="00DA56AD"/>
    <w:rsid w:val="00DD308D"/>
    <w:rsid w:val="00DD5609"/>
    <w:rsid w:val="00DE1268"/>
    <w:rsid w:val="00DE3CBF"/>
    <w:rsid w:val="00DE3D6F"/>
    <w:rsid w:val="00DE5749"/>
    <w:rsid w:val="00DF27D9"/>
    <w:rsid w:val="00DF30D9"/>
    <w:rsid w:val="00E1097D"/>
    <w:rsid w:val="00E11EF3"/>
    <w:rsid w:val="00E16FAE"/>
    <w:rsid w:val="00E17939"/>
    <w:rsid w:val="00E33D15"/>
    <w:rsid w:val="00E34E0C"/>
    <w:rsid w:val="00E4432D"/>
    <w:rsid w:val="00E543F5"/>
    <w:rsid w:val="00E54973"/>
    <w:rsid w:val="00E57D03"/>
    <w:rsid w:val="00E705E1"/>
    <w:rsid w:val="00E70658"/>
    <w:rsid w:val="00E84F75"/>
    <w:rsid w:val="00E8594A"/>
    <w:rsid w:val="00E86BF7"/>
    <w:rsid w:val="00E93CA5"/>
    <w:rsid w:val="00E97936"/>
    <w:rsid w:val="00EA208D"/>
    <w:rsid w:val="00EA6A5C"/>
    <w:rsid w:val="00EB0937"/>
    <w:rsid w:val="00EC49E0"/>
    <w:rsid w:val="00ED31A2"/>
    <w:rsid w:val="00ED5122"/>
    <w:rsid w:val="00EE293C"/>
    <w:rsid w:val="00EF573D"/>
    <w:rsid w:val="00EF7D6C"/>
    <w:rsid w:val="00F048A8"/>
    <w:rsid w:val="00F10699"/>
    <w:rsid w:val="00F16F2F"/>
    <w:rsid w:val="00F27810"/>
    <w:rsid w:val="00F30C13"/>
    <w:rsid w:val="00F3293C"/>
    <w:rsid w:val="00F34B20"/>
    <w:rsid w:val="00F35773"/>
    <w:rsid w:val="00F407D3"/>
    <w:rsid w:val="00F40E34"/>
    <w:rsid w:val="00F431F6"/>
    <w:rsid w:val="00F44778"/>
    <w:rsid w:val="00F525FF"/>
    <w:rsid w:val="00F62E68"/>
    <w:rsid w:val="00F7128B"/>
    <w:rsid w:val="00F76137"/>
    <w:rsid w:val="00F82374"/>
    <w:rsid w:val="00F97C90"/>
    <w:rsid w:val="00FB6091"/>
    <w:rsid w:val="00FB757C"/>
    <w:rsid w:val="00FB7AEB"/>
    <w:rsid w:val="00FD38AF"/>
    <w:rsid w:val="00FE254C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B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B3B6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3B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B3B6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B3B64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3B3B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B3B64"/>
    <w:rPr>
      <w:rFonts w:ascii="Calibri" w:eastAsia="Calibri" w:hAnsi="Calibri" w:cs="Times New Roman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3B3B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3B64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3B3B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B3B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0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E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E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34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34"/>
    <w:rPr>
      <w:rFonts w:ascii="Tahoma" w:eastAsia="Calibri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ED31A2"/>
  </w:style>
  <w:style w:type="paragraph" w:styleId="Textpoznpodarou">
    <w:name w:val="footnote text"/>
    <w:basedOn w:val="Normln"/>
    <w:link w:val="TextpoznpodarouChar"/>
    <w:uiPriority w:val="99"/>
    <w:unhideWhenUsed/>
    <w:rsid w:val="00604C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4C7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C7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2C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2C1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2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B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B3B6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3B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B3B6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B3B64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3B3B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B3B64"/>
    <w:rPr>
      <w:rFonts w:ascii="Calibri" w:eastAsia="Calibri" w:hAnsi="Calibri" w:cs="Times New Roman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3B3B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3B64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3B3B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B3B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0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E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E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34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34"/>
    <w:rPr>
      <w:rFonts w:ascii="Tahoma" w:eastAsia="Calibri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ED31A2"/>
  </w:style>
  <w:style w:type="paragraph" w:styleId="Textpoznpodarou">
    <w:name w:val="footnote text"/>
    <w:basedOn w:val="Normln"/>
    <w:link w:val="TextpoznpodarouChar"/>
    <w:uiPriority w:val="99"/>
    <w:unhideWhenUsed/>
    <w:rsid w:val="00604C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4C7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C7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2C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2C1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2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664BE-CEA7-4AE3-A0E2-924A1C80D013}"/>
</file>

<file path=customXml/itemProps2.xml><?xml version="1.0" encoding="utf-8"?>
<ds:datastoreItem xmlns:ds="http://schemas.openxmlformats.org/officeDocument/2006/customXml" ds:itemID="{B118E562-29B8-46DA-82F1-368702E25FA1}"/>
</file>

<file path=customXml/itemProps3.xml><?xml version="1.0" encoding="utf-8"?>
<ds:datastoreItem xmlns:ds="http://schemas.openxmlformats.org/officeDocument/2006/customXml" ds:itemID="{F9BA605F-6B16-4582-8288-7FF3002AA80E}"/>
</file>

<file path=customXml/itemProps4.xml><?xml version="1.0" encoding="utf-8"?>
<ds:datastoreItem xmlns:ds="http://schemas.openxmlformats.org/officeDocument/2006/customXml" ds:itemID="{DDBEC336-4F13-4377-83E5-C9AAC3269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3548</Words>
  <Characters>20935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13/10</dc:title>
  <dc:creator>ŠEVČÍK Daniel</dc:creator>
  <cp:lastModifiedBy>POKORNÁ Jana</cp:lastModifiedBy>
  <cp:revision>60</cp:revision>
  <cp:lastPrinted>2013-12-05T14:11:00Z</cp:lastPrinted>
  <dcterms:created xsi:type="dcterms:W3CDTF">2013-12-10T14:34:00Z</dcterms:created>
  <dcterms:modified xsi:type="dcterms:W3CDTF">2014-01-10T09:47:00Z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