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9D" w:rsidRDefault="00A41C38" w:rsidP="00C95F28">
      <w:pPr>
        <w:spacing w:after="0" w:line="240" w:lineRule="auto"/>
        <w:jc w:val="center"/>
      </w:pPr>
      <w:r>
        <w:rPr>
          <w:noProof/>
          <w:lang w:eastAsia="cs-CZ"/>
        </w:rPr>
        <w:drawing>
          <wp:inline distT="0" distB="0" distL="0" distR="0" wp14:anchorId="0C474617" wp14:editId="2558A00C">
            <wp:extent cx="792480" cy="56070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EE3" w:rsidRDefault="00A14EE3" w:rsidP="004467C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14EE3" w:rsidRDefault="00A14EE3" w:rsidP="00C95F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409D" w:rsidRPr="005A6A43" w:rsidRDefault="003D409D" w:rsidP="00C95F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A6A43">
        <w:rPr>
          <w:rFonts w:ascii="Arial" w:hAnsi="Arial" w:cs="Arial"/>
          <w:b/>
          <w:sz w:val="28"/>
          <w:szCs w:val="28"/>
        </w:rPr>
        <w:t>Kontrolní závěr z kontrolní akce</w:t>
      </w:r>
    </w:p>
    <w:p w:rsidR="00A41C38" w:rsidRPr="005A6A43" w:rsidRDefault="00A41C38" w:rsidP="00C95F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409D" w:rsidRPr="005A6A43" w:rsidRDefault="009F6A07" w:rsidP="00C95F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12/29</w:t>
      </w:r>
    </w:p>
    <w:p w:rsidR="00A41C38" w:rsidRPr="005A6A43" w:rsidRDefault="00A41C38" w:rsidP="00C95F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5CB2" w:rsidRDefault="003D409D" w:rsidP="00C95F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A6A43">
        <w:rPr>
          <w:rFonts w:ascii="Arial" w:hAnsi="Arial" w:cs="Arial"/>
          <w:b/>
          <w:sz w:val="28"/>
          <w:szCs w:val="28"/>
        </w:rPr>
        <w:t>P</w:t>
      </w:r>
      <w:r w:rsidR="00F05CB2">
        <w:rPr>
          <w:rFonts w:ascii="Arial" w:hAnsi="Arial" w:cs="Arial"/>
          <w:b/>
          <w:sz w:val="28"/>
          <w:szCs w:val="28"/>
        </w:rPr>
        <w:t xml:space="preserve">eněžní prostředky vynakládané na nákup vybraných </w:t>
      </w:r>
    </w:p>
    <w:p w:rsidR="00F05CB2" w:rsidRDefault="00F05CB2" w:rsidP="00C95F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komodit v resortu Ministerstva vnitra v návaznosti </w:t>
      </w:r>
    </w:p>
    <w:p w:rsidR="003D409D" w:rsidRPr="005A6A43" w:rsidRDefault="00F05CB2" w:rsidP="00C95F2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projekt centrálního nákupu </w:t>
      </w:r>
    </w:p>
    <w:p w:rsidR="003D409D" w:rsidRDefault="003D409D" w:rsidP="00C95F28">
      <w:pPr>
        <w:spacing w:after="0" w:line="240" w:lineRule="auto"/>
        <w:rPr>
          <w:rFonts w:ascii="Arial" w:hAnsi="Arial" w:cs="Arial"/>
        </w:rPr>
      </w:pPr>
    </w:p>
    <w:p w:rsidR="00A14EE3" w:rsidRDefault="00A14EE3" w:rsidP="00C95F28">
      <w:pPr>
        <w:spacing w:after="0" w:line="240" w:lineRule="auto"/>
        <w:rPr>
          <w:rFonts w:ascii="Arial" w:hAnsi="Arial" w:cs="Arial"/>
        </w:rPr>
      </w:pPr>
    </w:p>
    <w:p w:rsidR="00A14EE3" w:rsidRDefault="00A14EE3" w:rsidP="00C95F28">
      <w:pPr>
        <w:spacing w:after="0" w:line="240" w:lineRule="auto"/>
        <w:rPr>
          <w:rFonts w:ascii="Arial" w:hAnsi="Arial" w:cs="Arial"/>
        </w:rPr>
      </w:pPr>
    </w:p>
    <w:p w:rsidR="003D409D" w:rsidRDefault="003D409D" w:rsidP="00C95F28">
      <w:pPr>
        <w:spacing w:after="0" w:line="240" w:lineRule="auto"/>
        <w:jc w:val="both"/>
        <w:rPr>
          <w:rFonts w:ascii="Arial" w:hAnsi="Arial" w:cs="Arial"/>
        </w:rPr>
      </w:pPr>
      <w:r w:rsidRPr="00EE5D14">
        <w:rPr>
          <w:rFonts w:ascii="Arial" w:hAnsi="Arial" w:cs="Arial"/>
        </w:rPr>
        <w:t>Kontrolní akce byla zařazena do plánu kontrolní činnosti Nejvyššího kontrolního úř</w:t>
      </w:r>
      <w:r>
        <w:rPr>
          <w:rFonts w:ascii="Arial" w:hAnsi="Arial" w:cs="Arial"/>
        </w:rPr>
        <w:t>adu (dále jen „NK</w:t>
      </w:r>
      <w:r w:rsidR="009F6A07">
        <w:rPr>
          <w:rFonts w:ascii="Arial" w:hAnsi="Arial" w:cs="Arial"/>
        </w:rPr>
        <w:t>Ú“) na rok 2012 pod číslem 12/29</w:t>
      </w:r>
      <w:r w:rsidRPr="00EE5D14">
        <w:rPr>
          <w:rFonts w:ascii="Arial" w:hAnsi="Arial" w:cs="Arial"/>
        </w:rPr>
        <w:t>. Kontrolní akci řídil</w:t>
      </w:r>
      <w:r>
        <w:rPr>
          <w:rFonts w:ascii="Arial" w:hAnsi="Arial" w:cs="Arial"/>
        </w:rPr>
        <w:t>a</w:t>
      </w:r>
      <w:r w:rsidRPr="00EE5D14">
        <w:rPr>
          <w:rFonts w:ascii="Arial" w:hAnsi="Arial" w:cs="Arial"/>
        </w:rPr>
        <w:t xml:space="preserve"> a kontrolní závěr vypracoval</w:t>
      </w:r>
      <w:r>
        <w:rPr>
          <w:rFonts w:ascii="Arial" w:hAnsi="Arial" w:cs="Arial"/>
        </w:rPr>
        <w:t>a</w:t>
      </w:r>
      <w:r w:rsidRPr="00EE5D14">
        <w:rPr>
          <w:rFonts w:ascii="Arial" w:hAnsi="Arial" w:cs="Arial"/>
        </w:rPr>
        <w:t xml:space="preserve"> člen</w:t>
      </w:r>
      <w:r>
        <w:rPr>
          <w:rFonts w:ascii="Arial" w:hAnsi="Arial" w:cs="Arial"/>
        </w:rPr>
        <w:t xml:space="preserve">ka </w:t>
      </w:r>
      <w:r w:rsidRPr="00EE5D14">
        <w:rPr>
          <w:rFonts w:ascii="Arial" w:hAnsi="Arial" w:cs="Arial"/>
        </w:rPr>
        <w:t xml:space="preserve">NKÚ </w:t>
      </w:r>
      <w:r w:rsidR="009F6A07">
        <w:rPr>
          <w:rFonts w:ascii="Arial" w:hAnsi="Arial" w:cs="Arial"/>
        </w:rPr>
        <w:t>JUDr. Eliška Kadaňová</w:t>
      </w:r>
      <w:r>
        <w:rPr>
          <w:rFonts w:ascii="Arial" w:hAnsi="Arial" w:cs="Arial"/>
        </w:rPr>
        <w:t>.</w:t>
      </w:r>
    </w:p>
    <w:p w:rsidR="00A41C38" w:rsidRPr="00EE5D14" w:rsidRDefault="00A41C38" w:rsidP="00C95F28">
      <w:pPr>
        <w:spacing w:after="0" w:line="240" w:lineRule="auto"/>
        <w:rPr>
          <w:rFonts w:ascii="Arial" w:hAnsi="Arial" w:cs="Arial"/>
        </w:rPr>
      </w:pPr>
    </w:p>
    <w:p w:rsidR="00F05CB2" w:rsidRDefault="003D409D" w:rsidP="00C95F28">
      <w:pPr>
        <w:spacing w:after="0" w:line="240" w:lineRule="auto"/>
        <w:jc w:val="both"/>
        <w:rPr>
          <w:rFonts w:ascii="Arial" w:hAnsi="Arial" w:cs="Arial"/>
        </w:rPr>
      </w:pPr>
      <w:r w:rsidRPr="00055F00">
        <w:rPr>
          <w:rFonts w:ascii="Arial" w:hAnsi="Arial" w:cs="Arial"/>
        </w:rPr>
        <w:t>Cílem kontroly byl</w:t>
      </w:r>
      <w:r w:rsidR="00055F00" w:rsidRPr="00055F00">
        <w:rPr>
          <w:rFonts w:ascii="Arial" w:hAnsi="Arial" w:cs="Arial"/>
        </w:rPr>
        <w:t>o prověřit</w:t>
      </w:r>
      <w:r w:rsidR="00F05CB2">
        <w:rPr>
          <w:rFonts w:ascii="Arial" w:hAnsi="Arial" w:cs="Arial"/>
        </w:rPr>
        <w:t xml:space="preserve"> přínosy projektu centrálního nákupu v resortu Ministerstva vnitra a rozsah jeho využití v kontrolovaném období</w:t>
      </w:r>
      <w:r w:rsidR="00126935">
        <w:rPr>
          <w:rFonts w:ascii="Arial" w:hAnsi="Arial" w:cs="Arial"/>
        </w:rPr>
        <w:t>.</w:t>
      </w:r>
      <w:r w:rsidR="00F05CB2">
        <w:rPr>
          <w:rFonts w:ascii="Arial" w:hAnsi="Arial" w:cs="Arial"/>
        </w:rPr>
        <w:t xml:space="preserve"> </w:t>
      </w:r>
    </w:p>
    <w:p w:rsidR="00126935" w:rsidRDefault="00126935" w:rsidP="00C95F28">
      <w:pPr>
        <w:spacing w:after="0" w:line="240" w:lineRule="auto"/>
        <w:jc w:val="both"/>
        <w:rPr>
          <w:rFonts w:ascii="Arial" w:hAnsi="Arial" w:cs="Arial"/>
        </w:rPr>
      </w:pPr>
    </w:p>
    <w:p w:rsidR="00A41C38" w:rsidRDefault="00126935" w:rsidP="00C95F28">
      <w:pPr>
        <w:spacing w:after="0" w:line="240" w:lineRule="auto"/>
        <w:jc w:val="both"/>
        <w:rPr>
          <w:rFonts w:ascii="Arial" w:hAnsi="Arial" w:cs="Arial"/>
        </w:rPr>
      </w:pPr>
      <w:r w:rsidRPr="00EE5D14">
        <w:rPr>
          <w:rFonts w:ascii="Arial" w:hAnsi="Arial" w:cs="Arial"/>
        </w:rPr>
        <w:t xml:space="preserve">Kontrola byla prováděna od </w:t>
      </w:r>
      <w:r>
        <w:rPr>
          <w:rFonts w:ascii="Arial" w:hAnsi="Arial" w:cs="Arial"/>
        </w:rPr>
        <w:t>listopadu 2012 do června 2013</w:t>
      </w:r>
      <w:r w:rsidRPr="008C353E">
        <w:rPr>
          <w:rFonts w:ascii="Arial" w:hAnsi="Arial" w:cs="Arial"/>
        </w:rPr>
        <w:t>.</w:t>
      </w:r>
      <w:r w:rsidRPr="00EE5D14">
        <w:rPr>
          <w:rFonts w:ascii="Arial" w:hAnsi="Arial" w:cs="Arial"/>
        </w:rPr>
        <w:t xml:space="preserve"> Kontrolov</w:t>
      </w:r>
      <w:r>
        <w:rPr>
          <w:rFonts w:ascii="Arial" w:hAnsi="Arial" w:cs="Arial"/>
        </w:rPr>
        <w:t>áno bylo období let 2008 až 2012</w:t>
      </w:r>
      <w:r w:rsidRPr="00EE5D1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 </w:t>
      </w:r>
      <w:r w:rsidRPr="00EE5D14">
        <w:rPr>
          <w:rFonts w:ascii="Arial" w:hAnsi="Arial" w:cs="Arial"/>
        </w:rPr>
        <w:t>případě věcných souvislostí i období předcházející.</w:t>
      </w:r>
    </w:p>
    <w:p w:rsidR="00126935" w:rsidRPr="00EE5D14" w:rsidRDefault="00126935" w:rsidP="00C95F28">
      <w:pPr>
        <w:spacing w:after="0" w:line="240" w:lineRule="auto"/>
        <w:jc w:val="both"/>
        <w:rPr>
          <w:rFonts w:ascii="Arial" w:hAnsi="Arial" w:cs="Arial"/>
        </w:rPr>
      </w:pPr>
    </w:p>
    <w:p w:rsidR="003D409D" w:rsidRPr="00EE5D14" w:rsidRDefault="003D409D" w:rsidP="00C95F28">
      <w:pPr>
        <w:spacing w:after="0" w:line="240" w:lineRule="auto"/>
        <w:rPr>
          <w:rFonts w:ascii="Arial" w:hAnsi="Arial" w:cs="Arial"/>
        </w:rPr>
      </w:pPr>
      <w:r w:rsidRPr="00EE5D14">
        <w:rPr>
          <w:rFonts w:ascii="Arial" w:hAnsi="Arial" w:cs="Arial"/>
        </w:rPr>
        <w:t>Kontrolované osoby:</w:t>
      </w:r>
    </w:p>
    <w:p w:rsidR="002502D5" w:rsidRDefault="00F05CB2" w:rsidP="00C95F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Ministerstvo vnitra</w:t>
      </w:r>
      <w:r w:rsidR="002502D5">
        <w:rPr>
          <w:rFonts w:ascii="Arial" w:hAnsi="Arial" w:cs="Arial"/>
        </w:rPr>
        <w:t>;</w:t>
      </w:r>
    </w:p>
    <w:p w:rsidR="002502D5" w:rsidRPr="00EE5D14" w:rsidRDefault="00F05CB2" w:rsidP="002502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Zařízení služe</w:t>
      </w:r>
      <w:r w:rsidR="007848FD">
        <w:rPr>
          <w:rFonts w:ascii="Arial" w:hAnsi="Arial" w:cs="Arial"/>
        </w:rPr>
        <w:t>b pro Ministerstvo vnitra</w:t>
      </w:r>
      <w:r w:rsidR="004467CA">
        <w:rPr>
          <w:rFonts w:ascii="Arial" w:hAnsi="Arial" w:cs="Arial"/>
        </w:rPr>
        <w:t>, Praha</w:t>
      </w:r>
      <w:r w:rsidR="00126935">
        <w:rPr>
          <w:rFonts w:ascii="Arial" w:hAnsi="Arial" w:cs="Arial"/>
        </w:rPr>
        <w:t>.</w:t>
      </w:r>
    </w:p>
    <w:p w:rsidR="00A41C38" w:rsidRPr="00EE5D14" w:rsidRDefault="00A41C38" w:rsidP="00C95F28">
      <w:pPr>
        <w:spacing w:after="0" w:line="240" w:lineRule="auto"/>
        <w:jc w:val="both"/>
        <w:rPr>
          <w:rFonts w:ascii="Arial" w:hAnsi="Arial" w:cs="Arial"/>
        </w:rPr>
      </w:pPr>
    </w:p>
    <w:p w:rsidR="00E6100A" w:rsidRDefault="003D409D" w:rsidP="00C95F28">
      <w:pPr>
        <w:spacing w:after="0" w:line="240" w:lineRule="auto"/>
        <w:jc w:val="both"/>
        <w:rPr>
          <w:rFonts w:ascii="Arial" w:hAnsi="Arial" w:cs="Arial"/>
        </w:rPr>
      </w:pPr>
      <w:r w:rsidRPr="00281A5E">
        <w:rPr>
          <w:rFonts w:ascii="Arial" w:hAnsi="Arial" w:cs="Arial"/>
        </w:rPr>
        <w:t xml:space="preserve">Námitky proti kontrolnímu protokolu, které podalo </w:t>
      </w:r>
      <w:r w:rsidR="00B7503C" w:rsidRPr="00281A5E">
        <w:rPr>
          <w:rFonts w:ascii="Arial" w:hAnsi="Arial" w:cs="Arial"/>
        </w:rPr>
        <w:t>M</w:t>
      </w:r>
      <w:r w:rsidR="004B0047" w:rsidRPr="00281A5E">
        <w:rPr>
          <w:rFonts w:ascii="Arial" w:hAnsi="Arial" w:cs="Arial"/>
        </w:rPr>
        <w:t>inisterstvo vnitra</w:t>
      </w:r>
      <w:r w:rsidR="00B7503C" w:rsidRPr="00281A5E">
        <w:rPr>
          <w:rFonts w:ascii="Arial" w:hAnsi="Arial" w:cs="Arial"/>
        </w:rPr>
        <w:t>,</w:t>
      </w:r>
      <w:r w:rsidRPr="00281A5E">
        <w:rPr>
          <w:rFonts w:ascii="Arial" w:hAnsi="Arial" w:cs="Arial"/>
        </w:rPr>
        <w:t xml:space="preserve"> byly vypořádány vedoucí skupin</w:t>
      </w:r>
      <w:r w:rsidR="00B7503C" w:rsidRPr="00281A5E">
        <w:rPr>
          <w:rFonts w:ascii="Arial" w:hAnsi="Arial" w:cs="Arial"/>
        </w:rPr>
        <w:t>y</w:t>
      </w:r>
      <w:r w:rsidRPr="00281A5E">
        <w:rPr>
          <w:rFonts w:ascii="Arial" w:hAnsi="Arial" w:cs="Arial"/>
        </w:rPr>
        <w:t xml:space="preserve"> kontrolujících rozhodnutím o námit</w:t>
      </w:r>
      <w:r w:rsidR="00281A5E" w:rsidRPr="00281A5E">
        <w:rPr>
          <w:rFonts w:ascii="Arial" w:hAnsi="Arial" w:cs="Arial"/>
        </w:rPr>
        <w:t>kách. Odvolání proti rozhodnutí</w:t>
      </w:r>
      <w:r w:rsidRPr="00281A5E">
        <w:rPr>
          <w:rFonts w:ascii="Arial" w:hAnsi="Arial" w:cs="Arial"/>
        </w:rPr>
        <w:t xml:space="preserve"> o</w:t>
      </w:r>
      <w:r w:rsidR="003C1133">
        <w:rPr>
          <w:rFonts w:ascii="Arial" w:hAnsi="Arial" w:cs="Arial"/>
        </w:rPr>
        <w:t> </w:t>
      </w:r>
      <w:r w:rsidRPr="00281A5E">
        <w:rPr>
          <w:rFonts w:ascii="Arial" w:hAnsi="Arial" w:cs="Arial"/>
        </w:rPr>
        <w:t>námitkách byl</w:t>
      </w:r>
      <w:r w:rsidR="00F71D28" w:rsidRPr="00281A5E">
        <w:rPr>
          <w:rFonts w:ascii="Arial" w:hAnsi="Arial" w:cs="Arial"/>
        </w:rPr>
        <w:t>o</w:t>
      </w:r>
      <w:r w:rsidRPr="00281A5E">
        <w:rPr>
          <w:rFonts w:ascii="Arial" w:hAnsi="Arial" w:cs="Arial"/>
        </w:rPr>
        <w:t xml:space="preserve"> vypořádán</w:t>
      </w:r>
      <w:r w:rsidR="00F71D28" w:rsidRPr="00281A5E">
        <w:rPr>
          <w:rFonts w:ascii="Arial" w:hAnsi="Arial" w:cs="Arial"/>
        </w:rPr>
        <w:t>o</w:t>
      </w:r>
      <w:r w:rsidRPr="00281A5E">
        <w:rPr>
          <w:rFonts w:ascii="Arial" w:hAnsi="Arial" w:cs="Arial"/>
        </w:rPr>
        <w:t xml:space="preserve"> </w:t>
      </w:r>
      <w:r w:rsidR="00281A5E" w:rsidRPr="00281A5E">
        <w:rPr>
          <w:rFonts w:ascii="Arial" w:hAnsi="Arial" w:cs="Arial"/>
        </w:rPr>
        <w:t xml:space="preserve">usnesením </w:t>
      </w:r>
      <w:r w:rsidRPr="00281A5E">
        <w:rPr>
          <w:rFonts w:ascii="Arial" w:hAnsi="Arial" w:cs="Arial"/>
        </w:rPr>
        <w:t>Kolegi</w:t>
      </w:r>
      <w:r w:rsidR="00281A5E" w:rsidRPr="00281A5E">
        <w:rPr>
          <w:rFonts w:ascii="Arial" w:hAnsi="Arial" w:cs="Arial"/>
        </w:rPr>
        <w:t>a</w:t>
      </w:r>
      <w:r w:rsidRPr="00281A5E">
        <w:rPr>
          <w:rFonts w:ascii="Arial" w:hAnsi="Arial" w:cs="Arial"/>
        </w:rPr>
        <w:t xml:space="preserve"> NKÚ</w:t>
      </w:r>
      <w:r w:rsidR="009F7542">
        <w:rPr>
          <w:rFonts w:ascii="Arial" w:hAnsi="Arial" w:cs="Arial"/>
        </w:rPr>
        <w:t>.</w:t>
      </w:r>
    </w:p>
    <w:p w:rsidR="009F7542" w:rsidRDefault="009F7542" w:rsidP="00C95F28">
      <w:pPr>
        <w:spacing w:after="0" w:line="240" w:lineRule="auto"/>
        <w:jc w:val="both"/>
        <w:rPr>
          <w:rFonts w:ascii="Arial" w:hAnsi="Arial" w:cs="Arial"/>
        </w:rPr>
      </w:pPr>
    </w:p>
    <w:p w:rsidR="00A14EE3" w:rsidRDefault="00A14EE3" w:rsidP="00C95F28">
      <w:pPr>
        <w:spacing w:after="0" w:line="240" w:lineRule="auto"/>
        <w:jc w:val="both"/>
        <w:rPr>
          <w:rFonts w:ascii="Arial" w:hAnsi="Arial" w:cs="Arial"/>
        </w:rPr>
      </w:pPr>
    </w:p>
    <w:p w:rsidR="003D409D" w:rsidRPr="00BA27BD" w:rsidRDefault="003D409D" w:rsidP="00C95F28">
      <w:pPr>
        <w:spacing w:after="0" w:line="240" w:lineRule="auto"/>
        <w:rPr>
          <w:rFonts w:ascii="Arial" w:hAnsi="Arial" w:cs="Arial"/>
        </w:rPr>
      </w:pPr>
      <w:proofErr w:type="gramStart"/>
      <w:r w:rsidRPr="005A6A43">
        <w:rPr>
          <w:rFonts w:ascii="Arial" w:hAnsi="Arial" w:cs="Arial"/>
          <w:b/>
          <w:i/>
        </w:rPr>
        <w:t xml:space="preserve">K o l e g i u m  </w:t>
      </w:r>
      <w:r w:rsidR="00E57DBA" w:rsidRPr="005A6A43">
        <w:rPr>
          <w:rFonts w:ascii="Arial" w:hAnsi="Arial" w:cs="Arial"/>
          <w:b/>
          <w:i/>
        </w:rPr>
        <w:t xml:space="preserve"> </w:t>
      </w:r>
      <w:r w:rsidRPr="005A6A43">
        <w:rPr>
          <w:rFonts w:ascii="Arial" w:hAnsi="Arial" w:cs="Arial"/>
          <w:b/>
          <w:i/>
        </w:rPr>
        <w:t>N</w:t>
      </w:r>
      <w:r w:rsidR="007E1958" w:rsidRPr="005A6A43">
        <w:rPr>
          <w:rFonts w:ascii="Arial" w:hAnsi="Arial" w:cs="Arial"/>
          <w:b/>
          <w:i/>
        </w:rPr>
        <w:t xml:space="preserve"> </w:t>
      </w:r>
      <w:r w:rsidRPr="005A6A43">
        <w:rPr>
          <w:rFonts w:ascii="Arial" w:hAnsi="Arial" w:cs="Arial"/>
          <w:b/>
          <w:i/>
        </w:rPr>
        <w:t>K</w:t>
      </w:r>
      <w:r w:rsidR="007E1958" w:rsidRPr="005A6A43">
        <w:rPr>
          <w:rFonts w:ascii="Arial" w:hAnsi="Arial" w:cs="Arial"/>
          <w:b/>
          <w:i/>
        </w:rPr>
        <w:t xml:space="preserve"> </w:t>
      </w:r>
      <w:r w:rsidRPr="005A6A43">
        <w:rPr>
          <w:rFonts w:ascii="Arial" w:hAnsi="Arial" w:cs="Arial"/>
          <w:b/>
          <w:i/>
        </w:rPr>
        <w:t>Ú</w:t>
      </w:r>
      <w:r w:rsidR="007E1958">
        <w:rPr>
          <w:rFonts w:ascii="Arial" w:hAnsi="Arial" w:cs="Arial"/>
          <w:b/>
        </w:rPr>
        <w:t xml:space="preserve">  </w:t>
      </w:r>
      <w:r w:rsidRPr="00EE5D14">
        <w:rPr>
          <w:rFonts w:ascii="Arial" w:hAnsi="Arial" w:cs="Arial"/>
        </w:rPr>
        <w:t xml:space="preserve"> na</w:t>
      </w:r>
      <w:proofErr w:type="gramEnd"/>
      <w:r w:rsidRPr="00EE5D14">
        <w:rPr>
          <w:rFonts w:ascii="Arial" w:hAnsi="Arial" w:cs="Arial"/>
        </w:rPr>
        <w:t xml:space="preserve"> svém </w:t>
      </w:r>
      <w:r w:rsidR="00AB7A4C">
        <w:rPr>
          <w:rFonts w:ascii="Arial" w:hAnsi="Arial" w:cs="Arial"/>
        </w:rPr>
        <w:t>XVI.</w:t>
      </w:r>
      <w:r w:rsidR="00F71D28">
        <w:rPr>
          <w:rFonts w:ascii="Arial" w:hAnsi="Arial" w:cs="Arial"/>
        </w:rPr>
        <w:t xml:space="preserve"> </w:t>
      </w:r>
      <w:r w:rsidRPr="00EE5D14">
        <w:rPr>
          <w:rFonts w:ascii="Arial" w:hAnsi="Arial" w:cs="Arial"/>
        </w:rPr>
        <w:t xml:space="preserve">zasedání, konaném dne </w:t>
      </w:r>
      <w:r w:rsidR="005C6415">
        <w:rPr>
          <w:rFonts w:ascii="Arial" w:hAnsi="Arial" w:cs="Arial"/>
        </w:rPr>
        <w:t>30.</w:t>
      </w:r>
      <w:r w:rsidR="00F71D28">
        <w:rPr>
          <w:rFonts w:ascii="Arial" w:hAnsi="Arial" w:cs="Arial"/>
        </w:rPr>
        <w:t xml:space="preserve"> září</w:t>
      </w:r>
      <w:r w:rsidR="00DD45E8">
        <w:rPr>
          <w:rFonts w:ascii="Arial" w:hAnsi="Arial" w:cs="Arial"/>
        </w:rPr>
        <w:t xml:space="preserve"> </w:t>
      </w:r>
      <w:r w:rsidR="00F71D28">
        <w:rPr>
          <w:rFonts w:ascii="Arial" w:hAnsi="Arial" w:cs="Arial"/>
        </w:rPr>
        <w:t>2013</w:t>
      </w:r>
      <w:r w:rsidR="00E6100A">
        <w:rPr>
          <w:rFonts w:ascii="Arial" w:hAnsi="Arial" w:cs="Arial"/>
        </w:rPr>
        <w:t>,</w:t>
      </w:r>
    </w:p>
    <w:p w:rsidR="003D409D" w:rsidRPr="00BA27BD" w:rsidRDefault="003D409D" w:rsidP="00C95F28">
      <w:pPr>
        <w:spacing w:after="0" w:line="240" w:lineRule="auto"/>
        <w:rPr>
          <w:rFonts w:ascii="Arial" w:hAnsi="Arial" w:cs="Arial"/>
        </w:rPr>
      </w:pPr>
      <w:proofErr w:type="gramStart"/>
      <w:r w:rsidRPr="005A6A43">
        <w:rPr>
          <w:rFonts w:ascii="Arial" w:hAnsi="Arial" w:cs="Arial"/>
          <w:b/>
          <w:i/>
        </w:rPr>
        <w:t>s c h v á l i l o</w:t>
      </w:r>
      <w:r w:rsidRPr="00EE5D14">
        <w:rPr>
          <w:rFonts w:ascii="Arial" w:hAnsi="Arial" w:cs="Arial"/>
        </w:rPr>
        <w:t xml:space="preserve">   usnesením č.</w:t>
      </w:r>
      <w:proofErr w:type="gramEnd"/>
      <w:r w:rsidR="00A41C38">
        <w:rPr>
          <w:rFonts w:ascii="Arial" w:hAnsi="Arial" w:cs="Arial"/>
        </w:rPr>
        <w:t xml:space="preserve"> </w:t>
      </w:r>
      <w:r w:rsidR="003A7082">
        <w:rPr>
          <w:rFonts w:ascii="Arial" w:hAnsi="Arial" w:cs="Arial"/>
        </w:rPr>
        <w:t>6</w:t>
      </w:r>
      <w:r w:rsidR="00AB7A4C">
        <w:rPr>
          <w:rFonts w:ascii="Arial" w:hAnsi="Arial" w:cs="Arial"/>
        </w:rPr>
        <w:t>/XVI</w:t>
      </w:r>
      <w:r w:rsidR="00A41C38">
        <w:rPr>
          <w:rFonts w:ascii="Arial" w:hAnsi="Arial" w:cs="Arial"/>
        </w:rPr>
        <w:t>/201</w:t>
      </w:r>
      <w:r w:rsidR="00F71D28">
        <w:rPr>
          <w:rFonts w:ascii="Arial" w:hAnsi="Arial" w:cs="Arial"/>
        </w:rPr>
        <w:t>3</w:t>
      </w:r>
    </w:p>
    <w:p w:rsidR="003D409D" w:rsidRPr="00EE5D14" w:rsidRDefault="003D409D" w:rsidP="00C95F28">
      <w:pPr>
        <w:spacing w:after="0" w:line="240" w:lineRule="auto"/>
        <w:rPr>
          <w:rFonts w:ascii="Arial" w:hAnsi="Arial" w:cs="Arial"/>
        </w:rPr>
      </w:pPr>
      <w:proofErr w:type="gramStart"/>
      <w:r w:rsidRPr="005A6A43">
        <w:rPr>
          <w:rFonts w:ascii="Arial" w:hAnsi="Arial" w:cs="Arial"/>
          <w:b/>
          <w:i/>
        </w:rPr>
        <w:t>k o n t r o l n í   z á v ě r</w:t>
      </w:r>
      <w:r w:rsidRPr="00EE5D14">
        <w:rPr>
          <w:rFonts w:ascii="Arial" w:hAnsi="Arial" w:cs="Arial"/>
        </w:rPr>
        <w:t xml:space="preserve">   v</w:t>
      </w:r>
      <w:r w:rsidR="00E57DBA">
        <w:rPr>
          <w:rFonts w:ascii="Arial" w:hAnsi="Arial" w:cs="Arial"/>
        </w:rPr>
        <w:t xml:space="preserve"> </w:t>
      </w:r>
      <w:r w:rsidRPr="00EE5D14">
        <w:rPr>
          <w:rFonts w:ascii="Arial" w:hAnsi="Arial" w:cs="Arial"/>
        </w:rPr>
        <w:t>tomto</w:t>
      </w:r>
      <w:proofErr w:type="gramEnd"/>
      <w:r w:rsidRPr="00EE5D14">
        <w:rPr>
          <w:rFonts w:ascii="Arial" w:hAnsi="Arial" w:cs="Arial"/>
        </w:rPr>
        <w:t xml:space="preserve"> znění:</w:t>
      </w:r>
    </w:p>
    <w:p w:rsidR="00A41C38" w:rsidRDefault="00A41C38" w:rsidP="00C95F28">
      <w:pPr>
        <w:spacing w:after="0" w:line="240" w:lineRule="auto"/>
        <w:rPr>
          <w:rFonts w:ascii="Arial" w:hAnsi="Arial" w:cs="Arial"/>
        </w:rPr>
      </w:pPr>
    </w:p>
    <w:p w:rsidR="00AB7A4C" w:rsidRPr="0022756A" w:rsidRDefault="00AB7A4C" w:rsidP="00AB7A4C">
      <w:pPr>
        <w:spacing w:after="0" w:line="240" w:lineRule="auto"/>
        <w:rPr>
          <w:rFonts w:ascii="Arial" w:hAnsi="Arial" w:cs="Arial"/>
        </w:rPr>
      </w:pPr>
    </w:p>
    <w:p w:rsidR="003D409D" w:rsidRPr="003C1133" w:rsidRDefault="003C1133" w:rsidP="003C11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3D409D" w:rsidRPr="003C1133">
        <w:rPr>
          <w:rFonts w:ascii="Arial" w:hAnsi="Arial" w:cs="Arial"/>
          <w:b/>
          <w:sz w:val="24"/>
          <w:szCs w:val="24"/>
        </w:rPr>
        <w:t>Úvod</w:t>
      </w:r>
    </w:p>
    <w:p w:rsidR="00281A5E" w:rsidRPr="0022756A" w:rsidRDefault="00281A5E" w:rsidP="003C1133">
      <w:pPr>
        <w:pStyle w:val="Odstavecseseznamem"/>
        <w:spacing w:after="0" w:line="240" w:lineRule="auto"/>
        <w:ind w:left="1080"/>
        <w:jc w:val="center"/>
        <w:rPr>
          <w:rFonts w:ascii="Arial" w:hAnsi="Arial" w:cs="Arial"/>
          <w:b/>
        </w:rPr>
      </w:pPr>
    </w:p>
    <w:p w:rsidR="00AA2F68" w:rsidRDefault="00C325A3" w:rsidP="007F42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Ministerstvo vnitra (dále také „</w:t>
      </w:r>
      <w:r w:rsidR="00AA2F68" w:rsidRPr="00AA2F68">
        <w:rPr>
          <w:rFonts w:ascii="Arial" w:hAnsi="Arial" w:cs="Arial"/>
        </w:rPr>
        <w:t>MV</w:t>
      </w:r>
      <w:r>
        <w:rPr>
          <w:rFonts w:ascii="Arial" w:hAnsi="Arial" w:cs="Arial"/>
        </w:rPr>
        <w:t xml:space="preserve">“) </w:t>
      </w:r>
      <w:r w:rsidR="00AA2F68">
        <w:rPr>
          <w:rFonts w:ascii="Arial" w:hAnsi="Arial" w:cs="Arial"/>
        </w:rPr>
        <w:t xml:space="preserve">je </w:t>
      </w:r>
      <w:r w:rsidR="00DA0948">
        <w:rPr>
          <w:rFonts w:ascii="Arial" w:hAnsi="Arial" w:cs="Arial"/>
        </w:rPr>
        <w:t xml:space="preserve">jedním </w:t>
      </w:r>
      <w:r w:rsidR="00FF54A3">
        <w:rPr>
          <w:rFonts w:ascii="Arial" w:hAnsi="Arial" w:cs="Arial"/>
        </w:rPr>
        <w:t>z </w:t>
      </w:r>
      <w:r w:rsidR="00AA2F68">
        <w:rPr>
          <w:rFonts w:ascii="Arial" w:hAnsi="Arial" w:cs="Arial"/>
        </w:rPr>
        <w:t>ústřední</w:t>
      </w:r>
      <w:r w:rsidR="00DA0948">
        <w:rPr>
          <w:rFonts w:ascii="Arial" w:hAnsi="Arial" w:cs="Arial"/>
        </w:rPr>
        <w:t>ch</w:t>
      </w:r>
      <w:r w:rsidR="00AA2F68">
        <w:rPr>
          <w:rFonts w:ascii="Arial" w:hAnsi="Arial" w:cs="Arial"/>
        </w:rPr>
        <w:t xml:space="preserve"> orgán</w:t>
      </w:r>
      <w:r w:rsidR="00DA0948">
        <w:rPr>
          <w:rFonts w:ascii="Arial" w:hAnsi="Arial" w:cs="Arial"/>
        </w:rPr>
        <w:t>ů</w:t>
      </w:r>
      <w:r w:rsidR="00AA2F68">
        <w:rPr>
          <w:rFonts w:ascii="Arial" w:hAnsi="Arial" w:cs="Arial"/>
        </w:rPr>
        <w:t xml:space="preserve"> státní správy</w:t>
      </w:r>
      <w:r>
        <w:rPr>
          <w:rFonts w:ascii="Arial" w:hAnsi="Arial" w:cs="Arial"/>
        </w:rPr>
        <w:t xml:space="preserve">, </w:t>
      </w:r>
      <w:r w:rsidR="00DA0948">
        <w:rPr>
          <w:rFonts w:ascii="Arial" w:hAnsi="Arial" w:cs="Arial"/>
        </w:rPr>
        <w:t>jejich</w:t>
      </w:r>
      <w:r w:rsidR="005E2169">
        <w:rPr>
          <w:rFonts w:ascii="Arial" w:hAnsi="Arial" w:cs="Arial"/>
        </w:rPr>
        <w:t>ž</w:t>
      </w:r>
      <w:r w:rsidR="00DA0948">
        <w:rPr>
          <w:rFonts w:ascii="Arial" w:hAnsi="Arial" w:cs="Arial"/>
        </w:rPr>
        <w:t xml:space="preserve"> </w:t>
      </w:r>
      <w:r w:rsidR="00FC3AD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ůsobnost </w:t>
      </w:r>
      <w:r w:rsidR="00FC3AD4" w:rsidRPr="002502D5">
        <w:rPr>
          <w:rFonts w:ascii="Arial" w:hAnsi="Arial" w:cs="Arial"/>
        </w:rPr>
        <w:t>stanoví</w:t>
      </w:r>
      <w:r w:rsidR="00AA2F68">
        <w:rPr>
          <w:rFonts w:ascii="Arial" w:hAnsi="Arial" w:cs="Arial"/>
        </w:rPr>
        <w:t xml:space="preserve"> </w:t>
      </w:r>
      <w:r w:rsidR="002502D5">
        <w:rPr>
          <w:rFonts w:ascii="Arial" w:hAnsi="Arial" w:cs="Arial"/>
        </w:rPr>
        <w:t>z</w:t>
      </w:r>
      <w:r>
        <w:rPr>
          <w:rFonts w:ascii="Arial" w:hAnsi="Arial" w:cs="Arial"/>
        </w:rPr>
        <w:t>ákon</w:t>
      </w:r>
      <w:r w:rsidR="00AA2F68">
        <w:rPr>
          <w:rFonts w:ascii="Arial" w:hAnsi="Arial" w:cs="Arial"/>
        </w:rPr>
        <w:t xml:space="preserve"> č. 2/1969 Sb.</w:t>
      </w:r>
      <w:r w:rsidR="00AA2F68">
        <w:rPr>
          <w:rStyle w:val="Znakapoznpodarou"/>
          <w:rFonts w:ascii="Arial" w:hAnsi="Arial" w:cs="Arial"/>
        </w:rPr>
        <w:footnoteReference w:id="1"/>
      </w:r>
      <w:r w:rsidR="00DC55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MV je </w:t>
      </w:r>
      <w:r w:rsidR="00126935">
        <w:rPr>
          <w:rFonts w:ascii="Arial" w:hAnsi="Arial" w:cs="Arial"/>
        </w:rPr>
        <w:t xml:space="preserve">rovněž </w:t>
      </w:r>
      <w:r w:rsidR="00DA0948">
        <w:rPr>
          <w:rFonts w:ascii="Arial" w:hAnsi="Arial" w:cs="Arial"/>
        </w:rPr>
        <w:t>správcem kapitoly státního rozpočtu, organizační složkou státu a</w:t>
      </w:r>
      <w:r w:rsidR="00AA2F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účetní jednotkou</w:t>
      </w:r>
      <w:r w:rsidR="00DA0948">
        <w:rPr>
          <w:rFonts w:ascii="Arial" w:hAnsi="Arial" w:cs="Arial"/>
        </w:rPr>
        <w:t xml:space="preserve">. </w:t>
      </w:r>
    </w:p>
    <w:p w:rsidR="00AA2F68" w:rsidRDefault="00AA2F68" w:rsidP="007F427C">
      <w:pPr>
        <w:spacing w:after="0" w:line="240" w:lineRule="auto"/>
        <w:jc w:val="both"/>
        <w:rPr>
          <w:rFonts w:ascii="Arial" w:hAnsi="Arial" w:cs="Arial"/>
        </w:rPr>
      </w:pPr>
    </w:p>
    <w:p w:rsidR="00AA2F68" w:rsidRDefault="00C325A3" w:rsidP="007F42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Zařízení služeb</w:t>
      </w:r>
      <w:r w:rsidR="00FC3AD4">
        <w:rPr>
          <w:rFonts w:ascii="Arial" w:hAnsi="Arial" w:cs="Arial"/>
        </w:rPr>
        <w:t xml:space="preserve"> pro M</w:t>
      </w:r>
      <w:r>
        <w:rPr>
          <w:rFonts w:ascii="Arial" w:hAnsi="Arial" w:cs="Arial"/>
        </w:rPr>
        <w:t>inisterstv</w:t>
      </w:r>
      <w:r w:rsidR="00FC3AD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vnitra</w:t>
      </w:r>
      <w:r w:rsidR="00FC3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také</w:t>
      </w:r>
      <w:r w:rsidR="00FC3AD4">
        <w:rPr>
          <w:rFonts w:ascii="Arial" w:hAnsi="Arial" w:cs="Arial"/>
        </w:rPr>
        <w:t xml:space="preserve"> „Zařízení služeb“</w:t>
      </w:r>
      <w:r w:rsidR="002502D5">
        <w:rPr>
          <w:rFonts w:ascii="Arial" w:hAnsi="Arial" w:cs="Arial"/>
        </w:rPr>
        <w:t>)</w:t>
      </w:r>
      <w:r w:rsidR="00FC3AD4">
        <w:rPr>
          <w:rFonts w:ascii="Arial" w:hAnsi="Arial" w:cs="Arial"/>
        </w:rPr>
        <w:t xml:space="preserve"> </w:t>
      </w:r>
      <w:r w:rsidR="00AA2F68" w:rsidRPr="00F46432">
        <w:rPr>
          <w:rFonts w:ascii="Arial" w:hAnsi="Arial" w:cs="Arial"/>
        </w:rPr>
        <w:t>zří</w:t>
      </w:r>
      <w:r w:rsidR="00D95FB1">
        <w:rPr>
          <w:rFonts w:ascii="Arial" w:hAnsi="Arial" w:cs="Arial"/>
        </w:rPr>
        <w:t xml:space="preserve">dilo MV </w:t>
      </w:r>
      <w:r w:rsidR="00AA2F68" w:rsidRPr="00F46432">
        <w:rPr>
          <w:rFonts w:ascii="Arial" w:hAnsi="Arial" w:cs="Arial"/>
        </w:rPr>
        <w:t>dnem 1.</w:t>
      </w:r>
      <w:r w:rsidR="003C1133">
        <w:rPr>
          <w:rFonts w:ascii="Arial" w:hAnsi="Arial" w:cs="Arial"/>
        </w:rPr>
        <w:t> </w:t>
      </w:r>
      <w:r w:rsidR="004467CA">
        <w:rPr>
          <w:rFonts w:ascii="Arial" w:hAnsi="Arial" w:cs="Arial"/>
        </w:rPr>
        <w:t>ledna</w:t>
      </w:r>
      <w:r w:rsidR="003C1133">
        <w:rPr>
          <w:rFonts w:ascii="Arial" w:hAnsi="Arial" w:cs="Arial"/>
        </w:rPr>
        <w:t> </w:t>
      </w:r>
      <w:r w:rsidR="00AA2F68" w:rsidRPr="00F46432">
        <w:rPr>
          <w:rFonts w:ascii="Arial" w:hAnsi="Arial" w:cs="Arial"/>
        </w:rPr>
        <w:t>1998</w:t>
      </w:r>
      <w:r w:rsidR="00FC3AD4">
        <w:rPr>
          <w:rFonts w:ascii="Arial" w:hAnsi="Arial" w:cs="Arial"/>
        </w:rPr>
        <w:t xml:space="preserve"> jako</w:t>
      </w:r>
      <w:r w:rsidR="00AA2F68" w:rsidRPr="00F46432">
        <w:rPr>
          <w:rFonts w:ascii="Arial" w:hAnsi="Arial" w:cs="Arial"/>
        </w:rPr>
        <w:t xml:space="preserve"> </w:t>
      </w:r>
      <w:r w:rsidR="00FC3AD4">
        <w:rPr>
          <w:rFonts w:ascii="Arial" w:hAnsi="Arial" w:cs="Arial"/>
        </w:rPr>
        <w:t>státní příspěvkovou organizaci</w:t>
      </w:r>
      <w:r w:rsidR="00FC3AD4" w:rsidRPr="00F46432">
        <w:rPr>
          <w:rFonts w:ascii="Arial" w:hAnsi="Arial" w:cs="Arial"/>
        </w:rPr>
        <w:t xml:space="preserve"> </w:t>
      </w:r>
      <w:r w:rsidR="00AA2F68" w:rsidRPr="00F46432">
        <w:rPr>
          <w:rFonts w:ascii="Arial" w:hAnsi="Arial" w:cs="Arial"/>
        </w:rPr>
        <w:t>pro poskytování a zabezpeč</w:t>
      </w:r>
      <w:r w:rsidR="00126935">
        <w:rPr>
          <w:rFonts w:ascii="Arial" w:hAnsi="Arial" w:cs="Arial"/>
        </w:rPr>
        <w:t>ování</w:t>
      </w:r>
      <w:r w:rsidR="00AA2F68" w:rsidRPr="00F46432">
        <w:rPr>
          <w:rFonts w:ascii="Arial" w:hAnsi="Arial" w:cs="Arial"/>
        </w:rPr>
        <w:t xml:space="preserve"> komplexních služeb</w:t>
      </w:r>
      <w:r w:rsidR="00D95FB1">
        <w:rPr>
          <w:rFonts w:ascii="Arial" w:hAnsi="Arial" w:cs="Arial"/>
        </w:rPr>
        <w:t xml:space="preserve"> </w:t>
      </w:r>
      <w:r w:rsidR="002502D5">
        <w:rPr>
          <w:rFonts w:ascii="Arial" w:hAnsi="Arial" w:cs="Arial"/>
        </w:rPr>
        <w:t>pro MV</w:t>
      </w:r>
      <w:r w:rsidR="00A62E3A">
        <w:rPr>
          <w:rFonts w:ascii="Arial" w:hAnsi="Arial" w:cs="Arial"/>
        </w:rPr>
        <w:t>. Z</w:t>
      </w:r>
      <w:r w:rsidR="00FC3AD4">
        <w:rPr>
          <w:rFonts w:ascii="Arial" w:hAnsi="Arial" w:cs="Arial"/>
        </w:rPr>
        <w:t xml:space="preserve">ařízení služeb je </w:t>
      </w:r>
      <w:r w:rsidR="002502D5">
        <w:rPr>
          <w:rFonts w:ascii="Arial" w:hAnsi="Arial" w:cs="Arial"/>
        </w:rPr>
        <w:t xml:space="preserve">samostatnou účetní jednotkou. </w:t>
      </w:r>
      <w:r w:rsidR="00A14531">
        <w:rPr>
          <w:rFonts w:ascii="Arial" w:hAnsi="Arial" w:cs="Arial"/>
        </w:rPr>
        <w:t xml:space="preserve">Rozsah působnosti je vymezen </w:t>
      </w:r>
      <w:r w:rsidR="00BB6FB0">
        <w:rPr>
          <w:rFonts w:ascii="Arial" w:hAnsi="Arial" w:cs="Arial"/>
        </w:rPr>
        <w:t>z</w:t>
      </w:r>
      <w:r w:rsidR="00AA2F68" w:rsidRPr="00F46432">
        <w:rPr>
          <w:rFonts w:ascii="Arial" w:hAnsi="Arial" w:cs="Arial"/>
        </w:rPr>
        <w:t>řizovací listinou</w:t>
      </w:r>
      <w:r w:rsidR="002502D5">
        <w:rPr>
          <w:rFonts w:ascii="Arial" w:hAnsi="Arial" w:cs="Arial"/>
        </w:rPr>
        <w:t>.</w:t>
      </w:r>
      <w:r w:rsidR="00A62E3A">
        <w:rPr>
          <w:rFonts w:ascii="Arial" w:hAnsi="Arial" w:cs="Arial"/>
        </w:rPr>
        <w:t xml:space="preserve"> </w:t>
      </w:r>
    </w:p>
    <w:p w:rsidR="00126935" w:rsidRDefault="00126935" w:rsidP="007F427C">
      <w:pPr>
        <w:spacing w:after="0" w:line="240" w:lineRule="auto"/>
        <w:jc w:val="both"/>
        <w:rPr>
          <w:rFonts w:ascii="Arial" w:hAnsi="Arial" w:cs="Arial"/>
        </w:rPr>
      </w:pPr>
    </w:p>
    <w:p w:rsidR="00D70FAB" w:rsidRPr="007E6E55" w:rsidRDefault="00D70FAB" w:rsidP="007E6E55">
      <w:pPr>
        <w:spacing w:after="0" w:line="240" w:lineRule="auto"/>
        <w:jc w:val="both"/>
        <w:rPr>
          <w:rFonts w:ascii="Arial" w:hAnsi="Arial" w:cs="Arial"/>
        </w:rPr>
      </w:pPr>
      <w:r w:rsidRPr="00F46432">
        <w:rPr>
          <w:rFonts w:ascii="Arial" w:hAnsi="Arial" w:cs="Arial"/>
        </w:rPr>
        <w:lastRenderedPageBreak/>
        <w:t>Hlavním předmětem činnosti Z</w:t>
      </w:r>
      <w:r w:rsidR="00FC3AD4">
        <w:rPr>
          <w:rFonts w:ascii="Arial" w:hAnsi="Arial" w:cs="Arial"/>
        </w:rPr>
        <w:t xml:space="preserve">ařízení služeb </w:t>
      </w:r>
      <w:r w:rsidRPr="00F46432">
        <w:rPr>
          <w:rFonts w:ascii="Arial" w:hAnsi="Arial" w:cs="Arial"/>
        </w:rPr>
        <w:t>je</w:t>
      </w:r>
      <w:r w:rsidR="008C2269">
        <w:rPr>
          <w:rFonts w:ascii="Arial" w:hAnsi="Arial" w:cs="Arial"/>
        </w:rPr>
        <w:t xml:space="preserve"> mj.</w:t>
      </w:r>
      <w:r w:rsidRPr="00F46432">
        <w:rPr>
          <w:rFonts w:ascii="Arial" w:hAnsi="Arial" w:cs="Arial"/>
        </w:rPr>
        <w:t xml:space="preserve"> </w:t>
      </w:r>
      <w:r w:rsidR="007E6E55" w:rsidRPr="0022756A">
        <w:rPr>
          <w:rFonts w:ascii="Arial" w:hAnsi="Arial" w:cs="Arial"/>
        </w:rPr>
        <w:t>„</w:t>
      </w:r>
      <w:r w:rsidR="007E6E55">
        <w:rPr>
          <w:rFonts w:ascii="Arial" w:hAnsi="Arial" w:cs="Arial"/>
          <w:i/>
        </w:rPr>
        <w:t xml:space="preserve">… </w:t>
      </w:r>
      <w:r w:rsidR="007E6E55" w:rsidRPr="007E6E55">
        <w:rPr>
          <w:rFonts w:ascii="Arial" w:hAnsi="Arial" w:cs="Arial"/>
          <w:i/>
        </w:rPr>
        <w:t xml:space="preserve">poskytování a zabezpečení komplexních služeb Ministerstvu vnitra </w:t>
      </w:r>
      <w:r w:rsidR="007E6E55">
        <w:rPr>
          <w:rFonts w:ascii="Arial" w:hAnsi="Arial" w:cs="Arial"/>
          <w:i/>
        </w:rPr>
        <w:t xml:space="preserve">… </w:t>
      </w:r>
      <w:r w:rsidR="007E6E55" w:rsidRPr="007E6E55">
        <w:rPr>
          <w:rFonts w:ascii="Arial" w:hAnsi="Arial" w:cs="Arial"/>
          <w:i/>
        </w:rPr>
        <w:t xml:space="preserve">a </w:t>
      </w:r>
      <w:r w:rsidR="007E6E55" w:rsidRPr="008C2269">
        <w:rPr>
          <w:rFonts w:ascii="Arial" w:hAnsi="Arial" w:cs="Arial"/>
          <w:i/>
        </w:rPr>
        <w:t>… poskytování a zabezpečení služeb ministerstvem zřízených organizací a Policií ČR, podle charakteru těchto služeb a rozhodnutí ministerstva</w:t>
      </w:r>
      <w:r w:rsidR="007E6E55" w:rsidRPr="0022756A">
        <w:rPr>
          <w:rFonts w:ascii="Arial" w:hAnsi="Arial" w:cs="Arial"/>
        </w:rPr>
        <w:t>.“</w:t>
      </w:r>
      <w:r w:rsidR="00FC3AD4" w:rsidRPr="004E0D30">
        <w:rPr>
          <w:rFonts w:ascii="Arial" w:hAnsi="Arial" w:cs="Arial"/>
        </w:rPr>
        <w:t xml:space="preserve"> </w:t>
      </w:r>
      <w:r w:rsidRPr="00F46432">
        <w:rPr>
          <w:rFonts w:ascii="Arial" w:hAnsi="Arial" w:cs="Arial"/>
        </w:rPr>
        <w:t xml:space="preserve"> </w:t>
      </w:r>
    </w:p>
    <w:p w:rsidR="00D95FB1" w:rsidRPr="007E6E55" w:rsidRDefault="00D95FB1" w:rsidP="007E6E55">
      <w:pPr>
        <w:spacing w:after="0" w:line="240" w:lineRule="auto"/>
        <w:jc w:val="both"/>
        <w:rPr>
          <w:rFonts w:ascii="Arial" w:hAnsi="Arial" w:cs="Arial"/>
        </w:rPr>
      </w:pPr>
    </w:p>
    <w:p w:rsidR="00A62E3A" w:rsidRDefault="00FF54A3" w:rsidP="007E6E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551931" w:rsidRPr="00664E50">
        <w:rPr>
          <w:rFonts w:ascii="Arial" w:hAnsi="Arial" w:cs="Arial"/>
        </w:rPr>
        <w:t>červenci</w:t>
      </w:r>
      <w:r w:rsidR="00C23787">
        <w:rPr>
          <w:rFonts w:ascii="Arial" w:hAnsi="Arial" w:cs="Arial"/>
        </w:rPr>
        <w:t xml:space="preserve"> </w:t>
      </w:r>
      <w:r w:rsidR="00551931" w:rsidRPr="00664E50">
        <w:rPr>
          <w:rFonts w:ascii="Arial" w:hAnsi="Arial" w:cs="Arial"/>
        </w:rPr>
        <w:t xml:space="preserve">roku 2008 rozhodlo MV o zpracování </w:t>
      </w:r>
      <w:r w:rsidR="00551931">
        <w:rPr>
          <w:rFonts w:ascii="Arial" w:hAnsi="Arial" w:cs="Arial"/>
        </w:rPr>
        <w:t xml:space="preserve">pilotního </w:t>
      </w:r>
      <w:r w:rsidR="00551931" w:rsidRPr="00664E50">
        <w:rPr>
          <w:rFonts w:ascii="Arial" w:hAnsi="Arial" w:cs="Arial"/>
        </w:rPr>
        <w:t xml:space="preserve">projektu </w:t>
      </w:r>
      <w:r w:rsidR="00551931" w:rsidRPr="00F91D0C">
        <w:rPr>
          <w:rFonts w:ascii="Arial" w:hAnsi="Arial" w:cs="Arial"/>
          <w:i/>
        </w:rPr>
        <w:t xml:space="preserve">Podpora implementace systému centrálního nákupu </w:t>
      </w:r>
      <w:proofErr w:type="spellStart"/>
      <w:r w:rsidR="00551931" w:rsidRPr="00F91D0C">
        <w:rPr>
          <w:rFonts w:ascii="Arial" w:hAnsi="Arial" w:cs="Arial"/>
          <w:i/>
        </w:rPr>
        <w:t>MVČR</w:t>
      </w:r>
      <w:proofErr w:type="spellEnd"/>
      <w:r w:rsidR="00551931" w:rsidRPr="00664E50">
        <w:rPr>
          <w:rFonts w:ascii="Arial" w:hAnsi="Arial" w:cs="Arial"/>
        </w:rPr>
        <w:t>.</w:t>
      </w:r>
    </w:p>
    <w:p w:rsidR="005E2169" w:rsidRDefault="005E2169" w:rsidP="007E6E55">
      <w:pPr>
        <w:spacing w:after="0" w:line="240" w:lineRule="auto"/>
        <w:jc w:val="both"/>
        <w:rPr>
          <w:rFonts w:ascii="Arial" w:hAnsi="Arial" w:cs="Arial"/>
        </w:rPr>
      </w:pPr>
    </w:p>
    <w:p w:rsidR="005E2169" w:rsidRDefault="005E2169" w:rsidP="005E2169">
      <w:pPr>
        <w:spacing w:after="0" w:line="240" w:lineRule="auto"/>
        <w:jc w:val="both"/>
        <w:rPr>
          <w:rFonts w:ascii="Arial" w:hAnsi="Arial" w:cs="Arial"/>
        </w:rPr>
      </w:pPr>
      <w:r w:rsidRPr="008C2269">
        <w:rPr>
          <w:rFonts w:ascii="Arial" w:hAnsi="Arial" w:cs="Arial"/>
        </w:rPr>
        <w:t>Nákup pomocí</w:t>
      </w:r>
      <w:r>
        <w:rPr>
          <w:rFonts w:ascii="Arial" w:hAnsi="Arial" w:cs="Arial"/>
        </w:rPr>
        <w:t xml:space="preserve"> </w:t>
      </w:r>
      <w:r w:rsidR="008C2269">
        <w:rPr>
          <w:rFonts w:ascii="Arial" w:hAnsi="Arial" w:cs="Arial"/>
        </w:rPr>
        <w:t>c</w:t>
      </w:r>
      <w:r>
        <w:rPr>
          <w:rFonts w:ascii="Arial" w:hAnsi="Arial" w:cs="Arial"/>
        </w:rPr>
        <w:t>entr</w:t>
      </w:r>
      <w:r w:rsidR="009F7542">
        <w:rPr>
          <w:rFonts w:ascii="Arial" w:hAnsi="Arial" w:cs="Arial"/>
        </w:rPr>
        <w:t>alizovaného</w:t>
      </w:r>
      <w:r>
        <w:rPr>
          <w:rFonts w:ascii="Arial" w:hAnsi="Arial" w:cs="Arial"/>
        </w:rPr>
        <w:t xml:space="preserve"> zadávání</w:t>
      </w:r>
      <w:r w:rsidRPr="00E549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upravuje zákon č. 137/2006 Sb.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a </w:t>
      </w:r>
      <w:r w:rsidRPr="00E549EF">
        <w:rPr>
          <w:rFonts w:ascii="Arial" w:hAnsi="Arial" w:cs="Arial"/>
        </w:rPr>
        <w:t>spočív</w:t>
      </w:r>
      <w:r>
        <w:rPr>
          <w:rFonts w:ascii="Arial" w:hAnsi="Arial" w:cs="Arial"/>
        </w:rPr>
        <w:t>á</w:t>
      </w:r>
      <w:r w:rsidRPr="00E549EF">
        <w:rPr>
          <w:rFonts w:ascii="Arial" w:hAnsi="Arial" w:cs="Arial"/>
        </w:rPr>
        <w:t xml:space="preserve"> </w:t>
      </w:r>
      <w:r w:rsidR="00FF54A3">
        <w:rPr>
          <w:rFonts w:ascii="Arial" w:hAnsi="Arial" w:cs="Arial"/>
        </w:rPr>
        <w:t>v </w:t>
      </w:r>
      <w:r w:rsidRPr="00E549EF">
        <w:rPr>
          <w:rFonts w:ascii="Arial" w:hAnsi="Arial" w:cs="Arial"/>
        </w:rPr>
        <w:t>tom, že</w:t>
      </w:r>
      <w:r>
        <w:rPr>
          <w:rFonts w:ascii="Arial" w:hAnsi="Arial" w:cs="Arial"/>
        </w:rPr>
        <w:t xml:space="preserve"> centrální zadavatel </w:t>
      </w:r>
      <w:r w:rsidRPr="00E549EF">
        <w:rPr>
          <w:rFonts w:ascii="Arial" w:hAnsi="Arial" w:cs="Arial"/>
        </w:rPr>
        <w:t>pro jiného</w:t>
      </w:r>
      <w:r>
        <w:rPr>
          <w:rFonts w:ascii="Arial" w:hAnsi="Arial" w:cs="Arial"/>
        </w:rPr>
        <w:t xml:space="preserve"> </w:t>
      </w:r>
      <w:r w:rsidRPr="00E549EF">
        <w:rPr>
          <w:rFonts w:ascii="Arial" w:hAnsi="Arial" w:cs="Arial"/>
        </w:rPr>
        <w:t xml:space="preserve">zadavatele pořizuje dodávky či služby, </w:t>
      </w:r>
      <w:r>
        <w:rPr>
          <w:rFonts w:ascii="Arial" w:hAnsi="Arial" w:cs="Arial"/>
        </w:rPr>
        <w:t xml:space="preserve">které následně </w:t>
      </w:r>
      <w:r w:rsidRPr="00E549EF">
        <w:rPr>
          <w:rFonts w:ascii="Arial" w:hAnsi="Arial" w:cs="Arial"/>
        </w:rPr>
        <w:t>prodává jiným zadavatelům za cenu nikoliv vyšší, než za kterou byly dodávky či služby pořízeny, nebo</w:t>
      </w:r>
      <w:r>
        <w:rPr>
          <w:rFonts w:ascii="Arial" w:hAnsi="Arial" w:cs="Arial"/>
        </w:rPr>
        <w:t xml:space="preserve"> </w:t>
      </w:r>
      <w:r w:rsidRPr="00E549EF">
        <w:rPr>
          <w:rFonts w:ascii="Arial" w:hAnsi="Arial" w:cs="Arial"/>
        </w:rPr>
        <w:t>provádí zadávací řízení a</w:t>
      </w:r>
      <w:r>
        <w:rPr>
          <w:rFonts w:ascii="Arial" w:hAnsi="Arial" w:cs="Arial"/>
        </w:rPr>
        <w:t> </w:t>
      </w:r>
      <w:r w:rsidRPr="00E549EF">
        <w:rPr>
          <w:rFonts w:ascii="Arial" w:hAnsi="Arial" w:cs="Arial"/>
        </w:rPr>
        <w:t>zadává veřejn</w:t>
      </w:r>
      <w:r w:rsidR="00126935">
        <w:rPr>
          <w:rFonts w:ascii="Arial" w:hAnsi="Arial" w:cs="Arial"/>
        </w:rPr>
        <w:t>é</w:t>
      </w:r>
      <w:r w:rsidRPr="00E549EF">
        <w:rPr>
          <w:rFonts w:ascii="Arial" w:hAnsi="Arial" w:cs="Arial"/>
        </w:rPr>
        <w:t xml:space="preserve"> zakázk</w:t>
      </w:r>
      <w:r w:rsidR="00126935">
        <w:rPr>
          <w:rFonts w:ascii="Arial" w:hAnsi="Arial" w:cs="Arial"/>
        </w:rPr>
        <w:t>y</w:t>
      </w:r>
      <w:r w:rsidRPr="00E549EF">
        <w:rPr>
          <w:rFonts w:ascii="Arial" w:hAnsi="Arial" w:cs="Arial"/>
        </w:rPr>
        <w:t xml:space="preserve"> na dodávky, služby či stavební práce na účet jiných zadavatelů.</w:t>
      </w:r>
    </w:p>
    <w:p w:rsidR="005E2169" w:rsidRPr="00E549EF" w:rsidRDefault="005E2169" w:rsidP="005E2169">
      <w:pPr>
        <w:spacing w:after="0" w:line="240" w:lineRule="auto"/>
        <w:jc w:val="both"/>
        <w:rPr>
          <w:rFonts w:ascii="Arial" w:hAnsi="Arial" w:cs="Arial"/>
        </w:rPr>
      </w:pPr>
    </w:p>
    <w:p w:rsidR="00FD62F9" w:rsidRPr="007E6E55" w:rsidRDefault="00FD62F9" w:rsidP="007E6E55">
      <w:pPr>
        <w:pStyle w:val="ARNORMAL"/>
        <w:jc w:val="both"/>
        <w:rPr>
          <w:rFonts w:cs="Arial"/>
        </w:rPr>
      </w:pPr>
      <w:r w:rsidRPr="007E6E55">
        <w:rPr>
          <w:rFonts w:cs="Arial"/>
          <w:szCs w:val="22"/>
        </w:rPr>
        <w:t xml:space="preserve">V roce 2011 bylo usnesením vlády </w:t>
      </w:r>
      <w:r w:rsidR="001B37CB">
        <w:rPr>
          <w:rFonts w:cs="Arial"/>
          <w:szCs w:val="22"/>
        </w:rPr>
        <w:t>ze dne 20. července 2011</w:t>
      </w:r>
      <w:r w:rsidR="001B37CB" w:rsidRPr="007E6E55">
        <w:rPr>
          <w:rFonts w:cs="Arial"/>
          <w:szCs w:val="22"/>
        </w:rPr>
        <w:t xml:space="preserve"> </w:t>
      </w:r>
      <w:r w:rsidRPr="007E6E55">
        <w:rPr>
          <w:rFonts w:cs="Arial"/>
          <w:szCs w:val="22"/>
        </w:rPr>
        <w:t>č. 563</w:t>
      </w:r>
      <w:r w:rsidR="00641F18">
        <w:rPr>
          <w:rStyle w:val="Znakapoznpodarou"/>
          <w:rFonts w:cs="Arial"/>
          <w:szCs w:val="22"/>
        </w:rPr>
        <w:footnoteReference w:id="3"/>
      </w:r>
      <w:r w:rsidR="00641F18">
        <w:rPr>
          <w:rFonts w:cs="Arial"/>
          <w:szCs w:val="22"/>
        </w:rPr>
        <w:t xml:space="preserve"> </w:t>
      </w:r>
      <w:r w:rsidRPr="007E6E55">
        <w:rPr>
          <w:rFonts w:cs="Arial"/>
          <w:szCs w:val="22"/>
        </w:rPr>
        <w:t>uložen</w:t>
      </w:r>
      <w:r w:rsidR="000610D0">
        <w:rPr>
          <w:rFonts w:cs="Arial"/>
          <w:szCs w:val="22"/>
        </w:rPr>
        <w:t>o</w:t>
      </w:r>
      <w:r w:rsidRPr="007E6E55">
        <w:rPr>
          <w:rFonts w:cs="Arial"/>
          <w:szCs w:val="22"/>
        </w:rPr>
        <w:t xml:space="preserve"> všem resortům </w:t>
      </w:r>
      <w:r w:rsidR="003162E5">
        <w:rPr>
          <w:rFonts w:cs="Arial"/>
          <w:szCs w:val="22"/>
        </w:rPr>
        <w:t>zavést</w:t>
      </w:r>
      <w:r w:rsidRPr="007E6E55">
        <w:rPr>
          <w:rFonts w:cs="Arial"/>
          <w:szCs w:val="22"/>
        </w:rPr>
        <w:t xml:space="preserve"> systém centralizovaného zadávání. </w:t>
      </w:r>
      <w:r w:rsidRPr="007E6E55">
        <w:rPr>
          <w:rFonts w:cs="Arial"/>
        </w:rPr>
        <w:t xml:space="preserve">Rozsah komodit zařazených do resortního systému centralizovaného zadávání byl určen usnesením vlády </w:t>
      </w:r>
      <w:r w:rsidR="001B37CB" w:rsidRPr="007E6E55">
        <w:rPr>
          <w:rFonts w:cs="Arial"/>
        </w:rPr>
        <w:t>ze dne 14. </w:t>
      </w:r>
      <w:r w:rsidR="001B37CB">
        <w:rPr>
          <w:rFonts w:cs="Arial"/>
        </w:rPr>
        <w:t>prosince</w:t>
      </w:r>
      <w:r w:rsidR="001B37CB" w:rsidRPr="007E6E55">
        <w:rPr>
          <w:rFonts w:cs="Arial"/>
        </w:rPr>
        <w:t> 2011</w:t>
      </w:r>
      <w:r w:rsidR="001B37CB">
        <w:rPr>
          <w:rFonts w:cs="Arial"/>
        </w:rPr>
        <w:t xml:space="preserve"> </w:t>
      </w:r>
      <w:r w:rsidRPr="007E6E55">
        <w:rPr>
          <w:rFonts w:cs="Arial"/>
        </w:rPr>
        <w:t>č.</w:t>
      </w:r>
      <w:r w:rsidR="001F0E0B">
        <w:rPr>
          <w:rFonts w:cs="Arial"/>
        </w:rPr>
        <w:t> </w:t>
      </w:r>
      <w:r w:rsidRPr="007E6E55">
        <w:rPr>
          <w:rFonts w:cs="Arial"/>
        </w:rPr>
        <w:t>930</w:t>
      </w:r>
      <w:r w:rsidR="00641F18">
        <w:rPr>
          <w:rStyle w:val="Znakapoznpodarou"/>
          <w:rFonts w:cs="Arial"/>
        </w:rPr>
        <w:footnoteReference w:id="4"/>
      </w:r>
      <w:r w:rsidR="00B65213" w:rsidRPr="007E6E55">
        <w:rPr>
          <w:rFonts w:cs="Arial"/>
        </w:rPr>
        <w:t>.</w:t>
      </w:r>
    </w:p>
    <w:p w:rsidR="004F638E" w:rsidRDefault="004F638E" w:rsidP="007F427C">
      <w:pPr>
        <w:pStyle w:val="ARNORMAL"/>
        <w:jc w:val="both"/>
        <w:rPr>
          <w:rFonts w:cs="Arial"/>
          <w:szCs w:val="22"/>
        </w:rPr>
      </w:pPr>
    </w:p>
    <w:p w:rsidR="00540BD6" w:rsidRDefault="00997BCE" w:rsidP="00FD62F9">
      <w:pPr>
        <w:spacing w:after="0" w:line="240" w:lineRule="auto"/>
        <w:jc w:val="both"/>
        <w:rPr>
          <w:rFonts w:ascii="Arial" w:hAnsi="Arial" w:cs="Arial"/>
        </w:rPr>
      </w:pPr>
      <w:r w:rsidRPr="00D87419">
        <w:rPr>
          <w:rFonts w:ascii="Arial" w:hAnsi="Arial" w:cs="Arial"/>
        </w:rPr>
        <w:t xml:space="preserve">Kontrole byl podroben </w:t>
      </w:r>
      <w:r w:rsidR="00B43E93">
        <w:rPr>
          <w:rFonts w:ascii="Arial" w:hAnsi="Arial" w:cs="Arial"/>
        </w:rPr>
        <w:t>projekt</w:t>
      </w:r>
      <w:r w:rsidRPr="00D87419">
        <w:rPr>
          <w:rFonts w:ascii="Arial" w:hAnsi="Arial" w:cs="Arial"/>
        </w:rPr>
        <w:t xml:space="preserve"> centrálního nákupu</w:t>
      </w:r>
      <w:r w:rsidR="00B43E93">
        <w:rPr>
          <w:rFonts w:ascii="Arial" w:hAnsi="Arial" w:cs="Arial"/>
        </w:rPr>
        <w:t xml:space="preserve"> v resortu</w:t>
      </w:r>
      <w:r w:rsidR="00B43E93" w:rsidRPr="00B43E93">
        <w:rPr>
          <w:rFonts w:ascii="Arial" w:hAnsi="Arial" w:cs="Arial"/>
        </w:rPr>
        <w:t xml:space="preserve"> </w:t>
      </w:r>
      <w:r w:rsidR="00B43E93">
        <w:rPr>
          <w:rFonts w:ascii="Arial" w:hAnsi="Arial" w:cs="Arial"/>
        </w:rPr>
        <w:t>MV</w:t>
      </w:r>
      <w:r w:rsidR="008C2269">
        <w:rPr>
          <w:rFonts w:ascii="Arial" w:hAnsi="Arial" w:cs="Arial"/>
        </w:rPr>
        <w:t xml:space="preserve"> </w:t>
      </w:r>
      <w:r w:rsidR="005E2169" w:rsidRPr="008C2269">
        <w:rPr>
          <w:rFonts w:ascii="Arial" w:hAnsi="Arial" w:cs="Arial"/>
        </w:rPr>
        <w:t>zahájený</w:t>
      </w:r>
      <w:r w:rsidR="005E2169">
        <w:rPr>
          <w:rFonts w:ascii="Arial" w:hAnsi="Arial" w:cs="Arial"/>
        </w:rPr>
        <w:t xml:space="preserve"> </w:t>
      </w:r>
      <w:r w:rsidR="00FF54A3">
        <w:rPr>
          <w:rFonts w:ascii="Arial" w:hAnsi="Arial" w:cs="Arial"/>
        </w:rPr>
        <w:t>v </w:t>
      </w:r>
      <w:r w:rsidR="005E2169">
        <w:rPr>
          <w:rFonts w:ascii="Arial" w:hAnsi="Arial" w:cs="Arial"/>
        </w:rPr>
        <w:t>roce 2008</w:t>
      </w:r>
      <w:r w:rsidR="003162E5">
        <w:rPr>
          <w:rFonts w:ascii="Arial" w:hAnsi="Arial" w:cs="Arial"/>
        </w:rPr>
        <w:t xml:space="preserve"> (dále</w:t>
      </w:r>
      <w:r w:rsidR="001F0E0B">
        <w:rPr>
          <w:rFonts w:ascii="Arial" w:hAnsi="Arial" w:cs="Arial"/>
        </w:rPr>
        <w:t> </w:t>
      </w:r>
      <w:r w:rsidR="003162E5">
        <w:rPr>
          <w:rFonts w:ascii="Arial" w:hAnsi="Arial" w:cs="Arial"/>
        </w:rPr>
        <w:t>také „</w:t>
      </w:r>
      <w:proofErr w:type="spellStart"/>
      <w:r w:rsidR="003162E5">
        <w:rPr>
          <w:rFonts w:ascii="Arial" w:hAnsi="Arial" w:cs="Arial"/>
        </w:rPr>
        <w:t>CN</w:t>
      </w:r>
      <w:proofErr w:type="spellEnd"/>
      <w:r w:rsidR="003162E5">
        <w:rPr>
          <w:rFonts w:ascii="Arial" w:hAnsi="Arial" w:cs="Arial"/>
        </w:rPr>
        <w:t>“)</w:t>
      </w:r>
      <w:r w:rsidR="007C13E4">
        <w:rPr>
          <w:rFonts w:ascii="Arial" w:hAnsi="Arial" w:cs="Arial"/>
        </w:rPr>
        <w:t xml:space="preserve"> a </w:t>
      </w:r>
      <w:r w:rsidRPr="00D87419">
        <w:rPr>
          <w:rFonts w:ascii="Arial" w:hAnsi="Arial" w:cs="Arial"/>
        </w:rPr>
        <w:t>centralizované zadávání</w:t>
      </w:r>
      <w:r w:rsidR="00FD62F9">
        <w:rPr>
          <w:rFonts w:ascii="Arial" w:hAnsi="Arial" w:cs="Arial"/>
        </w:rPr>
        <w:t xml:space="preserve"> </w:t>
      </w:r>
      <w:r w:rsidR="003162E5">
        <w:rPr>
          <w:rFonts w:ascii="Arial" w:hAnsi="Arial" w:cs="Arial"/>
        </w:rPr>
        <w:t xml:space="preserve">uložené </w:t>
      </w:r>
      <w:r w:rsidR="00B43E93">
        <w:rPr>
          <w:rFonts w:ascii="Arial" w:hAnsi="Arial" w:cs="Arial"/>
        </w:rPr>
        <w:t>usnesení</w:t>
      </w:r>
      <w:r w:rsidR="003162E5">
        <w:rPr>
          <w:rFonts w:ascii="Arial" w:hAnsi="Arial" w:cs="Arial"/>
        </w:rPr>
        <w:t>mi</w:t>
      </w:r>
      <w:r w:rsidR="00B43E93">
        <w:rPr>
          <w:rFonts w:ascii="Arial" w:hAnsi="Arial" w:cs="Arial"/>
        </w:rPr>
        <w:t xml:space="preserve"> vlády přijatý</w:t>
      </w:r>
      <w:r w:rsidR="003162E5">
        <w:rPr>
          <w:rFonts w:ascii="Arial" w:hAnsi="Arial" w:cs="Arial"/>
        </w:rPr>
        <w:t>mi</w:t>
      </w:r>
      <w:r w:rsidR="00B43E93">
        <w:rPr>
          <w:rFonts w:ascii="Arial" w:hAnsi="Arial" w:cs="Arial"/>
        </w:rPr>
        <w:t xml:space="preserve"> v roce 2011 (dále </w:t>
      </w:r>
      <w:r w:rsidR="003162E5">
        <w:rPr>
          <w:rFonts w:ascii="Arial" w:hAnsi="Arial" w:cs="Arial"/>
        </w:rPr>
        <w:t>také</w:t>
      </w:r>
      <w:r w:rsidR="00B43E93">
        <w:rPr>
          <w:rFonts w:ascii="Arial" w:hAnsi="Arial" w:cs="Arial"/>
        </w:rPr>
        <w:t xml:space="preserve"> „CZ“).</w:t>
      </w:r>
    </w:p>
    <w:p w:rsidR="00540BD6" w:rsidRDefault="00540BD6" w:rsidP="00540BD6">
      <w:pPr>
        <w:spacing w:after="0" w:line="240" w:lineRule="auto"/>
        <w:jc w:val="both"/>
        <w:rPr>
          <w:rFonts w:ascii="Arial" w:hAnsi="Arial" w:cs="Arial"/>
          <w:bCs/>
        </w:rPr>
      </w:pPr>
    </w:p>
    <w:p w:rsidR="00540BD6" w:rsidRPr="00606341" w:rsidRDefault="00540BD6" w:rsidP="00540BD6">
      <w:pPr>
        <w:spacing w:after="0" w:line="240" w:lineRule="auto"/>
        <w:jc w:val="both"/>
        <w:rPr>
          <w:rFonts w:ascii="Arial" w:hAnsi="Arial" w:cs="Arial"/>
          <w:bCs/>
        </w:rPr>
      </w:pPr>
      <w:r w:rsidRPr="004E1EBC">
        <w:rPr>
          <w:rFonts w:ascii="Arial" w:hAnsi="Arial" w:cs="Arial"/>
          <w:bCs/>
        </w:rPr>
        <w:t>Částka podrobená systémové kontrole</w:t>
      </w:r>
      <w:r w:rsidR="00E2327B">
        <w:rPr>
          <w:rFonts w:ascii="Arial" w:hAnsi="Arial" w:cs="Arial"/>
          <w:bCs/>
        </w:rPr>
        <w:t xml:space="preserve"> u MV činila 1 525 657</w:t>
      </w:r>
      <w:r w:rsidR="001B37CB">
        <w:rPr>
          <w:rFonts w:ascii="Arial" w:hAnsi="Arial" w:cs="Arial"/>
          <w:bCs/>
        </w:rPr>
        <w:t> </w:t>
      </w:r>
      <w:r w:rsidR="00E2327B">
        <w:rPr>
          <w:rFonts w:ascii="Arial" w:hAnsi="Arial" w:cs="Arial"/>
          <w:bCs/>
        </w:rPr>
        <w:t>144 Kč. Dále byly k</w:t>
      </w:r>
      <w:r w:rsidRPr="004E1EBC">
        <w:rPr>
          <w:rFonts w:ascii="Arial" w:hAnsi="Arial" w:cs="Arial"/>
          <w:bCs/>
        </w:rPr>
        <w:t xml:space="preserve">ontrole NKÚ podrobeny nákupy vybraných komodit, </w:t>
      </w:r>
      <w:r w:rsidR="003162E5">
        <w:rPr>
          <w:rFonts w:ascii="Arial" w:hAnsi="Arial" w:cs="Arial"/>
          <w:bCs/>
        </w:rPr>
        <w:t>a to pohonné hmoty</w:t>
      </w:r>
      <w:r w:rsidR="003C1133">
        <w:rPr>
          <w:rFonts w:ascii="Arial" w:hAnsi="Arial" w:cs="Arial"/>
          <w:bCs/>
        </w:rPr>
        <w:t xml:space="preserve"> </w:t>
      </w:r>
      <w:r w:rsidR="003162E5">
        <w:rPr>
          <w:rFonts w:ascii="Arial" w:hAnsi="Arial" w:cs="Arial"/>
          <w:bCs/>
        </w:rPr>
        <w:t>(dále také „PHM“</w:t>
      </w:r>
      <w:r w:rsidR="003C1133">
        <w:rPr>
          <w:rFonts w:ascii="Arial" w:hAnsi="Arial" w:cs="Arial"/>
          <w:bCs/>
        </w:rPr>
        <w:t>)</w:t>
      </w:r>
      <w:r w:rsidRPr="004E1EBC">
        <w:rPr>
          <w:rFonts w:ascii="Arial" w:hAnsi="Arial" w:cs="Arial"/>
          <w:bCs/>
        </w:rPr>
        <w:t xml:space="preserve">, xerografický papír a elektrická energie, </w:t>
      </w:r>
      <w:r w:rsidR="003162E5" w:rsidRPr="004E1EBC">
        <w:rPr>
          <w:rFonts w:ascii="Arial" w:hAnsi="Arial" w:cs="Arial"/>
          <w:bCs/>
        </w:rPr>
        <w:t xml:space="preserve">u MV </w:t>
      </w:r>
      <w:r w:rsidRPr="004E1EBC">
        <w:rPr>
          <w:rFonts w:ascii="Arial" w:hAnsi="Arial" w:cs="Arial"/>
          <w:bCs/>
        </w:rPr>
        <w:t>ve výši 76 150 155 Kč a u Zařízení služeb ve výši 44 351 575 Kč.</w:t>
      </w:r>
      <w:r w:rsidRPr="00606341">
        <w:rPr>
          <w:rFonts w:ascii="Arial" w:hAnsi="Arial" w:cs="Arial"/>
          <w:bCs/>
        </w:rPr>
        <w:t xml:space="preserve"> </w:t>
      </w:r>
    </w:p>
    <w:p w:rsidR="004E1EBC" w:rsidRDefault="004E1EBC" w:rsidP="007F427C">
      <w:pPr>
        <w:spacing w:after="0" w:line="240" w:lineRule="auto"/>
        <w:jc w:val="both"/>
        <w:rPr>
          <w:rFonts w:ascii="Arial" w:hAnsi="Arial" w:cs="Arial"/>
        </w:rPr>
      </w:pPr>
    </w:p>
    <w:p w:rsidR="004E1EBC" w:rsidRDefault="004E1EBC" w:rsidP="007F427C">
      <w:pPr>
        <w:spacing w:after="0" w:line="240" w:lineRule="auto"/>
        <w:jc w:val="both"/>
        <w:rPr>
          <w:rFonts w:ascii="Arial" w:hAnsi="Arial" w:cs="Arial"/>
        </w:rPr>
      </w:pPr>
    </w:p>
    <w:p w:rsidR="003D409D" w:rsidRPr="00C23787" w:rsidRDefault="003D409D" w:rsidP="0022756A">
      <w:pPr>
        <w:spacing w:after="0" w:line="240" w:lineRule="auto"/>
        <w:ind w:left="624" w:hanging="624"/>
        <w:rPr>
          <w:rFonts w:ascii="Arial" w:hAnsi="Arial" w:cs="Arial"/>
          <w:sz w:val="18"/>
          <w:szCs w:val="18"/>
        </w:rPr>
      </w:pPr>
      <w:r w:rsidRPr="0022756A">
        <w:rPr>
          <w:rFonts w:ascii="Arial" w:hAnsi="Arial" w:cs="Arial"/>
          <w:b/>
          <w:sz w:val="18"/>
          <w:szCs w:val="18"/>
        </w:rPr>
        <w:t>Pozn.:</w:t>
      </w:r>
      <w:r w:rsidRPr="001B37CB">
        <w:rPr>
          <w:rFonts w:ascii="Arial" w:hAnsi="Arial" w:cs="Arial"/>
          <w:sz w:val="18"/>
          <w:szCs w:val="18"/>
        </w:rPr>
        <w:t xml:space="preserve"> </w:t>
      </w:r>
      <w:r w:rsidRPr="00C23787">
        <w:rPr>
          <w:rFonts w:ascii="Arial" w:hAnsi="Arial" w:cs="Arial"/>
          <w:sz w:val="18"/>
          <w:szCs w:val="18"/>
        </w:rPr>
        <w:t xml:space="preserve">Všechny právní předpisy uváděné </w:t>
      </w:r>
      <w:r w:rsidR="008026DA" w:rsidRPr="00C23787">
        <w:rPr>
          <w:rFonts w:ascii="Arial" w:hAnsi="Arial" w:cs="Arial"/>
          <w:sz w:val="18"/>
          <w:szCs w:val="18"/>
        </w:rPr>
        <w:t>v </w:t>
      </w:r>
      <w:r w:rsidRPr="00C23787">
        <w:rPr>
          <w:rFonts w:ascii="Arial" w:hAnsi="Arial" w:cs="Arial"/>
          <w:sz w:val="18"/>
          <w:szCs w:val="18"/>
        </w:rPr>
        <w:t>tomto kontrolním závěru jsou aplikovány ve znění účinném pro kontrolované období.</w:t>
      </w:r>
    </w:p>
    <w:p w:rsidR="00DD45E8" w:rsidRDefault="00DD45E8" w:rsidP="007F427C">
      <w:pPr>
        <w:spacing w:after="0" w:line="240" w:lineRule="auto"/>
        <w:rPr>
          <w:rFonts w:ascii="Arial" w:hAnsi="Arial" w:cs="Arial"/>
        </w:rPr>
      </w:pPr>
    </w:p>
    <w:p w:rsidR="007F427C" w:rsidRDefault="007F427C" w:rsidP="007F427C">
      <w:pPr>
        <w:spacing w:after="0" w:line="240" w:lineRule="auto"/>
        <w:rPr>
          <w:rFonts w:ascii="Arial" w:hAnsi="Arial" w:cs="Arial"/>
        </w:rPr>
      </w:pPr>
    </w:p>
    <w:p w:rsidR="00D05825" w:rsidRPr="003C1133" w:rsidRDefault="003C1133" w:rsidP="003C1133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D05825" w:rsidRPr="003C1133">
        <w:rPr>
          <w:rFonts w:ascii="Arial" w:hAnsi="Arial" w:cs="Arial"/>
          <w:b/>
          <w:sz w:val="24"/>
          <w:szCs w:val="24"/>
        </w:rPr>
        <w:t>Skutečnosti zjištěné při kontrole</w:t>
      </w:r>
    </w:p>
    <w:p w:rsidR="00281A5E" w:rsidRPr="0022756A" w:rsidRDefault="00281A5E" w:rsidP="003C1133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8606C0" w:rsidRDefault="004E1EBC" w:rsidP="008606C0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4E1EBC">
        <w:rPr>
          <w:rFonts w:ascii="Arial" w:hAnsi="Arial" w:cs="Arial"/>
        </w:rPr>
        <w:t>Po schválení pilotního projektu</w:t>
      </w:r>
      <w:r w:rsidR="003162E5">
        <w:rPr>
          <w:rFonts w:ascii="Arial" w:hAnsi="Arial" w:cs="Arial"/>
        </w:rPr>
        <w:t xml:space="preserve"> (</w:t>
      </w:r>
      <w:r w:rsidR="00D63D76">
        <w:rPr>
          <w:rFonts w:ascii="Arial" w:hAnsi="Arial" w:cs="Arial"/>
        </w:rPr>
        <w:t xml:space="preserve">na roky </w:t>
      </w:r>
      <w:r w:rsidR="003162E5">
        <w:rPr>
          <w:rFonts w:ascii="Arial" w:hAnsi="Arial" w:cs="Arial"/>
        </w:rPr>
        <w:t>2008 a 2009)</w:t>
      </w:r>
      <w:r w:rsidRPr="004E1EBC">
        <w:rPr>
          <w:rFonts w:ascii="Arial" w:hAnsi="Arial" w:cs="Arial"/>
        </w:rPr>
        <w:t xml:space="preserve"> zavedlo </w:t>
      </w:r>
      <w:r w:rsidR="00A05643" w:rsidRPr="004E1EBC">
        <w:rPr>
          <w:rFonts w:ascii="Arial" w:hAnsi="Arial" w:cs="Arial"/>
        </w:rPr>
        <w:t xml:space="preserve">MV </w:t>
      </w:r>
      <w:r>
        <w:rPr>
          <w:rFonts w:ascii="Arial" w:hAnsi="Arial" w:cs="Arial"/>
        </w:rPr>
        <w:t>centr</w:t>
      </w:r>
      <w:r w:rsidR="003162E5">
        <w:rPr>
          <w:rFonts w:ascii="Arial" w:hAnsi="Arial" w:cs="Arial"/>
        </w:rPr>
        <w:t xml:space="preserve">ální nákup </w:t>
      </w:r>
      <w:r w:rsidR="00A05643" w:rsidRPr="004E1EBC">
        <w:rPr>
          <w:rFonts w:ascii="Arial" w:hAnsi="Arial" w:cs="Arial"/>
        </w:rPr>
        <w:t xml:space="preserve">ve svém resortu jako </w:t>
      </w:r>
      <w:r w:rsidR="00A05643" w:rsidRPr="003A3F9E">
        <w:rPr>
          <w:rFonts w:ascii="Arial" w:hAnsi="Arial" w:cs="Arial"/>
        </w:rPr>
        <w:t>restrukturalizac</w:t>
      </w:r>
      <w:r w:rsidR="009F7542">
        <w:rPr>
          <w:rFonts w:ascii="Arial" w:hAnsi="Arial" w:cs="Arial"/>
        </w:rPr>
        <w:t>i</w:t>
      </w:r>
      <w:r w:rsidR="00A05643" w:rsidRPr="003A3F9E">
        <w:rPr>
          <w:rFonts w:ascii="Arial" w:hAnsi="Arial" w:cs="Arial"/>
        </w:rPr>
        <w:t xml:space="preserve"> oblasti nákupu</w:t>
      </w:r>
      <w:r w:rsidR="00A05643">
        <w:rPr>
          <w:rFonts w:ascii="Arial" w:hAnsi="Arial" w:cs="Arial"/>
        </w:rPr>
        <w:t>. C</w:t>
      </w:r>
      <w:r w:rsidR="00A05643" w:rsidRPr="003A3F9E">
        <w:rPr>
          <w:rFonts w:ascii="Arial" w:hAnsi="Arial" w:cs="Arial"/>
        </w:rPr>
        <w:t xml:space="preserve">ílem </w:t>
      </w:r>
      <w:r w:rsidR="00A05643">
        <w:rPr>
          <w:rFonts w:ascii="Arial" w:hAnsi="Arial" w:cs="Arial"/>
        </w:rPr>
        <w:t xml:space="preserve">bylo zjednodušení, </w:t>
      </w:r>
      <w:r w:rsidR="00A05643" w:rsidRPr="003A3F9E">
        <w:rPr>
          <w:rFonts w:ascii="Arial" w:hAnsi="Arial" w:cs="Arial"/>
        </w:rPr>
        <w:t>zefektivnění a celkové zlepšení</w:t>
      </w:r>
      <w:r w:rsidR="00A05643">
        <w:rPr>
          <w:rFonts w:ascii="Arial" w:hAnsi="Arial" w:cs="Arial"/>
        </w:rPr>
        <w:t xml:space="preserve"> nákup</w:t>
      </w:r>
      <w:r w:rsidR="00C17038">
        <w:rPr>
          <w:rFonts w:ascii="Arial" w:hAnsi="Arial" w:cs="Arial"/>
        </w:rPr>
        <w:t>ů</w:t>
      </w:r>
      <w:r w:rsidR="00A05643">
        <w:rPr>
          <w:rFonts w:ascii="Arial" w:hAnsi="Arial" w:cs="Arial"/>
        </w:rPr>
        <w:t>, včetně dosažení finančních úspor</w:t>
      </w:r>
      <w:r w:rsidR="00BC545B">
        <w:rPr>
          <w:rFonts w:ascii="Arial" w:hAnsi="Arial" w:cs="Arial"/>
        </w:rPr>
        <w:t xml:space="preserve">. </w:t>
      </w:r>
      <w:r w:rsidR="001B37CB" w:rsidRPr="003A3F9E">
        <w:rPr>
          <w:rFonts w:ascii="Arial" w:hAnsi="Arial" w:cs="Arial"/>
        </w:rPr>
        <w:t xml:space="preserve">MV </w:t>
      </w:r>
      <w:r w:rsidR="001B37CB">
        <w:rPr>
          <w:rFonts w:ascii="Arial" w:hAnsi="Arial" w:cs="Arial"/>
        </w:rPr>
        <w:t>b</w:t>
      </w:r>
      <w:r w:rsidR="008606C0" w:rsidRPr="003A3F9E">
        <w:rPr>
          <w:rFonts w:ascii="Arial" w:hAnsi="Arial" w:cs="Arial"/>
        </w:rPr>
        <w:t xml:space="preserve">ěhem přípravy </w:t>
      </w:r>
      <w:r w:rsidR="008606C0">
        <w:rPr>
          <w:rFonts w:ascii="Arial" w:hAnsi="Arial" w:cs="Arial"/>
        </w:rPr>
        <w:t xml:space="preserve">pilotního </w:t>
      </w:r>
      <w:r w:rsidR="008606C0" w:rsidRPr="003A3F9E">
        <w:rPr>
          <w:rFonts w:ascii="Arial" w:hAnsi="Arial" w:cs="Arial"/>
        </w:rPr>
        <w:t xml:space="preserve">projektu využilo externí </w:t>
      </w:r>
      <w:r w:rsidR="008606C0" w:rsidRPr="00A05643">
        <w:rPr>
          <w:rFonts w:ascii="Arial" w:hAnsi="Arial" w:cs="Arial"/>
        </w:rPr>
        <w:t>poradenské služby</w:t>
      </w:r>
      <w:r w:rsidR="008606C0">
        <w:rPr>
          <w:rFonts w:ascii="Arial" w:hAnsi="Arial" w:cs="Arial"/>
        </w:rPr>
        <w:t xml:space="preserve"> k provedení analýzy nákupu v resortu MV a </w:t>
      </w:r>
      <w:r w:rsidR="00FF54A3">
        <w:rPr>
          <w:rFonts w:ascii="Arial" w:hAnsi="Arial" w:cs="Arial"/>
        </w:rPr>
        <w:t>k </w:t>
      </w:r>
      <w:r w:rsidR="008606C0">
        <w:rPr>
          <w:rFonts w:ascii="Arial" w:hAnsi="Arial" w:cs="Arial"/>
        </w:rPr>
        <w:t xml:space="preserve">přípravě podkladů pro zahájení projektu. </w:t>
      </w:r>
      <w:r w:rsidR="008606C0" w:rsidRPr="00664E50">
        <w:rPr>
          <w:rFonts w:ascii="Arial" w:hAnsi="Arial" w:cs="Arial"/>
        </w:rPr>
        <w:t>Jedn</w:t>
      </w:r>
      <w:r w:rsidR="008606C0">
        <w:rPr>
          <w:rFonts w:ascii="Arial" w:hAnsi="Arial" w:cs="Arial"/>
        </w:rPr>
        <w:t>ím</w:t>
      </w:r>
      <w:r w:rsidR="008606C0" w:rsidRPr="00664E50">
        <w:rPr>
          <w:rFonts w:ascii="Arial" w:hAnsi="Arial" w:cs="Arial"/>
        </w:rPr>
        <w:t xml:space="preserve"> </w:t>
      </w:r>
      <w:r w:rsidR="00FF54A3">
        <w:rPr>
          <w:rFonts w:ascii="Arial" w:hAnsi="Arial" w:cs="Arial"/>
        </w:rPr>
        <w:t>z </w:t>
      </w:r>
      <w:r w:rsidR="008606C0">
        <w:rPr>
          <w:rFonts w:ascii="Arial" w:hAnsi="Arial" w:cs="Arial"/>
        </w:rPr>
        <w:t>výstupů zpracovaných externí</w:t>
      </w:r>
      <w:r w:rsidR="00B50F2E">
        <w:rPr>
          <w:rFonts w:ascii="Arial" w:hAnsi="Arial" w:cs="Arial"/>
        </w:rPr>
        <w:t>m dodavatelem</w:t>
      </w:r>
      <w:r w:rsidR="008606C0">
        <w:rPr>
          <w:rFonts w:ascii="Arial" w:hAnsi="Arial" w:cs="Arial"/>
        </w:rPr>
        <w:t xml:space="preserve"> poradensk</w:t>
      </w:r>
      <w:r w:rsidR="00B50F2E">
        <w:rPr>
          <w:rFonts w:ascii="Arial" w:hAnsi="Arial" w:cs="Arial"/>
        </w:rPr>
        <w:t>é služby</w:t>
      </w:r>
      <w:r w:rsidR="008606C0" w:rsidRPr="00664E50">
        <w:rPr>
          <w:rFonts w:ascii="Arial" w:hAnsi="Arial" w:cs="Arial"/>
        </w:rPr>
        <w:t xml:space="preserve"> byl návrh </w:t>
      </w:r>
      <w:r w:rsidR="008606C0">
        <w:rPr>
          <w:rFonts w:ascii="Arial" w:hAnsi="Arial" w:cs="Arial"/>
        </w:rPr>
        <w:t xml:space="preserve">na zavedení </w:t>
      </w:r>
      <w:r w:rsidR="008606C0" w:rsidRPr="00664E50">
        <w:rPr>
          <w:rFonts w:ascii="Arial" w:hAnsi="Arial" w:cs="Arial"/>
        </w:rPr>
        <w:t>objektivní</w:t>
      </w:r>
      <w:r w:rsidR="008606C0">
        <w:rPr>
          <w:rFonts w:ascii="Arial" w:hAnsi="Arial" w:cs="Arial"/>
        </w:rPr>
        <w:t>ho</w:t>
      </w:r>
      <w:r w:rsidR="008606C0" w:rsidRPr="00664E50">
        <w:rPr>
          <w:rFonts w:ascii="Arial" w:hAnsi="Arial" w:cs="Arial"/>
        </w:rPr>
        <w:t xml:space="preserve"> a průkazné</w:t>
      </w:r>
      <w:r w:rsidR="008606C0">
        <w:rPr>
          <w:rFonts w:ascii="Arial" w:hAnsi="Arial" w:cs="Arial"/>
        </w:rPr>
        <w:t>ho</w:t>
      </w:r>
      <w:r w:rsidR="008606C0" w:rsidRPr="00664E50">
        <w:rPr>
          <w:rFonts w:ascii="Arial" w:hAnsi="Arial" w:cs="Arial"/>
        </w:rPr>
        <w:t xml:space="preserve"> sledování úspor</w:t>
      </w:r>
      <w:r w:rsidR="008606C0">
        <w:rPr>
          <w:rFonts w:ascii="Arial" w:hAnsi="Arial" w:cs="Arial"/>
        </w:rPr>
        <w:t xml:space="preserve"> v rámci projektu </w:t>
      </w:r>
      <w:proofErr w:type="spellStart"/>
      <w:r w:rsidR="008606C0">
        <w:rPr>
          <w:rFonts w:ascii="Arial" w:hAnsi="Arial" w:cs="Arial"/>
        </w:rPr>
        <w:t>CN</w:t>
      </w:r>
      <w:proofErr w:type="spellEnd"/>
      <w:r w:rsidR="008606C0">
        <w:rPr>
          <w:rFonts w:ascii="Arial" w:hAnsi="Arial" w:cs="Arial"/>
        </w:rPr>
        <w:t>.</w:t>
      </w:r>
    </w:p>
    <w:p w:rsidR="00B50F2E" w:rsidRDefault="00B50F2E" w:rsidP="007F427C">
      <w:pPr>
        <w:spacing w:after="0" w:line="240" w:lineRule="auto"/>
        <w:jc w:val="both"/>
        <w:rPr>
          <w:rFonts w:ascii="Arial" w:hAnsi="Arial" w:cs="Arial"/>
        </w:rPr>
      </w:pPr>
    </w:p>
    <w:p w:rsidR="00A04A16" w:rsidRDefault="004E1EBC" w:rsidP="007F427C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>V prvním roce</w:t>
      </w:r>
      <w:r w:rsidR="00B50F2E">
        <w:rPr>
          <w:rFonts w:ascii="Arial" w:hAnsi="Arial" w:cs="Arial"/>
        </w:rPr>
        <w:t xml:space="preserve"> projektu </w:t>
      </w:r>
      <w:proofErr w:type="spellStart"/>
      <w:r w:rsidR="00B50F2E">
        <w:rPr>
          <w:rFonts w:ascii="Arial" w:hAnsi="Arial" w:cs="Arial"/>
        </w:rPr>
        <w:t>CN</w:t>
      </w:r>
      <w:proofErr w:type="spellEnd"/>
      <w:r>
        <w:rPr>
          <w:rFonts w:ascii="Arial" w:hAnsi="Arial" w:cs="Arial"/>
        </w:rPr>
        <w:t>, tj. v roce 2008</w:t>
      </w:r>
      <w:r w:rsidR="00B50F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162E5">
        <w:rPr>
          <w:rFonts w:ascii="Arial" w:hAnsi="Arial" w:cs="Arial"/>
        </w:rPr>
        <w:t>byly</w:t>
      </w:r>
      <w:r w:rsidR="004B0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="00281A5E">
        <w:rPr>
          <w:rFonts w:ascii="Arial" w:hAnsi="Arial" w:cs="Arial"/>
        </w:rPr>
        <w:t xml:space="preserve">projektu </w:t>
      </w:r>
      <w:r w:rsidR="003162E5">
        <w:rPr>
          <w:rFonts w:ascii="Arial" w:hAnsi="Arial" w:cs="Arial"/>
        </w:rPr>
        <w:t>zařazeny čtyři</w:t>
      </w:r>
      <w:r w:rsidR="00BC545B">
        <w:rPr>
          <w:rFonts w:ascii="Arial" w:hAnsi="Arial" w:cs="Arial"/>
        </w:rPr>
        <w:t xml:space="preserve"> komodit</w:t>
      </w:r>
      <w:r w:rsidR="003162E5">
        <w:rPr>
          <w:rFonts w:ascii="Arial" w:hAnsi="Arial" w:cs="Arial"/>
        </w:rPr>
        <w:t>y</w:t>
      </w:r>
      <w:r w:rsidR="00BC545B">
        <w:rPr>
          <w:rFonts w:ascii="Arial" w:hAnsi="Arial" w:cs="Arial"/>
        </w:rPr>
        <w:t xml:space="preserve">, </w:t>
      </w:r>
      <w:r w:rsidR="003162E5">
        <w:rPr>
          <w:rFonts w:ascii="Arial" w:hAnsi="Arial" w:cs="Arial"/>
        </w:rPr>
        <w:t xml:space="preserve">v roce 2009 pět a v dalších letech byl počet </w:t>
      </w:r>
      <w:r w:rsidR="00B50F2E">
        <w:rPr>
          <w:rFonts w:ascii="Arial" w:hAnsi="Arial" w:cs="Arial"/>
        </w:rPr>
        <w:t xml:space="preserve">komodit </w:t>
      </w:r>
      <w:r w:rsidR="003162E5">
        <w:rPr>
          <w:rFonts w:ascii="Arial" w:hAnsi="Arial" w:cs="Arial"/>
        </w:rPr>
        <w:t>dále rozšiřován</w:t>
      </w:r>
      <w:r w:rsidR="00D553A7">
        <w:rPr>
          <w:rFonts w:ascii="Arial" w:hAnsi="Arial" w:cs="Arial"/>
        </w:rPr>
        <w:t xml:space="preserve"> až na 14 v roce 2012</w:t>
      </w:r>
      <w:r w:rsidR="00281A5E">
        <w:rPr>
          <w:rFonts w:ascii="Arial" w:hAnsi="Arial" w:cs="Arial"/>
        </w:rPr>
        <w:t>, kdy</w:t>
      </w:r>
      <w:r w:rsidR="003162E5">
        <w:rPr>
          <w:rFonts w:ascii="Arial" w:hAnsi="Arial" w:cs="Arial"/>
          <w:lang w:eastAsia="cs-CZ"/>
        </w:rPr>
        <w:t xml:space="preserve"> MV </w:t>
      </w:r>
      <w:r w:rsidR="00D553A7" w:rsidRPr="00D37DD6">
        <w:rPr>
          <w:rFonts w:ascii="Arial" w:hAnsi="Arial" w:cs="Arial"/>
          <w:lang w:eastAsia="cs-CZ"/>
        </w:rPr>
        <w:t>navázalo</w:t>
      </w:r>
      <w:r w:rsidR="00D553A7">
        <w:rPr>
          <w:rFonts w:ascii="Arial" w:hAnsi="Arial" w:cs="Arial"/>
          <w:lang w:eastAsia="cs-CZ"/>
        </w:rPr>
        <w:t xml:space="preserve"> </w:t>
      </w:r>
      <w:r w:rsidR="008C53B6">
        <w:rPr>
          <w:rFonts w:ascii="Arial" w:hAnsi="Arial" w:cs="Arial"/>
          <w:lang w:eastAsia="cs-CZ"/>
        </w:rPr>
        <w:t>v souladu s usneseními vlády o </w:t>
      </w:r>
      <w:r w:rsidR="00281A5E">
        <w:rPr>
          <w:rFonts w:ascii="Arial" w:hAnsi="Arial" w:cs="Arial"/>
          <w:lang w:eastAsia="cs-CZ"/>
        </w:rPr>
        <w:t xml:space="preserve">centralizovaném zadávání </w:t>
      </w:r>
      <w:r w:rsidR="00D553A7" w:rsidRPr="00DB6743">
        <w:rPr>
          <w:rFonts w:ascii="Arial" w:hAnsi="Arial" w:cs="Arial"/>
          <w:lang w:eastAsia="cs-CZ"/>
        </w:rPr>
        <w:t>na</w:t>
      </w:r>
      <w:r w:rsidR="00281A5E">
        <w:rPr>
          <w:rFonts w:ascii="Arial" w:hAnsi="Arial" w:cs="Arial"/>
          <w:lang w:eastAsia="cs-CZ"/>
        </w:rPr>
        <w:t xml:space="preserve"> jím</w:t>
      </w:r>
      <w:r w:rsidR="00D553A7" w:rsidRPr="00DB6743">
        <w:rPr>
          <w:rFonts w:ascii="Arial" w:hAnsi="Arial" w:cs="Arial"/>
          <w:lang w:eastAsia="cs-CZ"/>
        </w:rPr>
        <w:t xml:space="preserve"> již zavedený </w:t>
      </w:r>
      <w:r w:rsidR="00D553A7">
        <w:rPr>
          <w:rFonts w:ascii="Arial" w:hAnsi="Arial" w:cs="Arial"/>
          <w:lang w:eastAsia="cs-CZ"/>
        </w:rPr>
        <w:t xml:space="preserve">projekt </w:t>
      </w:r>
      <w:r w:rsidR="00D553A7" w:rsidRPr="00DB6743">
        <w:rPr>
          <w:rFonts w:ascii="Arial" w:hAnsi="Arial" w:cs="Arial"/>
          <w:lang w:eastAsia="cs-CZ"/>
        </w:rPr>
        <w:t>centrálního nákupu</w:t>
      </w:r>
      <w:r w:rsidR="00D553A7">
        <w:rPr>
          <w:rFonts w:ascii="Arial" w:hAnsi="Arial" w:cs="Arial"/>
          <w:lang w:eastAsia="cs-CZ"/>
        </w:rPr>
        <w:t>.</w:t>
      </w:r>
    </w:p>
    <w:p w:rsidR="00D553A7" w:rsidRDefault="00D553A7" w:rsidP="007F427C">
      <w:pPr>
        <w:spacing w:after="0" w:line="240" w:lineRule="auto"/>
        <w:jc w:val="both"/>
        <w:rPr>
          <w:rFonts w:ascii="Arial" w:hAnsi="Arial" w:cs="Arial"/>
        </w:rPr>
      </w:pPr>
    </w:p>
    <w:p w:rsidR="00A05643" w:rsidRPr="001149BB" w:rsidRDefault="00D37DD6" w:rsidP="0022756A">
      <w:pPr>
        <w:pStyle w:val="Nadpis1"/>
        <w:keepNext w:val="0"/>
        <w:keepLines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line="240" w:lineRule="auto"/>
        <w:ind w:left="284" w:hanging="284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1149BB">
        <w:rPr>
          <w:rFonts w:ascii="Arial" w:hAnsi="Arial" w:cs="Arial"/>
          <w:color w:val="auto"/>
          <w:sz w:val="22"/>
          <w:szCs w:val="22"/>
        </w:rPr>
        <w:lastRenderedPageBreak/>
        <w:t>Nastavení</w:t>
      </w:r>
      <w:r w:rsidR="00D71802">
        <w:rPr>
          <w:rFonts w:ascii="Arial" w:hAnsi="Arial" w:cs="Arial"/>
          <w:color w:val="auto"/>
          <w:sz w:val="22"/>
          <w:szCs w:val="22"/>
        </w:rPr>
        <w:t xml:space="preserve"> </w:t>
      </w:r>
      <w:r w:rsidRPr="001149BB">
        <w:rPr>
          <w:rFonts w:ascii="Arial" w:hAnsi="Arial" w:cs="Arial"/>
          <w:color w:val="auto"/>
          <w:sz w:val="22"/>
          <w:szCs w:val="22"/>
        </w:rPr>
        <w:t xml:space="preserve">projektu </w:t>
      </w:r>
      <w:r w:rsidR="00A05643" w:rsidRPr="001149BB">
        <w:rPr>
          <w:rFonts w:ascii="Arial" w:hAnsi="Arial" w:cs="Arial"/>
          <w:color w:val="auto"/>
          <w:sz w:val="22"/>
          <w:szCs w:val="22"/>
        </w:rPr>
        <w:t>centrálního nákupu</w:t>
      </w:r>
      <w:r w:rsidR="00395D91" w:rsidRPr="001149BB">
        <w:rPr>
          <w:rFonts w:ascii="Arial" w:hAnsi="Arial" w:cs="Arial"/>
          <w:color w:val="auto"/>
          <w:sz w:val="22"/>
          <w:szCs w:val="22"/>
        </w:rPr>
        <w:t xml:space="preserve"> </w:t>
      </w:r>
      <w:r w:rsidR="00A05643" w:rsidRPr="001149BB">
        <w:rPr>
          <w:rFonts w:ascii="Arial" w:hAnsi="Arial" w:cs="Arial"/>
          <w:color w:val="auto"/>
          <w:sz w:val="22"/>
          <w:szCs w:val="22"/>
        </w:rPr>
        <w:t>v resortu MV</w:t>
      </w:r>
    </w:p>
    <w:p w:rsidR="00A05643" w:rsidRPr="00A5067C" w:rsidRDefault="00A05643" w:rsidP="0022756A">
      <w:pPr>
        <w:pStyle w:val="Nadpis2"/>
        <w:keepNext w:val="0"/>
        <w:keepLines w:val="0"/>
        <w:tabs>
          <w:tab w:val="left" w:pos="426"/>
        </w:tabs>
        <w:spacing w:before="0"/>
        <w:rPr>
          <w:rFonts w:ascii="Arial" w:hAnsi="Arial" w:cs="Arial"/>
          <w:color w:val="auto"/>
          <w:sz w:val="22"/>
          <w:szCs w:val="22"/>
        </w:rPr>
      </w:pPr>
    </w:p>
    <w:p w:rsidR="00DA5993" w:rsidRDefault="00A05643" w:rsidP="007F427C">
      <w:pPr>
        <w:pStyle w:val="ARNORMAL"/>
        <w:jc w:val="both"/>
        <w:rPr>
          <w:rFonts w:cs="Arial"/>
          <w:color w:val="000000"/>
          <w:szCs w:val="22"/>
        </w:rPr>
      </w:pPr>
      <w:r w:rsidRPr="00285253">
        <w:rPr>
          <w:rFonts w:cs="Arial"/>
          <w:szCs w:val="22"/>
        </w:rPr>
        <w:t>Hlavním úkolem pilotního projektu</w:t>
      </w:r>
      <w:r w:rsidR="00D553A7">
        <w:rPr>
          <w:rFonts w:cs="Arial"/>
          <w:szCs w:val="22"/>
        </w:rPr>
        <w:t xml:space="preserve"> </w:t>
      </w:r>
      <w:r w:rsidRPr="00285253">
        <w:rPr>
          <w:rFonts w:cs="Arial"/>
          <w:szCs w:val="22"/>
        </w:rPr>
        <w:t xml:space="preserve">bylo </w:t>
      </w:r>
      <w:r w:rsidRPr="00DA5993">
        <w:rPr>
          <w:rFonts w:cs="Arial"/>
          <w:szCs w:val="22"/>
        </w:rPr>
        <w:t xml:space="preserve">ověřit přínos finančních úspor </w:t>
      </w:r>
      <w:r w:rsidR="001B37CB">
        <w:rPr>
          <w:rFonts w:cs="Arial"/>
          <w:szCs w:val="22"/>
        </w:rPr>
        <w:t xml:space="preserve">a </w:t>
      </w:r>
      <w:r w:rsidRPr="00DA5993">
        <w:rPr>
          <w:rFonts w:cs="Arial"/>
          <w:szCs w:val="22"/>
        </w:rPr>
        <w:t>zefektivnit, zlepšit a</w:t>
      </w:r>
      <w:r w:rsidR="003148D4" w:rsidRPr="00DA5993">
        <w:rPr>
          <w:rFonts w:cs="Arial"/>
          <w:szCs w:val="22"/>
        </w:rPr>
        <w:t> </w:t>
      </w:r>
      <w:r w:rsidRPr="00DA5993">
        <w:rPr>
          <w:rFonts w:cs="Arial"/>
          <w:szCs w:val="22"/>
        </w:rPr>
        <w:t xml:space="preserve">zjednodušit systém nákupů. </w:t>
      </w:r>
      <w:r w:rsidRPr="00DA5993">
        <w:rPr>
          <w:rFonts w:cs="Arial"/>
          <w:color w:val="000000"/>
          <w:szCs w:val="22"/>
        </w:rPr>
        <w:t>Přínosy</w:t>
      </w:r>
      <w:r w:rsidR="00FF5782" w:rsidRPr="00DA5993">
        <w:rPr>
          <w:rFonts w:cs="Arial"/>
          <w:color w:val="000000"/>
          <w:szCs w:val="22"/>
        </w:rPr>
        <w:t xml:space="preserve"> projektu </w:t>
      </w:r>
      <w:r w:rsidRPr="00DA5993">
        <w:rPr>
          <w:rFonts w:cs="Arial"/>
          <w:color w:val="000000"/>
          <w:szCs w:val="22"/>
        </w:rPr>
        <w:t>MV popsalo a kvantifikovalo jako očekávané úspory ve vztahu k předpokládanému objemu centrálně nakupovaných komodit</w:t>
      </w:r>
      <w:r w:rsidR="00FF5782" w:rsidRPr="00DA5993">
        <w:rPr>
          <w:rFonts w:cs="Arial"/>
          <w:color w:val="000000"/>
          <w:szCs w:val="22"/>
        </w:rPr>
        <w:t xml:space="preserve"> včetně personálních úspor</w:t>
      </w:r>
      <w:r w:rsidR="00442BB3" w:rsidRPr="00DA5993">
        <w:rPr>
          <w:rFonts w:cs="Arial"/>
          <w:color w:val="000000"/>
          <w:szCs w:val="22"/>
        </w:rPr>
        <w:t xml:space="preserve">. </w:t>
      </w:r>
    </w:p>
    <w:p w:rsidR="00DA5993" w:rsidRDefault="00DA5993" w:rsidP="007F427C">
      <w:pPr>
        <w:pStyle w:val="ARNORMAL"/>
        <w:jc w:val="both"/>
        <w:rPr>
          <w:rFonts w:cs="Arial"/>
          <w:color w:val="000000"/>
          <w:szCs w:val="22"/>
        </w:rPr>
      </w:pPr>
    </w:p>
    <w:p w:rsidR="00442BB3" w:rsidRDefault="0060755C" w:rsidP="007F427C">
      <w:pPr>
        <w:pStyle w:val="ARNORMAL"/>
        <w:jc w:val="both"/>
        <w:rPr>
          <w:rFonts w:cs="Arial"/>
          <w:color w:val="000000"/>
          <w:szCs w:val="22"/>
        </w:rPr>
      </w:pPr>
      <w:r w:rsidRPr="00DA5993">
        <w:rPr>
          <w:rFonts w:cs="Arial"/>
          <w:color w:val="000000"/>
          <w:szCs w:val="22"/>
        </w:rPr>
        <w:t>Personální úspory</w:t>
      </w:r>
      <w:r w:rsidR="00885330">
        <w:rPr>
          <w:rFonts w:cs="Arial"/>
          <w:color w:val="000000"/>
          <w:szCs w:val="22"/>
        </w:rPr>
        <w:t xml:space="preserve">, které měly </w:t>
      </w:r>
      <w:r w:rsidR="009F7542">
        <w:rPr>
          <w:rFonts w:cs="Arial"/>
          <w:color w:val="000000"/>
          <w:szCs w:val="22"/>
        </w:rPr>
        <w:t>b</w:t>
      </w:r>
      <w:r w:rsidR="00885330">
        <w:rPr>
          <w:rFonts w:cs="Arial"/>
          <w:color w:val="000000"/>
          <w:szCs w:val="22"/>
        </w:rPr>
        <w:t xml:space="preserve">ýt dosaženy </w:t>
      </w:r>
      <w:r w:rsidRPr="00DA5993">
        <w:rPr>
          <w:rFonts w:cs="Arial"/>
          <w:color w:val="000000"/>
          <w:szCs w:val="22"/>
        </w:rPr>
        <w:t>zavedení</w:t>
      </w:r>
      <w:r w:rsidR="00885330">
        <w:rPr>
          <w:rFonts w:cs="Arial"/>
          <w:color w:val="000000"/>
          <w:szCs w:val="22"/>
        </w:rPr>
        <w:t>m</w:t>
      </w:r>
      <w:r w:rsidRPr="00DA5993">
        <w:rPr>
          <w:rFonts w:cs="Arial"/>
          <w:color w:val="000000"/>
          <w:szCs w:val="22"/>
        </w:rPr>
        <w:t xml:space="preserve"> </w:t>
      </w:r>
      <w:r w:rsidR="001B37CB">
        <w:rPr>
          <w:rFonts w:cs="Arial"/>
          <w:color w:val="000000"/>
          <w:szCs w:val="22"/>
        </w:rPr>
        <w:t xml:space="preserve">systému </w:t>
      </w:r>
      <w:r w:rsidRPr="00DA5993">
        <w:rPr>
          <w:rFonts w:cs="Arial"/>
          <w:color w:val="000000"/>
          <w:szCs w:val="22"/>
        </w:rPr>
        <w:t>centrálního nákupu</w:t>
      </w:r>
      <w:r w:rsidR="009F7542">
        <w:rPr>
          <w:rFonts w:cs="Arial"/>
          <w:color w:val="000000"/>
          <w:szCs w:val="22"/>
        </w:rPr>
        <w:t>,</w:t>
      </w:r>
      <w:r w:rsidRPr="00DA5993">
        <w:rPr>
          <w:rFonts w:cs="Arial"/>
          <w:color w:val="000000"/>
          <w:szCs w:val="22"/>
        </w:rPr>
        <w:t xml:space="preserve"> MV </w:t>
      </w:r>
      <w:r w:rsidR="00885330">
        <w:rPr>
          <w:rFonts w:cs="Arial"/>
          <w:color w:val="000000"/>
          <w:szCs w:val="22"/>
        </w:rPr>
        <w:t>nesledovalo.</w:t>
      </w:r>
    </w:p>
    <w:p w:rsidR="00A05643" w:rsidRPr="0080691F" w:rsidRDefault="00A05643" w:rsidP="003148D4">
      <w:pPr>
        <w:pStyle w:val="Nadpis2"/>
        <w:keepLines w:val="0"/>
        <w:tabs>
          <w:tab w:val="left" w:pos="426"/>
        </w:tabs>
        <w:spacing w:before="0"/>
        <w:rPr>
          <w:rFonts w:ascii="Arial" w:hAnsi="Arial" w:cs="Arial"/>
          <w:color w:val="auto"/>
          <w:sz w:val="22"/>
          <w:szCs w:val="22"/>
        </w:rPr>
      </w:pPr>
    </w:p>
    <w:p w:rsidR="00395D91" w:rsidRDefault="00DA5993" w:rsidP="007F427C">
      <w:pPr>
        <w:pStyle w:val="ARNORMAL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souladu se zákonem č. 137/2006 Sb. byl </w:t>
      </w:r>
      <w:r w:rsidR="009F7542">
        <w:rPr>
          <w:rFonts w:cs="Arial"/>
          <w:szCs w:val="22"/>
        </w:rPr>
        <w:t xml:space="preserve">na MV </w:t>
      </w:r>
      <w:r w:rsidR="00A05643" w:rsidRPr="00DB6743">
        <w:rPr>
          <w:rFonts w:cs="Arial"/>
          <w:szCs w:val="22"/>
        </w:rPr>
        <w:t xml:space="preserve">postup rozdělen na úroveň centrálního nákupu a operačního nákupu. </w:t>
      </w:r>
      <w:r w:rsidR="00A05643" w:rsidRPr="00285253">
        <w:rPr>
          <w:rFonts w:cs="Arial"/>
          <w:szCs w:val="22"/>
        </w:rPr>
        <w:t>Centrálním nákupem</w:t>
      </w:r>
      <w:r w:rsidR="00A05643" w:rsidRPr="00DB6743">
        <w:rPr>
          <w:rFonts w:cs="Arial"/>
          <w:szCs w:val="22"/>
        </w:rPr>
        <w:t xml:space="preserve"> se rozumí veřejná zakázka, ve které uzavírá centrální zadavatel s vybranými uchazeči </w:t>
      </w:r>
      <w:r w:rsidR="00285253">
        <w:rPr>
          <w:rFonts w:cs="Arial"/>
          <w:szCs w:val="22"/>
        </w:rPr>
        <w:t>rámcovou smlouvu</w:t>
      </w:r>
      <w:r w:rsidR="0008335C">
        <w:rPr>
          <w:rFonts w:cs="Arial"/>
          <w:szCs w:val="22"/>
        </w:rPr>
        <w:t xml:space="preserve"> (d</w:t>
      </w:r>
      <w:r w:rsidR="006178B3">
        <w:rPr>
          <w:rFonts w:cs="Arial"/>
          <w:szCs w:val="22"/>
        </w:rPr>
        <w:t>á</w:t>
      </w:r>
      <w:r w:rsidR="0008335C">
        <w:rPr>
          <w:rFonts w:cs="Arial"/>
          <w:szCs w:val="22"/>
        </w:rPr>
        <w:t>le také „</w:t>
      </w:r>
      <w:proofErr w:type="spellStart"/>
      <w:r w:rsidR="0008335C">
        <w:rPr>
          <w:rFonts w:cs="Arial"/>
          <w:szCs w:val="22"/>
        </w:rPr>
        <w:t>RS</w:t>
      </w:r>
      <w:proofErr w:type="spellEnd"/>
      <w:r w:rsidR="0008335C">
        <w:rPr>
          <w:rFonts w:cs="Arial"/>
          <w:szCs w:val="22"/>
        </w:rPr>
        <w:t>“)</w:t>
      </w:r>
      <w:r w:rsidR="00A05643" w:rsidRPr="00DB6743">
        <w:rPr>
          <w:rFonts w:cs="Arial"/>
          <w:szCs w:val="22"/>
        </w:rPr>
        <w:t xml:space="preserve">. </w:t>
      </w:r>
      <w:r w:rsidR="00A05643" w:rsidRPr="00285253">
        <w:rPr>
          <w:rFonts w:cs="Arial"/>
          <w:szCs w:val="22"/>
        </w:rPr>
        <w:t>Operačním nákupem</w:t>
      </w:r>
      <w:r w:rsidR="00A05643" w:rsidRPr="00DB6743">
        <w:rPr>
          <w:rFonts w:cs="Arial"/>
          <w:szCs w:val="22"/>
        </w:rPr>
        <w:t xml:space="preserve"> se rozumí nákup prováděný za podmínek daných </w:t>
      </w:r>
      <w:r w:rsidR="00285253">
        <w:rPr>
          <w:rFonts w:cs="Arial"/>
          <w:szCs w:val="22"/>
        </w:rPr>
        <w:t>rámcovou smlouvou</w:t>
      </w:r>
      <w:r w:rsidR="00A05643" w:rsidRPr="00DB6743">
        <w:rPr>
          <w:rFonts w:cs="Arial"/>
          <w:szCs w:val="22"/>
        </w:rPr>
        <w:t xml:space="preserve"> veřejným zadavatelem na jeho vlastní účet. </w:t>
      </w:r>
      <w:r w:rsidR="00CE322A">
        <w:rPr>
          <w:rFonts w:cs="Arial"/>
          <w:szCs w:val="22"/>
        </w:rPr>
        <w:t>Před zahájen</w:t>
      </w:r>
      <w:r w:rsidR="006417C6">
        <w:rPr>
          <w:rFonts w:cs="Arial"/>
          <w:szCs w:val="22"/>
        </w:rPr>
        <w:t>ím uzavřou veřejní zadavatelé a </w:t>
      </w:r>
      <w:r w:rsidR="00CE322A">
        <w:rPr>
          <w:rFonts w:cs="Arial"/>
          <w:szCs w:val="22"/>
        </w:rPr>
        <w:t>centrální zadavatel písemnou smlouvu s vymezením práv a povinností. V</w:t>
      </w:r>
      <w:r w:rsidR="00A05643" w:rsidRPr="00DB6743">
        <w:rPr>
          <w:rFonts w:cs="Arial"/>
          <w:szCs w:val="22"/>
        </w:rPr>
        <w:t xml:space="preserve">eřejný zadavatel je povinen vycházet z uzavřené </w:t>
      </w:r>
      <w:r w:rsidR="00285253">
        <w:rPr>
          <w:rFonts w:cs="Arial"/>
          <w:szCs w:val="22"/>
        </w:rPr>
        <w:t>rámcové smlouvy</w:t>
      </w:r>
      <w:r w:rsidR="00A05643" w:rsidRPr="00DB6743">
        <w:rPr>
          <w:rFonts w:cs="Arial"/>
          <w:szCs w:val="22"/>
        </w:rPr>
        <w:t xml:space="preserve"> a v souladu s ní samostatně uzavírat prováděcí smlouvy. </w:t>
      </w:r>
      <w:r w:rsidR="00AA71B9">
        <w:rPr>
          <w:rFonts w:cs="Arial"/>
          <w:szCs w:val="22"/>
        </w:rPr>
        <w:t>P</w:t>
      </w:r>
      <w:r w:rsidR="00AA71B9" w:rsidRPr="00DB6743">
        <w:rPr>
          <w:rFonts w:cs="Arial"/>
          <w:szCs w:val="22"/>
        </w:rPr>
        <w:t xml:space="preserve">ři výběru dodavatelů jsou </w:t>
      </w:r>
      <w:r w:rsidR="00AA71B9">
        <w:rPr>
          <w:rFonts w:cs="Arial"/>
          <w:szCs w:val="22"/>
        </w:rPr>
        <w:t>v</w:t>
      </w:r>
      <w:r w:rsidR="00A05643" w:rsidRPr="00DB6743">
        <w:rPr>
          <w:rFonts w:cs="Arial"/>
          <w:szCs w:val="22"/>
        </w:rPr>
        <w:t xml:space="preserve">eřejní zadavatelé povinni postupovat dle </w:t>
      </w:r>
      <w:proofErr w:type="spellStart"/>
      <w:r w:rsidR="00A05643">
        <w:rPr>
          <w:rFonts w:cs="Arial"/>
          <w:szCs w:val="22"/>
        </w:rPr>
        <w:t>RS</w:t>
      </w:r>
      <w:proofErr w:type="spellEnd"/>
      <w:r w:rsidR="00B83B59">
        <w:rPr>
          <w:rFonts w:cs="Arial"/>
          <w:szCs w:val="22"/>
        </w:rPr>
        <w:t xml:space="preserve">. </w:t>
      </w:r>
    </w:p>
    <w:p w:rsidR="00480954" w:rsidRDefault="00480954" w:rsidP="00FF5782">
      <w:pPr>
        <w:pStyle w:val="ARNORMAL"/>
        <w:jc w:val="both"/>
        <w:rPr>
          <w:rFonts w:cs="Arial"/>
          <w:szCs w:val="22"/>
        </w:rPr>
      </w:pPr>
    </w:p>
    <w:p w:rsidR="00B83308" w:rsidRDefault="00B83308" w:rsidP="007F427C">
      <w:pPr>
        <w:pStyle w:val="ARNORMAL"/>
        <w:jc w:val="both"/>
        <w:rPr>
          <w:rFonts w:cs="Arial"/>
          <w:szCs w:val="22"/>
        </w:rPr>
      </w:pPr>
      <w:r>
        <w:rPr>
          <w:rFonts w:cs="Arial"/>
          <w:szCs w:val="22"/>
        </w:rPr>
        <w:t>V </w:t>
      </w:r>
      <w:r w:rsidR="00D71802">
        <w:rPr>
          <w:rFonts w:cs="Arial"/>
          <w:szCs w:val="22"/>
        </w:rPr>
        <w:t>roce 2008</w:t>
      </w:r>
      <w:r w:rsidR="00A05643" w:rsidRPr="00DB6743">
        <w:rPr>
          <w:rFonts w:cs="Arial"/>
          <w:szCs w:val="22"/>
        </w:rPr>
        <w:t xml:space="preserve"> vybralo </w:t>
      </w:r>
      <w:r w:rsidRPr="00DB6743">
        <w:rPr>
          <w:rFonts w:cs="Arial"/>
          <w:szCs w:val="22"/>
        </w:rPr>
        <w:t xml:space="preserve">MV </w:t>
      </w:r>
      <w:r w:rsidR="00A05643" w:rsidRPr="00DB6743">
        <w:rPr>
          <w:rFonts w:cs="Arial"/>
          <w:szCs w:val="22"/>
        </w:rPr>
        <w:t>komodity</w:t>
      </w:r>
      <w:r w:rsidR="00395D91">
        <w:rPr>
          <w:rFonts w:cs="Arial"/>
          <w:szCs w:val="22"/>
        </w:rPr>
        <w:t>:</w:t>
      </w:r>
      <w:r w:rsidR="00A05643" w:rsidRPr="00DB6743">
        <w:rPr>
          <w:rFonts w:cs="Arial"/>
          <w:szCs w:val="22"/>
        </w:rPr>
        <w:t xml:space="preserve"> </w:t>
      </w:r>
      <w:r w:rsidR="00A05643">
        <w:rPr>
          <w:rFonts w:cs="Arial"/>
          <w:szCs w:val="22"/>
        </w:rPr>
        <w:t>xerografický</w:t>
      </w:r>
      <w:r w:rsidR="00A05643" w:rsidRPr="00DB6743">
        <w:rPr>
          <w:rFonts w:cs="Arial"/>
          <w:szCs w:val="22"/>
        </w:rPr>
        <w:t xml:space="preserve"> papír, </w:t>
      </w:r>
      <w:r w:rsidR="00A05643">
        <w:rPr>
          <w:rFonts w:cs="Arial"/>
          <w:szCs w:val="22"/>
        </w:rPr>
        <w:t>výpočetní technika</w:t>
      </w:r>
      <w:r w:rsidR="00A05643" w:rsidRPr="00DB6743">
        <w:rPr>
          <w:rFonts w:cs="Arial"/>
          <w:szCs w:val="22"/>
        </w:rPr>
        <w:t>, pohonné hmoty</w:t>
      </w:r>
      <w:r w:rsidR="001149BB">
        <w:rPr>
          <w:rFonts w:cs="Arial"/>
          <w:szCs w:val="22"/>
        </w:rPr>
        <w:t>,</w:t>
      </w:r>
      <w:r w:rsidR="00A05643" w:rsidRPr="00DB6743">
        <w:rPr>
          <w:rFonts w:cs="Arial"/>
          <w:szCs w:val="22"/>
        </w:rPr>
        <w:t xml:space="preserve"> nábytek a pneumatiky</w:t>
      </w:r>
      <w:r w:rsidR="00442BB3">
        <w:rPr>
          <w:rFonts w:cs="Arial"/>
          <w:szCs w:val="22"/>
        </w:rPr>
        <w:t xml:space="preserve"> a p</w:t>
      </w:r>
      <w:r w:rsidR="00A05643" w:rsidRPr="00DB6743">
        <w:rPr>
          <w:rFonts w:cs="Arial"/>
          <w:szCs w:val="22"/>
        </w:rPr>
        <w:t>ro každý další rok seznam komodit rozšiřovalo.</w:t>
      </w:r>
      <w:r w:rsidR="009F7542">
        <w:rPr>
          <w:rFonts w:cs="Arial"/>
          <w:szCs w:val="22"/>
        </w:rPr>
        <w:t xml:space="preserve"> Komodity a j</w:t>
      </w:r>
      <w:r w:rsidRPr="00442BB3">
        <w:rPr>
          <w:rFonts w:cs="Arial"/>
          <w:szCs w:val="22"/>
        </w:rPr>
        <w:t xml:space="preserve">ejich jednotlivé </w:t>
      </w:r>
      <w:r w:rsidRPr="009F7542">
        <w:rPr>
          <w:rFonts w:cs="Arial"/>
          <w:szCs w:val="22"/>
        </w:rPr>
        <w:t>položky</w:t>
      </w:r>
      <w:r w:rsidRPr="00442BB3">
        <w:rPr>
          <w:rFonts w:cs="Arial"/>
          <w:szCs w:val="22"/>
        </w:rPr>
        <w:t xml:space="preserve"> schvaloval ministr vnitra pro každý rok zvlášť</w:t>
      </w:r>
      <w:r>
        <w:rPr>
          <w:rFonts w:cs="Arial"/>
          <w:szCs w:val="22"/>
        </w:rPr>
        <w:t>.</w:t>
      </w:r>
      <w:r w:rsidRPr="00B833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Kritéria</w:t>
      </w:r>
      <w:r w:rsidRPr="00442BB3">
        <w:rPr>
          <w:rFonts w:cs="Arial"/>
          <w:szCs w:val="22"/>
        </w:rPr>
        <w:t xml:space="preserve"> pro zařazení či vyř</w:t>
      </w:r>
      <w:r>
        <w:rPr>
          <w:rFonts w:cs="Arial"/>
          <w:szCs w:val="22"/>
        </w:rPr>
        <w:t xml:space="preserve">azení </w:t>
      </w:r>
      <w:r w:rsidR="00952827">
        <w:rPr>
          <w:rFonts w:cs="Arial"/>
          <w:szCs w:val="22"/>
        </w:rPr>
        <w:t xml:space="preserve">určité </w:t>
      </w:r>
      <w:r>
        <w:rPr>
          <w:rFonts w:cs="Arial"/>
          <w:szCs w:val="22"/>
        </w:rPr>
        <w:t xml:space="preserve">komodity </w:t>
      </w:r>
      <w:r w:rsidR="00952827">
        <w:rPr>
          <w:rFonts w:cs="Arial"/>
          <w:szCs w:val="22"/>
        </w:rPr>
        <w:t>MV ne</w:t>
      </w:r>
      <w:r>
        <w:rPr>
          <w:rFonts w:cs="Arial"/>
          <w:szCs w:val="22"/>
        </w:rPr>
        <w:t>urč</w:t>
      </w:r>
      <w:r w:rsidR="00952827">
        <w:rPr>
          <w:rFonts w:cs="Arial"/>
          <w:szCs w:val="22"/>
        </w:rPr>
        <w:t>ilo a</w:t>
      </w:r>
      <w:r w:rsidR="00D71802">
        <w:rPr>
          <w:rFonts w:cs="Arial"/>
          <w:szCs w:val="22"/>
        </w:rPr>
        <w:t xml:space="preserve"> v průběhu kontroly </w:t>
      </w:r>
      <w:r w:rsidR="00AE74CB">
        <w:rPr>
          <w:rFonts w:cs="Arial"/>
          <w:szCs w:val="22"/>
        </w:rPr>
        <w:t>sdělilo, že se</w:t>
      </w:r>
      <w:r w:rsidR="00952827">
        <w:rPr>
          <w:rFonts w:cs="Arial"/>
          <w:szCs w:val="22"/>
        </w:rPr>
        <w:t xml:space="preserve"> </w:t>
      </w:r>
      <w:r w:rsidR="00AE74CB">
        <w:rPr>
          <w:rFonts w:cs="Arial"/>
          <w:szCs w:val="22"/>
        </w:rPr>
        <w:t>ř</w:t>
      </w:r>
      <w:r w:rsidRPr="00442BB3">
        <w:rPr>
          <w:rFonts w:cs="Arial"/>
          <w:szCs w:val="22"/>
        </w:rPr>
        <w:t>ídilo výš</w:t>
      </w:r>
      <w:r w:rsidR="00952827">
        <w:rPr>
          <w:rFonts w:cs="Arial"/>
          <w:szCs w:val="22"/>
        </w:rPr>
        <w:t>í</w:t>
      </w:r>
      <w:r w:rsidRPr="00442BB3">
        <w:rPr>
          <w:rFonts w:cs="Arial"/>
          <w:szCs w:val="22"/>
        </w:rPr>
        <w:t xml:space="preserve"> objemů nákupů uskutečněných v předchozích letech.</w:t>
      </w:r>
    </w:p>
    <w:p w:rsidR="00B83308" w:rsidRDefault="00B83308" w:rsidP="007F427C">
      <w:pPr>
        <w:pStyle w:val="ARNORMAL"/>
        <w:jc w:val="both"/>
        <w:rPr>
          <w:rFonts w:cs="Arial"/>
          <w:szCs w:val="22"/>
        </w:rPr>
      </w:pPr>
    </w:p>
    <w:p w:rsidR="00952827" w:rsidRDefault="00997BCE" w:rsidP="007F427C">
      <w:pPr>
        <w:pStyle w:val="ARNORMAL"/>
        <w:jc w:val="both"/>
        <w:rPr>
          <w:rFonts w:cs="Arial"/>
          <w:szCs w:val="22"/>
        </w:rPr>
      </w:pPr>
      <w:r>
        <w:rPr>
          <w:rFonts w:cs="Arial"/>
          <w:szCs w:val="22"/>
        </w:rPr>
        <w:t>Ke kontrole NKÚ byly vybrány komodity</w:t>
      </w:r>
      <w:r w:rsidR="001149BB">
        <w:rPr>
          <w:rFonts w:cs="Arial"/>
          <w:szCs w:val="22"/>
        </w:rPr>
        <w:t xml:space="preserve">: pohonné hmoty </w:t>
      </w:r>
      <w:r w:rsidR="00937B12">
        <w:rPr>
          <w:rFonts w:cs="Arial"/>
          <w:szCs w:val="22"/>
        </w:rPr>
        <w:t>(</w:t>
      </w:r>
      <w:r w:rsidR="001149BB">
        <w:rPr>
          <w:rFonts w:cs="Arial"/>
          <w:szCs w:val="22"/>
        </w:rPr>
        <w:t xml:space="preserve">u </w:t>
      </w:r>
      <w:r w:rsidR="00937B12">
        <w:rPr>
          <w:rFonts w:cs="Arial"/>
          <w:szCs w:val="22"/>
        </w:rPr>
        <w:t xml:space="preserve">této komodity </w:t>
      </w:r>
      <w:r w:rsidR="001149BB">
        <w:rPr>
          <w:rFonts w:cs="Arial"/>
          <w:szCs w:val="22"/>
        </w:rPr>
        <w:t>tvořil nákup</w:t>
      </w:r>
      <w:r w:rsidR="001956B6">
        <w:rPr>
          <w:rFonts w:cs="Arial"/>
          <w:szCs w:val="22"/>
        </w:rPr>
        <w:t xml:space="preserve"> </w:t>
      </w:r>
      <w:r w:rsidR="00FF54A3">
        <w:rPr>
          <w:rFonts w:cs="Arial"/>
          <w:szCs w:val="22"/>
        </w:rPr>
        <w:t>v </w:t>
      </w:r>
      <w:r w:rsidR="001149BB">
        <w:rPr>
          <w:rFonts w:cs="Arial"/>
          <w:szCs w:val="22"/>
        </w:rPr>
        <w:t xml:space="preserve">průměru 30,66 % </w:t>
      </w:r>
      <w:r w:rsidR="001956B6">
        <w:rPr>
          <w:rFonts w:cs="Arial"/>
          <w:szCs w:val="22"/>
        </w:rPr>
        <w:t xml:space="preserve">celkového </w:t>
      </w:r>
      <w:r w:rsidR="001149BB">
        <w:rPr>
          <w:rFonts w:cs="Arial"/>
          <w:szCs w:val="22"/>
        </w:rPr>
        <w:t xml:space="preserve">finančního objemu </w:t>
      </w:r>
      <w:proofErr w:type="spellStart"/>
      <w:r w:rsidR="001149BB">
        <w:rPr>
          <w:rFonts w:cs="Arial"/>
          <w:szCs w:val="22"/>
        </w:rPr>
        <w:t>CN</w:t>
      </w:r>
      <w:proofErr w:type="spellEnd"/>
      <w:r w:rsidR="001149BB">
        <w:rPr>
          <w:rFonts w:cs="Arial"/>
          <w:szCs w:val="22"/>
        </w:rPr>
        <w:t>/CZ</w:t>
      </w:r>
      <w:r w:rsidR="00937B12">
        <w:rPr>
          <w:rFonts w:cs="Arial"/>
          <w:szCs w:val="22"/>
        </w:rPr>
        <w:t>)</w:t>
      </w:r>
      <w:r w:rsidR="00952827">
        <w:rPr>
          <w:rFonts w:cs="Arial"/>
          <w:szCs w:val="22"/>
        </w:rPr>
        <w:t>,</w:t>
      </w:r>
      <w:r w:rsidR="001956B6">
        <w:rPr>
          <w:rFonts w:cs="Arial"/>
          <w:szCs w:val="22"/>
        </w:rPr>
        <w:t xml:space="preserve"> dále </w:t>
      </w:r>
      <w:r w:rsidR="001149BB">
        <w:rPr>
          <w:rFonts w:cs="Arial"/>
          <w:szCs w:val="22"/>
        </w:rPr>
        <w:t>xerografický papír</w:t>
      </w:r>
      <w:r>
        <w:rPr>
          <w:rFonts w:cs="Arial"/>
          <w:szCs w:val="22"/>
        </w:rPr>
        <w:t xml:space="preserve"> </w:t>
      </w:r>
      <w:r w:rsidR="001956B6">
        <w:rPr>
          <w:rFonts w:cs="Arial"/>
          <w:szCs w:val="22"/>
        </w:rPr>
        <w:t>(podíl 4,38</w:t>
      </w:r>
      <w:r w:rsidR="00937B12">
        <w:rPr>
          <w:rFonts w:cs="Arial"/>
          <w:szCs w:val="22"/>
        </w:rPr>
        <w:t> </w:t>
      </w:r>
      <w:r w:rsidR="001956B6">
        <w:rPr>
          <w:rFonts w:cs="Arial"/>
          <w:szCs w:val="22"/>
        </w:rPr>
        <w:t xml:space="preserve">%) </w:t>
      </w:r>
      <w:r>
        <w:rPr>
          <w:rFonts w:cs="Arial"/>
          <w:szCs w:val="22"/>
        </w:rPr>
        <w:t>a</w:t>
      </w:r>
      <w:r w:rsidR="003148D4">
        <w:rPr>
          <w:rFonts w:cs="Arial"/>
          <w:szCs w:val="22"/>
        </w:rPr>
        <w:t> </w:t>
      </w:r>
      <w:r>
        <w:rPr>
          <w:rFonts w:cs="Arial"/>
          <w:szCs w:val="22"/>
        </w:rPr>
        <w:t>ele</w:t>
      </w:r>
      <w:r w:rsidR="001149BB">
        <w:rPr>
          <w:rFonts w:cs="Arial"/>
          <w:szCs w:val="22"/>
        </w:rPr>
        <w:t>ktrická energie</w:t>
      </w:r>
      <w:r w:rsidR="009F7542">
        <w:rPr>
          <w:rFonts w:cs="Arial"/>
          <w:szCs w:val="22"/>
        </w:rPr>
        <w:t xml:space="preserve"> (podíl 18,29 %)</w:t>
      </w:r>
      <w:r w:rsidR="00B072BD">
        <w:rPr>
          <w:rFonts w:cs="Arial"/>
          <w:szCs w:val="22"/>
        </w:rPr>
        <w:t>,</w:t>
      </w:r>
      <w:r w:rsidR="009F7542">
        <w:rPr>
          <w:rFonts w:cs="Arial"/>
          <w:szCs w:val="22"/>
        </w:rPr>
        <w:t xml:space="preserve"> jak vyplývá z tabulky č. 1.</w:t>
      </w:r>
    </w:p>
    <w:p w:rsidR="002D0A6E" w:rsidRDefault="002D0A6E" w:rsidP="007F427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5520C" w:rsidRDefault="0035520C" w:rsidP="0022756A">
      <w:pPr>
        <w:spacing w:after="0" w:line="240" w:lineRule="auto"/>
        <w:ind w:left="1531" w:hanging="1531"/>
        <w:jc w:val="both"/>
        <w:rPr>
          <w:rFonts w:ascii="Arial" w:hAnsi="Arial" w:cs="Arial"/>
          <w:b/>
          <w:bCs/>
        </w:rPr>
      </w:pPr>
      <w:r w:rsidRPr="002C14EB">
        <w:rPr>
          <w:rFonts w:ascii="Arial" w:hAnsi="Arial" w:cs="Arial"/>
          <w:b/>
          <w:bCs/>
        </w:rPr>
        <w:t>Tabulka č. 1</w:t>
      </w:r>
      <w:r w:rsidR="00B072BD">
        <w:rPr>
          <w:rFonts w:ascii="Arial" w:hAnsi="Arial" w:cs="Arial"/>
          <w:b/>
          <w:bCs/>
        </w:rPr>
        <w:t xml:space="preserve"> – </w:t>
      </w:r>
      <w:r w:rsidRPr="002C14EB">
        <w:rPr>
          <w:rFonts w:ascii="Arial" w:hAnsi="Arial" w:cs="Arial"/>
          <w:b/>
          <w:bCs/>
        </w:rPr>
        <w:t xml:space="preserve">Podíl </w:t>
      </w:r>
      <w:r w:rsidR="00B072BD">
        <w:rPr>
          <w:rFonts w:ascii="Arial" w:hAnsi="Arial" w:cs="Arial"/>
          <w:b/>
          <w:bCs/>
        </w:rPr>
        <w:t xml:space="preserve">vybraných </w:t>
      </w:r>
      <w:r w:rsidRPr="002C14EB">
        <w:rPr>
          <w:rFonts w:ascii="Arial" w:hAnsi="Arial" w:cs="Arial"/>
          <w:b/>
          <w:bCs/>
        </w:rPr>
        <w:t xml:space="preserve">komodit </w:t>
      </w:r>
      <w:r w:rsidR="00D553A7">
        <w:rPr>
          <w:rFonts w:ascii="Arial" w:hAnsi="Arial" w:cs="Arial"/>
          <w:b/>
          <w:bCs/>
        </w:rPr>
        <w:t>n</w:t>
      </w:r>
      <w:r w:rsidR="00B76FF0">
        <w:rPr>
          <w:rFonts w:ascii="Arial" w:hAnsi="Arial" w:cs="Arial"/>
          <w:b/>
          <w:bCs/>
        </w:rPr>
        <w:t>a celkovém objemu</w:t>
      </w:r>
      <w:r w:rsidR="00D553A7">
        <w:rPr>
          <w:rFonts w:ascii="Arial" w:hAnsi="Arial" w:cs="Arial"/>
          <w:b/>
          <w:bCs/>
        </w:rPr>
        <w:t xml:space="preserve"> </w:t>
      </w:r>
      <w:r w:rsidRPr="00DB2E64">
        <w:rPr>
          <w:rFonts w:ascii="Arial" w:hAnsi="Arial" w:cs="Arial"/>
          <w:b/>
          <w:bCs/>
        </w:rPr>
        <w:t>nákupů</w:t>
      </w:r>
      <w:r w:rsidRPr="002C14EB">
        <w:rPr>
          <w:rFonts w:ascii="Arial" w:hAnsi="Arial" w:cs="Arial"/>
          <w:b/>
          <w:bCs/>
        </w:rPr>
        <w:t xml:space="preserve"> </w:t>
      </w:r>
      <w:r w:rsidR="00281A5E">
        <w:rPr>
          <w:rFonts w:ascii="Arial" w:hAnsi="Arial" w:cs="Arial"/>
          <w:b/>
          <w:bCs/>
        </w:rPr>
        <w:t xml:space="preserve">v rámci </w:t>
      </w:r>
      <w:proofErr w:type="spellStart"/>
      <w:r w:rsidRPr="002C14EB">
        <w:rPr>
          <w:rFonts w:ascii="Arial" w:hAnsi="Arial" w:cs="Arial"/>
          <w:b/>
          <w:bCs/>
        </w:rPr>
        <w:t>C</w:t>
      </w:r>
      <w:r w:rsidR="001956B6">
        <w:rPr>
          <w:rFonts w:ascii="Arial" w:hAnsi="Arial" w:cs="Arial"/>
          <w:b/>
          <w:bCs/>
        </w:rPr>
        <w:t>N</w:t>
      </w:r>
      <w:proofErr w:type="spellEnd"/>
      <w:r w:rsidR="001956B6">
        <w:rPr>
          <w:rFonts w:ascii="Arial" w:hAnsi="Arial" w:cs="Arial"/>
          <w:b/>
          <w:bCs/>
        </w:rPr>
        <w:t>/C</w:t>
      </w:r>
      <w:r w:rsidR="00A04A16">
        <w:rPr>
          <w:rFonts w:ascii="Arial" w:hAnsi="Arial" w:cs="Arial"/>
          <w:b/>
          <w:bCs/>
        </w:rPr>
        <w:t>Z</w:t>
      </w:r>
      <w:r w:rsidR="00B072BD">
        <w:rPr>
          <w:rFonts w:ascii="Arial" w:hAnsi="Arial" w:cs="Arial"/>
          <w:b/>
          <w:bCs/>
        </w:rPr>
        <w:t xml:space="preserve"> ve sledovaných letech </w:t>
      </w:r>
    </w:p>
    <w:tbl>
      <w:tblPr>
        <w:tblStyle w:val="Mkatabulky"/>
        <w:tblW w:w="90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275"/>
        <w:gridCol w:w="851"/>
        <w:gridCol w:w="1276"/>
        <w:gridCol w:w="851"/>
        <w:gridCol w:w="1276"/>
        <w:gridCol w:w="851"/>
      </w:tblGrid>
      <w:tr w:rsidR="002479D1" w:rsidRPr="00C23787" w:rsidTr="0022756A">
        <w:trPr>
          <w:trHeight w:val="308"/>
        </w:trPr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0008E4" w:rsidRPr="00494BC6" w:rsidRDefault="000008E4" w:rsidP="002479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Období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</w:tcPr>
          <w:p w:rsidR="000008E4" w:rsidRPr="00494BC6" w:rsidRDefault="000008E4" w:rsidP="0022756A">
            <w:pPr>
              <w:ind w:left="-113" w:right="-108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Objem</w:t>
            </w:r>
            <w:r w:rsidR="00C23787" w:rsidRPr="00494B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nákupů</w:t>
            </w:r>
            <w:r w:rsidR="00B072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prostřednictvím</w:t>
            </w:r>
          </w:p>
          <w:p w:rsidR="000008E4" w:rsidRPr="00494BC6" w:rsidRDefault="000008E4" w:rsidP="0022756A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proofErr w:type="spellStart"/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CN</w:t>
            </w:r>
            <w:proofErr w:type="spellEnd"/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/CZ</w:t>
            </w:r>
            <w:r w:rsidR="00C23787" w:rsidRPr="00494B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v Kč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:rsidR="000008E4" w:rsidRPr="00494BC6" w:rsidRDefault="00B072BD" w:rsidP="00B072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Elektrická</w:t>
            </w:r>
            <w:r w:rsidR="000008E4" w:rsidRPr="00494B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energie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:rsidR="000008E4" w:rsidRPr="00494BC6" w:rsidRDefault="000008E4" w:rsidP="002479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PHM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:rsidR="000008E4" w:rsidRPr="00494BC6" w:rsidRDefault="00B072BD" w:rsidP="00B072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Xerografický</w:t>
            </w:r>
            <w:r w:rsidR="000008E4" w:rsidRPr="00494B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papír</w:t>
            </w:r>
          </w:p>
        </w:tc>
      </w:tr>
      <w:tr w:rsidR="002479D1" w:rsidRPr="00C23787" w:rsidTr="0022756A">
        <w:trPr>
          <w:trHeight w:val="307"/>
        </w:trPr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0008E4" w:rsidRPr="00494BC6" w:rsidRDefault="000008E4" w:rsidP="00AA1F2E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DBE5F1" w:themeFill="accent1" w:themeFillTint="33"/>
            <w:vAlign w:val="center"/>
          </w:tcPr>
          <w:p w:rsidR="000008E4" w:rsidRPr="00494BC6" w:rsidRDefault="000008E4" w:rsidP="00AA1F2E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0008E4" w:rsidRPr="00494BC6" w:rsidRDefault="000008E4" w:rsidP="00AA1F2E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v Kč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008E4" w:rsidRPr="00494BC6" w:rsidRDefault="000008E4" w:rsidP="00AA1F2E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v %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008E4" w:rsidRPr="00494BC6" w:rsidRDefault="000008E4" w:rsidP="00AA1F2E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v Kč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008E4" w:rsidRPr="00494BC6" w:rsidRDefault="000008E4" w:rsidP="0022756A">
            <w:pPr>
              <w:ind w:left="-108" w:right="34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v %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008E4" w:rsidRPr="00494BC6" w:rsidRDefault="000008E4" w:rsidP="002479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v Kč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008E4" w:rsidRPr="00494BC6" w:rsidRDefault="000008E4" w:rsidP="002479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v %</w:t>
            </w:r>
          </w:p>
        </w:tc>
      </w:tr>
      <w:tr w:rsidR="002479D1" w:rsidRPr="00C23787" w:rsidTr="0022756A">
        <w:trPr>
          <w:trHeight w:val="227"/>
        </w:trPr>
        <w:tc>
          <w:tcPr>
            <w:tcW w:w="1134" w:type="dxa"/>
            <w:vAlign w:val="center"/>
          </w:tcPr>
          <w:p w:rsidR="0035520C" w:rsidRPr="00494BC6" w:rsidRDefault="0035520C" w:rsidP="006163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2008–2009</w:t>
            </w:r>
          </w:p>
        </w:tc>
        <w:tc>
          <w:tcPr>
            <w:tcW w:w="1560" w:type="dxa"/>
            <w:vAlign w:val="center"/>
          </w:tcPr>
          <w:p w:rsidR="0035520C" w:rsidRPr="00494BC6" w:rsidRDefault="0035520C" w:rsidP="000E0FF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392 559 836</w:t>
            </w:r>
          </w:p>
        </w:tc>
        <w:tc>
          <w:tcPr>
            <w:tcW w:w="1275" w:type="dxa"/>
            <w:vAlign w:val="center"/>
          </w:tcPr>
          <w:p w:rsidR="0035520C" w:rsidRPr="0022756A" w:rsidRDefault="0035520C" w:rsidP="002275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5520C" w:rsidRPr="00494BC6" w:rsidRDefault="0035520C" w:rsidP="0022756A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5520C" w:rsidRPr="00494BC6" w:rsidRDefault="0035520C" w:rsidP="0061636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133 768 069</w:t>
            </w:r>
          </w:p>
        </w:tc>
        <w:tc>
          <w:tcPr>
            <w:tcW w:w="850" w:type="dxa"/>
            <w:vAlign w:val="center"/>
          </w:tcPr>
          <w:p w:rsidR="0035520C" w:rsidRPr="00494BC6" w:rsidRDefault="0035520C" w:rsidP="000E0F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34,08</w:t>
            </w:r>
          </w:p>
        </w:tc>
        <w:tc>
          <w:tcPr>
            <w:tcW w:w="1276" w:type="dxa"/>
            <w:vAlign w:val="center"/>
          </w:tcPr>
          <w:p w:rsidR="0035520C" w:rsidRPr="00494BC6" w:rsidRDefault="0035520C" w:rsidP="0022756A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42 489 785</w:t>
            </w:r>
          </w:p>
        </w:tc>
        <w:tc>
          <w:tcPr>
            <w:tcW w:w="850" w:type="dxa"/>
            <w:vAlign w:val="center"/>
          </w:tcPr>
          <w:p w:rsidR="0035520C" w:rsidRPr="00494BC6" w:rsidRDefault="0035520C" w:rsidP="0022756A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10,82</w:t>
            </w:r>
          </w:p>
        </w:tc>
      </w:tr>
      <w:tr w:rsidR="002479D1" w:rsidRPr="00C23787" w:rsidTr="0022756A">
        <w:trPr>
          <w:trHeight w:val="227"/>
        </w:trPr>
        <w:tc>
          <w:tcPr>
            <w:tcW w:w="1134" w:type="dxa"/>
            <w:vAlign w:val="center"/>
          </w:tcPr>
          <w:p w:rsidR="0035520C" w:rsidRPr="00494BC6" w:rsidRDefault="0035520C" w:rsidP="002479D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2010</w:t>
            </w:r>
          </w:p>
        </w:tc>
        <w:tc>
          <w:tcPr>
            <w:tcW w:w="1560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600 009 310</w:t>
            </w:r>
          </w:p>
        </w:tc>
        <w:tc>
          <w:tcPr>
            <w:tcW w:w="1275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114 262 267</w:t>
            </w:r>
          </w:p>
        </w:tc>
        <w:tc>
          <w:tcPr>
            <w:tcW w:w="851" w:type="dxa"/>
            <w:vAlign w:val="center"/>
          </w:tcPr>
          <w:p w:rsidR="0035520C" w:rsidRPr="00494BC6" w:rsidRDefault="0035520C" w:rsidP="002479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19,04</w:t>
            </w:r>
          </w:p>
        </w:tc>
        <w:tc>
          <w:tcPr>
            <w:tcW w:w="1276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264 051 163</w:t>
            </w:r>
          </w:p>
        </w:tc>
        <w:tc>
          <w:tcPr>
            <w:tcW w:w="850" w:type="dxa"/>
            <w:vAlign w:val="center"/>
          </w:tcPr>
          <w:p w:rsidR="0035520C" w:rsidRPr="00494BC6" w:rsidRDefault="0035520C" w:rsidP="002479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44,01</w:t>
            </w:r>
          </w:p>
        </w:tc>
        <w:tc>
          <w:tcPr>
            <w:tcW w:w="1276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31 295 232</w:t>
            </w:r>
          </w:p>
        </w:tc>
        <w:tc>
          <w:tcPr>
            <w:tcW w:w="850" w:type="dxa"/>
            <w:vAlign w:val="center"/>
          </w:tcPr>
          <w:p w:rsidR="0035520C" w:rsidRPr="00494BC6" w:rsidRDefault="0035520C" w:rsidP="0022756A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5,22</w:t>
            </w:r>
          </w:p>
        </w:tc>
      </w:tr>
      <w:tr w:rsidR="002479D1" w:rsidRPr="00C23787" w:rsidTr="0022756A">
        <w:trPr>
          <w:trHeight w:val="227"/>
        </w:trPr>
        <w:tc>
          <w:tcPr>
            <w:tcW w:w="1134" w:type="dxa"/>
            <w:vAlign w:val="center"/>
          </w:tcPr>
          <w:p w:rsidR="0035520C" w:rsidRPr="00494BC6" w:rsidRDefault="0035520C" w:rsidP="002479D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560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881 758 182</w:t>
            </w:r>
          </w:p>
        </w:tc>
        <w:tc>
          <w:tcPr>
            <w:tcW w:w="1275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218 792 765</w:t>
            </w:r>
          </w:p>
        </w:tc>
        <w:tc>
          <w:tcPr>
            <w:tcW w:w="851" w:type="dxa"/>
            <w:vAlign w:val="center"/>
          </w:tcPr>
          <w:p w:rsidR="0035520C" w:rsidRPr="00494BC6" w:rsidRDefault="0035520C" w:rsidP="002479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24,81</w:t>
            </w:r>
          </w:p>
        </w:tc>
        <w:tc>
          <w:tcPr>
            <w:tcW w:w="1276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178 280 457</w:t>
            </w:r>
          </w:p>
        </w:tc>
        <w:tc>
          <w:tcPr>
            <w:tcW w:w="850" w:type="dxa"/>
            <w:vAlign w:val="center"/>
          </w:tcPr>
          <w:p w:rsidR="0035520C" w:rsidRPr="00494BC6" w:rsidRDefault="0035520C" w:rsidP="002479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20,22</w:t>
            </w:r>
          </w:p>
        </w:tc>
        <w:tc>
          <w:tcPr>
            <w:tcW w:w="1276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28 667 934</w:t>
            </w:r>
          </w:p>
        </w:tc>
        <w:tc>
          <w:tcPr>
            <w:tcW w:w="850" w:type="dxa"/>
            <w:vAlign w:val="center"/>
          </w:tcPr>
          <w:p w:rsidR="0035520C" w:rsidRPr="00494BC6" w:rsidRDefault="0035520C" w:rsidP="0022756A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3,25</w:t>
            </w:r>
          </w:p>
        </w:tc>
      </w:tr>
      <w:tr w:rsidR="002479D1" w:rsidRPr="00C23787" w:rsidTr="0022756A">
        <w:trPr>
          <w:trHeight w:val="227"/>
        </w:trPr>
        <w:tc>
          <w:tcPr>
            <w:tcW w:w="1134" w:type="dxa"/>
            <w:vAlign w:val="center"/>
          </w:tcPr>
          <w:p w:rsidR="0035520C" w:rsidRPr="00494BC6" w:rsidRDefault="0035520C" w:rsidP="002479D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1560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986 323 855</w:t>
            </w:r>
          </w:p>
        </w:tc>
        <w:tc>
          <w:tcPr>
            <w:tcW w:w="1275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190 255 809</w:t>
            </w:r>
          </w:p>
        </w:tc>
        <w:tc>
          <w:tcPr>
            <w:tcW w:w="851" w:type="dxa"/>
            <w:vAlign w:val="center"/>
          </w:tcPr>
          <w:p w:rsidR="0035520C" w:rsidRPr="00494BC6" w:rsidRDefault="0035520C" w:rsidP="002479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19,29</w:t>
            </w:r>
          </w:p>
        </w:tc>
        <w:tc>
          <w:tcPr>
            <w:tcW w:w="1276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300 915 228</w:t>
            </w:r>
          </w:p>
        </w:tc>
        <w:tc>
          <w:tcPr>
            <w:tcW w:w="850" w:type="dxa"/>
            <w:vAlign w:val="center"/>
          </w:tcPr>
          <w:p w:rsidR="0035520C" w:rsidRPr="00494BC6" w:rsidRDefault="0035520C" w:rsidP="002479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30,51</w:t>
            </w:r>
          </w:p>
        </w:tc>
        <w:tc>
          <w:tcPr>
            <w:tcW w:w="1276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22 878 435</w:t>
            </w:r>
          </w:p>
        </w:tc>
        <w:tc>
          <w:tcPr>
            <w:tcW w:w="850" w:type="dxa"/>
            <w:vAlign w:val="center"/>
          </w:tcPr>
          <w:p w:rsidR="0035520C" w:rsidRPr="00494BC6" w:rsidRDefault="0035520C" w:rsidP="0022756A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Cs/>
                <w:sz w:val="18"/>
                <w:szCs w:val="18"/>
              </w:rPr>
              <w:t>2,32</w:t>
            </w:r>
          </w:p>
        </w:tc>
      </w:tr>
      <w:tr w:rsidR="002479D1" w:rsidRPr="00C23787" w:rsidTr="0022756A">
        <w:trPr>
          <w:trHeight w:val="227"/>
        </w:trPr>
        <w:tc>
          <w:tcPr>
            <w:tcW w:w="1134" w:type="dxa"/>
            <w:vAlign w:val="center"/>
          </w:tcPr>
          <w:p w:rsidR="0035520C" w:rsidRPr="00494BC6" w:rsidRDefault="0035520C" w:rsidP="002479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560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2 860 651 183</w:t>
            </w:r>
          </w:p>
        </w:tc>
        <w:tc>
          <w:tcPr>
            <w:tcW w:w="1275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523 310 841</w:t>
            </w:r>
          </w:p>
        </w:tc>
        <w:tc>
          <w:tcPr>
            <w:tcW w:w="851" w:type="dxa"/>
            <w:vAlign w:val="center"/>
          </w:tcPr>
          <w:p w:rsidR="0035520C" w:rsidRPr="00494BC6" w:rsidRDefault="0035520C" w:rsidP="0022756A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877 014 917</w:t>
            </w:r>
          </w:p>
        </w:tc>
        <w:tc>
          <w:tcPr>
            <w:tcW w:w="850" w:type="dxa"/>
            <w:vAlign w:val="center"/>
          </w:tcPr>
          <w:p w:rsidR="0035520C" w:rsidRPr="00494BC6" w:rsidRDefault="0035520C" w:rsidP="0022756A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5520C" w:rsidRPr="00494BC6" w:rsidRDefault="0035520C" w:rsidP="002479D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BC6">
              <w:rPr>
                <w:rFonts w:ascii="Arial" w:hAnsi="Arial" w:cs="Arial"/>
                <w:b/>
                <w:bCs/>
                <w:sz w:val="18"/>
                <w:szCs w:val="18"/>
              </w:rPr>
              <w:t>125 331 386</w:t>
            </w:r>
          </w:p>
        </w:tc>
        <w:tc>
          <w:tcPr>
            <w:tcW w:w="850" w:type="dxa"/>
            <w:vAlign w:val="center"/>
          </w:tcPr>
          <w:p w:rsidR="0035520C" w:rsidRPr="00494BC6" w:rsidRDefault="0035520C" w:rsidP="0022756A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</w:tr>
    </w:tbl>
    <w:p w:rsidR="0035520C" w:rsidRPr="00C23787" w:rsidRDefault="0035520C" w:rsidP="007F42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94BC6">
        <w:rPr>
          <w:rFonts w:ascii="Arial" w:hAnsi="Arial" w:cs="Arial"/>
          <w:b/>
          <w:sz w:val="18"/>
          <w:szCs w:val="18"/>
        </w:rPr>
        <w:t>Zdroj:</w:t>
      </w:r>
      <w:r w:rsidRPr="00C23787">
        <w:rPr>
          <w:rFonts w:ascii="Arial" w:hAnsi="Arial" w:cs="Arial"/>
          <w:sz w:val="18"/>
          <w:szCs w:val="18"/>
        </w:rPr>
        <w:t xml:space="preserve"> </w:t>
      </w:r>
      <w:r w:rsidR="00B072BD">
        <w:rPr>
          <w:rFonts w:ascii="Arial" w:hAnsi="Arial" w:cs="Arial"/>
          <w:sz w:val="18"/>
          <w:szCs w:val="18"/>
        </w:rPr>
        <w:t>a</w:t>
      </w:r>
      <w:r w:rsidRPr="00C23787">
        <w:rPr>
          <w:rFonts w:ascii="Arial" w:hAnsi="Arial" w:cs="Arial"/>
          <w:sz w:val="18"/>
          <w:szCs w:val="18"/>
        </w:rPr>
        <w:t>nalýzy MV</w:t>
      </w:r>
      <w:r w:rsidR="006417C6" w:rsidRPr="00C23787">
        <w:rPr>
          <w:rFonts w:ascii="Arial" w:hAnsi="Arial" w:cs="Arial"/>
          <w:sz w:val="18"/>
          <w:szCs w:val="18"/>
        </w:rPr>
        <w:t>.</w:t>
      </w:r>
    </w:p>
    <w:p w:rsidR="00560EB1" w:rsidRDefault="00560EB1" w:rsidP="007F427C">
      <w:pPr>
        <w:pStyle w:val="ARNORMAL"/>
        <w:jc w:val="both"/>
        <w:rPr>
          <w:rFonts w:cs="Arial"/>
          <w:b/>
          <w:szCs w:val="22"/>
        </w:rPr>
      </w:pPr>
    </w:p>
    <w:p w:rsidR="006417C6" w:rsidRDefault="009F7542" w:rsidP="007F427C">
      <w:pPr>
        <w:pStyle w:val="ARNORMAL"/>
        <w:jc w:val="both"/>
        <w:rPr>
          <w:rFonts w:cs="Arial"/>
          <w:i/>
          <w:szCs w:val="22"/>
        </w:rPr>
      </w:pPr>
      <w:r>
        <w:rPr>
          <w:rFonts w:cs="Arial"/>
          <w:szCs w:val="22"/>
        </w:rPr>
        <w:t>P</w:t>
      </w:r>
      <w:r w:rsidRPr="00442BB3">
        <w:rPr>
          <w:rFonts w:cs="Arial"/>
          <w:szCs w:val="22"/>
        </w:rPr>
        <w:t xml:space="preserve">ro účely zajištění realizace </w:t>
      </w:r>
      <w:proofErr w:type="spellStart"/>
      <w:r w:rsidRPr="00442BB3">
        <w:rPr>
          <w:rFonts w:cs="Arial"/>
          <w:szCs w:val="22"/>
        </w:rPr>
        <w:t>C</w:t>
      </w:r>
      <w:r>
        <w:rPr>
          <w:rFonts w:cs="Arial"/>
          <w:szCs w:val="22"/>
        </w:rPr>
        <w:t>N</w:t>
      </w:r>
      <w:proofErr w:type="spellEnd"/>
      <w:r w:rsidRPr="00442BB3">
        <w:rPr>
          <w:rFonts w:cs="Arial"/>
          <w:szCs w:val="22"/>
        </w:rPr>
        <w:t xml:space="preserve"> </w:t>
      </w:r>
      <w:r w:rsidR="00616369">
        <w:rPr>
          <w:rFonts w:cs="Arial"/>
          <w:szCs w:val="22"/>
        </w:rPr>
        <w:t xml:space="preserve">sice </w:t>
      </w:r>
      <w:r w:rsidR="00616369" w:rsidRPr="00442BB3">
        <w:rPr>
          <w:rFonts w:cs="Arial"/>
          <w:szCs w:val="22"/>
        </w:rPr>
        <w:t xml:space="preserve">MV </w:t>
      </w:r>
      <w:r w:rsidRPr="00442BB3">
        <w:rPr>
          <w:rFonts w:cs="Arial"/>
          <w:szCs w:val="22"/>
        </w:rPr>
        <w:t>vytvořilo specializovaný útvar</w:t>
      </w:r>
      <w:r>
        <w:rPr>
          <w:rFonts w:cs="Arial"/>
          <w:szCs w:val="22"/>
        </w:rPr>
        <w:t xml:space="preserve">, jak bylo ve výstupech externího dodavatele doporučeno, </w:t>
      </w:r>
      <w:r w:rsidR="00616369">
        <w:rPr>
          <w:rFonts w:cs="Arial"/>
          <w:szCs w:val="22"/>
        </w:rPr>
        <w:t>a</w:t>
      </w:r>
      <w:r w:rsidR="00616369">
        <w:rPr>
          <w:rFonts w:cs="Arial"/>
        </w:rPr>
        <w:t>však</w:t>
      </w:r>
      <w:r w:rsidR="00616369" w:rsidRPr="00442BB3">
        <w:rPr>
          <w:rFonts w:cs="Arial"/>
        </w:rPr>
        <w:t xml:space="preserve"> </w:t>
      </w:r>
      <w:r w:rsidRPr="00442BB3">
        <w:rPr>
          <w:rFonts w:cs="Arial"/>
        </w:rPr>
        <w:t>nezajistilo</w:t>
      </w:r>
      <w:r>
        <w:rPr>
          <w:rFonts w:cs="Arial"/>
        </w:rPr>
        <w:t xml:space="preserve"> </w:t>
      </w:r>
      <w:r w:rsidRPr="00442BB3">
        <w:rPr>
          <w:rFonts w:cs="Arial"/>
        </w:rPr>
        <w:t>funkční a personální oddělení činností spojených s</w:t>
      </w:r>
      <w:r w:rsidR="00E2327B">
        <w:rPr>
          <w:rFonts w:cs="Arial"/>
        </w:rPr>
        <w:t> </w:t>
      </w:r>
      <w:r w:rsidR="00E2327B" w:rsidRPr="00442BB3">
        <w:rPr>
          <w:rFonts w:cs="Arial"/>
        </w:rPr>
        <w:t>realizací</w:t>
      </w:r>
      <w:r w:rsidR="00E2327B">
        <w:rPr>
          <w:rFonts w:cs="Arial"/>
        </w:rPr>
        <w:t xml:space="preserve"> od činností spojených </w:t>
      </w:r>
      <w:r w:rsidR="00FF54A3">
        <w:rPr>
          <w:rFonts w:cs="Arial"/>
        </w:rPr>
        <w:t>s </w:t>
      </w:r>
      <w:r w:rsidR="00E2327B" w:rsidRPr="00442BB3">
        <w:rPr>
          <w:rFonts w:cs="Arial"/>
        </w:rPr>
        <w:t>řízením</w:t>
      </w:r>
      <w:r w:rsidRPr="00442BB3">
        <w:rPr>
          <w:rFonts w:cs="Arial"/>
        </w:rPr>
        <w:t>, monitorováním a</w:t>
      </w:r>
      <w:r w:rsidR="003A7082">
        <w:rPr>
          <w:rFonts w:cs="Arial"/>
        </w:rPr>
        <w:t> </w:t>
      </w:r>
      <w:r w:rsidRPr="00442BB3">
        <w:rPr>
          <w:rFonts w:cs="Arial"/>
        </w:rPr>
        <w:t>vy</w:t>
      </w:r>
      <w:r>
        <w:rPr>
          <w:rFonts w:cs="Arial"/>
        </w:rPr>
        <w:t>hodnocováním centrálního nákupu</w:t>
      </w:r>
      <w:r w:rsidR="00B83B59">
        <w:rPr>
          <w:rFonts w:cs="Arial"/>
        </w:rPr>
        <w:t>.</w:t>
      </w:r>
      <w:r w:rsidRPr="00442BB3">
        <w:rPr>
          <w:rFonts w:cs="Arial"/>
        </w:rPr>
        <w:t xml:space="preserve"> </w:t>
      </w:r>
    </w:p>
    <w:p w:rsidR="00FA3796" w:rsidRDefault="00FA3796" w:rsidP="007F427C">
      <w:pPr>
        <w:pStyle w:val="ARNORMAL"/>
        <w:jc w:val="both"/>
        <w:rPr>
          <w:rFonts w:cs="Arial"/>
          <w:i/>
          <w:szCs w:val="22"/>
        </w:rPr>
      </w:pPr>
    </w:p>
    <w:p w:rsidR="00872EE7" w:rsidRPr="006826ED" w:rsidRDefault="00B76FF0" w:rsidP="0022756A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Úspory vykazované MV</w:t>
      </w:r>
    </w:p>
    <w:p w:rsidR="00872EE7" w:rsidRDefault="00872EE7" w:rsidP="007F427C">
      <w:pPr>
        <w:spacing w:after="0" w:line="240" w:lineRule="auto"/>
        <w:jc w:val="both"/>
        <w:rPr>
          <w:rFonts w:ascii="Arial" w:hAnsi="Arial" w:cs="Arial"/>
        </w:rPr>
      </w:pPr>
    </w:p>
    <w:p w:rsidR="00BB7CF2" w:rsidRPr="00F00429" w:rsidRDefault="001956B6" w:rsidP="00BB7CF2">
      <w:pPr>
        <w:spacing w:after="0" w:line="240" w:lineRule="auto"/>
        <w:jc w:val="both"/>
        <w:rPr>
          <w:rFonts w:ascii="Arial" w:hAnsi="Arial" w:cs="Arial"/>
        </w:rPr>
      </w:pPr>
      <w:r w:rsidRPr="00F00429">
        <w:rPr>
          <w:rFonts w:ascii="Arial" w:hAnsi="Arial" w:cs="Arial"/>
        </w:rPr>
        <w:t xml:space="preserve">Podle analýzy externího dodavatele </w:t>
      </w:r>
      <w:r w:rsidR="00F00429" w:rsidRPr="00F00429">
        <w:rPr>
          <w:rFonts w:ascii="Arial" w:hAnsi="Arial" w:cs="Arial"/>
        </w:rPr>
        <w:t xml:space="preserve">mělo MV </w:t>
      </w:r>
      <w:r w:rsidRPr="00F00429">
        <w:rPr>
          <w:rFonts w:ascii="Arial" w:hAnsi="Arial" w:cs="Arial"/>
        </w:rPr>
        <w:t xml:space="preserve">do roku 2011 </w:t>
      </w:r>
      <w:r w:rsidR="00F00429" w:rsidRPr="00F00429">
        <w:rPr>
          <w:rFonts w:ascii="Arial" w:hAnsi="Arial" w:cs="Arial"/>
        </w:rPr>
        <w:t xml:space="preserve">dosáhnout </w:t>
      </w:r>
      <w:r w:rsidRPr="00F00429">
        <w:rPr>
          <w:rFonts w:ascii="Arial" w:hAnsi="Arial" w:cs="Arial"/>
        </w:rPr>
        <w:t>cca 2 mld</w:t>
      </w:r>
      <w:r w:rsidR="00F00429" w:rsidRPr="00F00429">
        <w:rPr>
          <w:rFonts w:ascii="Arial" w:hAnsi="Arial" w:cs="Arial"/>
        </w:rPr>
        <w:t>.</w:t>
      </w:r>
      <w:r w:rsidRPr="00F00429">
        <w:rPr>
          <w:rFonts w:ascii="Arial" w:hAnsi="Arial" w:cs="Arial"/>
        </w:rPr>
        <w:t xml:space="preserve"> Kč objemu nákupů </w:t>
      </w:r>
      <w:r w:rsidR="00616369" w:rsidRPr="0022756A">
        <w:rPr>
          <w:rFonts w:ascii="Arial" w:hAnsi="Arial" w:cs="Arial"/>
          <w:bCs/>
        </w:rPr>
        <w:t>prostřednictvím</w:t>
      </w:r>
      <w:r w:rsidR="00616369">
        <w:rPr>
          <w:rFonts w:ascii="Arial" w:hAnsi="Arial" w:cs="Arial"/>
        </w:rPr>
        <w:t xml:space="preserve"> </w:t>
      </w:r>
      <w:proofErr w:type="spellStart"/>
      <w:r w:rsidRPr="00F00429">
        <w:rPr>
          <w:rFonts w:ascii="Arial" w:hAnsi="Arial" w:cs="Arial"/>
        </w:rPr>
        <w:t>CN</w:t>
      </w:r>
      <w:proofErr w:type="spellEnd"/>
      <w:r w:rsidRPr="00F00429">
        <w:rPr>
          <w:rFonts w:ascii="Arial" w:hAnsi="Arial" w:cs="Arial"/>
        </w:rPr>
        <w:t xml:space="preserve"> a úspor</w:t>
      </w:r>
      <w:r w:rsidR="00F00429" w:rsidRPr="00F00429">
        <w:rPr>
          <w:rFonts w:ascii="Arial" w:hAnsi="Arial" w:cs="Arial"/>
        </w:rPr>
        <w:t>y</w:t>
      </w:r>
      <w:r w:rsidRPr="00F00429">
        <w:rPr>
          <w:rFonts w:ascii="Arial" w:hAnsi="Arial" w:cs="Arial"/>
        </w:rPr>
        <w:t xml:space="preserve"> ve výši 170 mil. Kč. </w:t>
      </w:r>
      <w:r w:rsidR="00F00429" w:rsidRPr="00F00429">
        <w:rPr>
          <w:rFonts w:ascii="Arial" w:hAnsi="Arial" w:cs="Arial"/>
        </w:rPr>
        <w:t xml:space="preserve">K tomuto </w:t>
      </w:r>
      <w:r w:rsidR="00D63D76">
        <w:rPr>
          <w:rFonts w:ascii="Arial" w:hAnsi="Arial" w:cs="Arial"/>
        </w:rPr>
        <w:t>období</w:t>
      </w:r>
      <w:r w:rsidR="00F00429" w:rsidRPr="00F00429">
        <w:rPr>
          <w:rFonts w:ascii="Arial" w:hAnsi="Arial" w:cs="Arial"/>
        </w:rPr>
        <w:t xml:space="preserve"> </w:t>
      </w:r>
      <w:r w:rsidRPr="00F00429">
        <w:rPr>
          <w:rFonts w:ascii="Arial" w:hAnsi="Arial" w:cs="Arial"/>
        </w:rPr>
        <w:t xml:space="preserve">MV vykázalo nákupy v rámci </w:t>
      </w:r>
      <w:proofErr w:type="spellStart"/>
      <w:r w:rsidRPr="00F00429">
        <w:rPr>
          <w:rFonts w:ascii="Arial" w:hAnsi="Arial" w:cs="Arial"/>
        </w:rPr>
        <w:t>CN</w:t>
      </w:r>
      <w:proofErr w:type="spellEnd"/>
      <w:r w:rsidRPr="00F00429">
        <w:rPr>
          <w:rFonts w:ascii="Arial" w:hAnsi="Arial" w:cs="Arial"/>
        </w:rPr>
        <w:t xml:space="preserve"> v celkovém objemu 1,874 mld. Kč a úspory v</w:t>
      </w:r>
      <w:r w:rsidR="00F00429" w:rsidRPr="00F00429">
        <w:rPr>
          <w:rFonts w:ascii="Arial" w:hAnsi="Arial" w:cs="Arial"/>
        </w:rPr>
        <w:t>e</w:t>
      </w:r>
      <w:r w:rsidRPr="00F00429">
        <w:rPr>
          <w:rFonts w:ascii="Arial" w:hAnsi="Arial" w:cs="Arial"/>
        </w:rPr>
        <w:t> </w:t>
      </w:r>
      <w:r w:rsidR="00F00429" w:rsidRPr="00F00429">
        <w:rPr>
          <w:rFonts w:ascii="Arial" w:hAnsi="Arial" w:cs="Arial"/>
        </w:rPr>
        <w:t>výši</w:t>
      </w:r>
      <w:r w:rsidRPr="00F00429">
        <w:rPr>
          <w:rFonts w:ascii="Arial" w:hAnsi="Arial" w:cs="Arial"/>
        </w:rPr>
        <w:t xml:space="preserve"> 475,9 mil. Kč. </w:t>
      </w:r>
      <w:r w:rsidRPr="00391B3C">
        <w:rPr>
          <w:rFonts w:ascii="Arial" w:hAnsi="Arial" w:cs="Arial"/>
        </w:rPr>
        <w:t>MV tedy vykázalo</w:t>
      </w:r>
      <w:r w:rsidR="00BB7CF2" w:rsidRPr="00391B3C">
        <w:rPr>
          <w:rFonts w:ascii="Arial" w:hAnsi="Arial" w:cs="Arial"/>
        </w:rPr>
        <w:t xml:space="preserve"> nižší objem nákupů, ale </w:t>
      </w:r>
      <w:r w:rsidRPr="00391B3C">
        <w:rPr>
          <w:rFonts w:ascii="Arial" w:hAnsi="Arial" w:cs="Arial"/>
        </w:rPr>
        <w:t xml:space="preserve">téměř </w:t>
      </w:r>
      <w:proofErr w:type="spellStart"/>
      <w:r w:rsidRPr="00391B3C">
        <w:rPr>
          <w:rFonts w:ascii="Arial" w:hAnsi="Arial" w:cs="Arial"/>
        </w:rPr>
        <w:t>2,8násobek</w:t>
      </w:r>
      <w:proofErr w:type="spellEnd"/>
      <w:r w:rsidRPr="00391B3C">
        <w:rPr>
          <w:rFonts w:ascii="Arial" w:hAnsi="Arial" w:cs="Arial"/>
        </w:rPr>
        <w:t xml:space="preserve"> </w:t>
      </w:r>
      <w:r w:rsidR="00D71802" w:rsidRPr="00391B3C">
        <w:rPr>
          <w:rFonts w:ascii="Arial" w:hAnsi="Arial" w:cs="Arial"/>
        </w:rPr>
        <w:t xml:space="preserve">dosažené </w:t>
      </w:r>
      <w:r w:rsidR="00BB7CF2" w:rsidRPr="00391B3C">
        <w:rPr>
          <w:rFonts w:ascii="Arial" w:hAnsi="Arial" w:cs="Arial"/>
        </w:rPr>
        <w:t>úspor</w:t>
      </w:r>
      <w:r w:rsidR="00D71802" w:rsidRPr="00391B3C">
        <w:rPr>
          <w:rFonts w:ascii="Arial" w:hAnsi="Arial" w:cs="Arial"/>
        </w:rPr>
        <w:t>y</w:t>
      </w:r>
      <w:r w:rsidR="00BB7CF2" w:rsidRPr="00391B3C">
        <w:rPr>
          <w:rFonts w:ascii="Arial" w:hAnsi="Arial" w:cs="Arial"/>
        </w:rPr>
        <w:t xml:space="preserve"> oproti původnímu předpokladu</w:t>
      </w:r>
      <w:r w:rsidR="00BB7CF2">
        <w:rPr>
          <w:rFonts w:ascii="Arial" w:hAnsi="Arial" w:cs="Arial"/>
        </w:rPr>
        <w:t>.</w:t>
      </w:r>
      <w:r w:rsidR="00C23787">
        <w:rPr>
          <w:rFonts w:ascii="Arial" w:hAnsi="Arial" w:cs="Arial"/>
        </w:rPr>
        <w:t xml:space="preserve"> </w:t>
      </w:r>
    </w:p>
    <w:p w:rsidR="00B83B59" w:rsidRDefault="00B83B59" w:rsidP="001956B6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:rsidR="00B83B59" w:rsidRDefault="00B83B59" w:rsidP="001956B6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:rsidR="00212801" w:rsidRPr="00FA3796" w:rsidRDefault="00FA3796" w:rsidP="001956B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212801" w:rsidRPr="00FA3796">
        <w:rPr>
          <w:rFonts w:ascii="Arial" w:hAnsi="Arial" w:cs="Arial"/>
          <w:b/>
        </w:rPr>
        <w:t>eny</w:t>
      </w:r>
      <w:r>
        <w:rPr>
          <w:rFonts w:ascii="Arial" w:hAnsi="Arial" w:cs="Arial"/>
          <w:b/>
        </w:rPr>
        <w:t>, podle kterých byly vyčíslovány úspory</w:t>
      </w:r>
    </w:p>
    <w:p w:rsidR="00212801" w:rsidRPr="00CA27D6" w:rsidRDefault="00212801" w:rsidP="001956B6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:rsidR="00216C53" w:rsidRPr="00E2327B" w:rsidRDefault="00B41CB4" w:rsidP="00216C5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Celkové úspory u většiny komodit vyčísluje </w:t>
      </w:r>
      <w:r w:rsidR="00616369">
        <w:rPr>
          <w:rFonts w:ascii="Arial" w:hAnsi="Arial" w:cs="Arial"/>
        </w:rPr>
        <w:t xml:space="preserve">MV </w:t>
      </w:r>
      <w:r>
        <w:rPr>
          <w:rFonts w:ascii="Arial" w:hAnsi="Arial" w:cs="Arial"/>
        </w:rPr>
        <w:t xml:space="preserve">srovnáním kupní ceny dosažené prostřednictvím </w:t>
      </w:r>
      <w:proofErr w:type="spellStart"/>
      <w:r>
        <w:rPr>
          <w:rFonts w:ascii="Arial" w:hAnsi="Arial" w:cs="Arial"/>
        </w:rPr>
        <w:t>C</w:t>
      </w:r>
      <w:r w:rsidR="00F00429">
        <w:rPr>
          <w:rFonts w:ascii="Arial" w:hAnsi="Arial" w:cs="Arial"/>
        </w:rPr>
        <w:t>N</w:t>
      </w:r>
      <w:proofErr w:type="spellEnd"/>
      <w:r w:rsidR="00F00429">
        <w:rPr>
          <w:rFonts w:ascii="Arial" w:hAnsi="Arial" w:cs="Arial"/>
        </w:rPr>
        <w:t>/CZ</w:t>
      </w:r>
      <w:r>
        <w:rPr>
          <w:rFonts w:ascii="Arial" w:hAnsi="Arial" w:cs="Arial"/>
        </w:rPr>
        <w:t xml:space="preserve"> a </w:t>
      </w:r>
      <w:r w:rsidR="006D3EF1">
        <w:rPr>
          <w:rFonts w:ascii="Arial" w:hAnsi="Arial" w:cs="Arial"/>
        </w:rPr>
        <w:t>ceny</w:t>
      </w:r>
      <w:r w:rsidR="0094250D" w:rsidRPr="0094250D">
        <w:rPr>
          <w:rFonts w:ascii="Arial" w:hAnsi="Arial" w:cs="Arial"/>
        </w:rPr>
        <w:t xml:space="preserve"> </w:t>
      </w:r>
      <w:r w:rsidR="0094250D">
        <w:rPr>
          <w:rFonts w:ascii="Arial" w:hAnsi="Arial" w:cs="Arial"/>
        </w:rPr>
        <w:t>zjištěné</w:t>
      </w:r>
      <w:r w:rsidR="006D3EF1">
        <w:rPr>
          <w:rFonts w:ascii="Arial" w:hAnsi="Arial" w:cs="Arial"/>
        </w:rPr>
        <w:t>, kterou MV označuje jako</w:t>
      </w:r>
      <w:r>
        <w:rPr>
          <w:rFonts w:ascii="Arial" w:hAnsi="Arial" w:cs="Arial"/>
        </w:rPr>
        <w:t xml:space="preserve"> </w:t>
      </w:r>
      <w:r w:rsidR="006D3EF1">
        <w:rPr>
          <w:rFonts w:ascii="Arial" w:hAnsi="Arial" w:cs="Arial"/>
        </w:rPr>
        <w:t xml:space="preserve">cenu </w:t>
      </w:r>
      <w:r>
        <w:rPr>
          <w:rFonts w:ascii="Arial" w:hAnsi="Arial" w:cs="Arial"/>
        </w:rPr>
        <w:t>„</w:t>
      </w:r>
      <w:r w:rsidR="006D3EF1">
        <w:rPr>
          <w:rFonts w:ascii="Arial" w:hAnsi="Arial" w:cs="Arial"/>
        </w:rPr>
        <w:t>tržní“ nebo cenu „na trhu“</w:t>
      </w:r>
      <w:r>
        <w:rPr>
          <w:rFonts w:ascii="Arial" w:hAnsi="Arial" w:cs="Arial"/>
        </w:rPr>
        <w:t>.</w:t>
      </w:r>
      <w:r w:rsidR="006D3EF1">
        <w:rPr>
          <w:rFonts w:ascii="Arial" w:hAnsi="Arial" w:cs="Arial"/>
        </w:rPr>
        <w:t xml:space="preserve"> </w:t>
      </w:r>
      <w:r w:rsidR="00DB2E64">
        <w:rPr>
          <w:rFonts w:ascii="Arial" w:hAnsi="Arial" w:cs="Arial"/>
        </w:rPr>
        <w:t>Zdroj informací, který by umožnil zjistit aktuální tržní cenu</w:t>
      </w:r>
      <w:r w:rsidR="009405CC">
        <w:rPr>
          <w:rFonts w:ascii="Arial" w:hAnsi="Arial" w:cs="Arial"/>
        </w:rPr>
        <w:t>,</w:t>
      </w:r>
      <w:r w:rsidR="00DB2E64">
        <w:rPr>
          <w:rFonts w:ascii="Arial" w:hAnsi="Arial" w:cs="Arial"/>
        </w:rPr>
        <w:t xml:space="preserve"> nemělo MV k dispozici.</w:t>
      </w:r>
      <w:r w:rsidR="00391B3C">
        <w:rPr>
          <w:rFonts w:ascii="Arial" w:hAnsi="Arial" w:cs="Arial"/>
        </w:rPr>
        <w:t xml:space="preserve"> </w:t>
      </w:r>
      <w:r w:rsidR="006D3EF1" w:rsidRPr="00664E50">
        <w:rPr>
          <w:rFonts w:ascii="Arial" w:hAnsi="Arial" w:cs="Arial"/>
        </w:rPr>
        <w:t>MV cenu zjišť</w:t>
      </w:r>
      <w:r w:rsidR="00391B3C">
        <w:rPr>
          <w:rFonts w:ascii="Arial" w:hAnsi="Arial" w:cs="Arial"/>
        </w:rPr>
        <w:t>ovalo</w:t>
      </w:r>
      <w:r w:rsidR="006D3EF1" w:rsidRPr="00664E50">
        <w:rPr>
          <w:rFonts w:ascii="Arial" w:hAnsi="Arial" w:cs="Arial"/>
        </w:rPr>
        <w:t xml:space="preserve"> </w:t>
      </w:r>
      <w:r w:rsidR="006D3EF1">
        <w:rPr>
          <w:rFonts w:ascii="Arial" w:hAnsi="Arial" w:cs="Arial"/>
        </w:rPr>
        <w:t xml:space="preserve">pomocí </w:t>
      </w:r>
      <w:r w:rsidR="006D3EF1" w:rsidRPr="00664E50">
        <w:rPr>
          <w:rFonts w:ascii="Arial" w:hAnsi="Arial" w:cs="Arial"/>
        </w:rPr>
        <w:t xml:space="preserve">internetu, popř. dle běžných ceníků vydávaných a zveřejňovaných prodejci. </w:t>
      </w:r>
      <w:r w:rsidR="0094250D">
        <w:rPr>
          <w:rFonts w:ascii="Arial" w:hAnsi="Arial" w:cs="Arial"/>
        </w:rPr>
        <w:t>C</w:t>
      </w:r>
      <w:r w:rsidR="006D3EF1">
        <w:rPr>
          <w:rFonts w:ascii="Arial" w:hAnsi="Arial" w:cs="Arial"/>
        </w:rPr>
        <w:t xml:space="preserve">ena uváděná </w:t>
      </w:r>
      <w:r w:rsidR="006D3EF1" w:rsidRPr="00B212EF">
        <w:rPr>
          <w:rFonts w:ascii="Arial" w:hAnsi="Arial" w:cs="Arial"/>
        </w:rPr>
        <w:t xml:space="preserve">MV </w:t>
      </w:r>
      <w:r w:rsidR="006D3EF1">
        <w:rPr>
          <w:rFonts w:ascii="Arial" w:hAnsi="Arial" w:cs="Arial"/>
        </w:rPr>
        <w:t>jako cena „</w:t>
      </w:r>
      <w:r w:rsidR="006D3EF1" w:rsidRPr="00B212EF">
        <w:rPr>
          <w:rFonts w:ascii="Arial" w:hAnsi="Arial" w:cs="Arial"/>
        </w:rPr>
        <w:t>tržní</w:t>
      </w:r>
      <w:r w:rsidR="006D3EF1">
        <w:rPr>
          <w:rFonts w:ascii="Arial" w:hAnsi="Arial" w:cs="Arial"/>
        </w:rPr>
        <w:t>“</w:t>
      </w:r>
      <w:r w:rsidR="006D3EF1" w:rsidRPr="00B212EF">
        <w:rPr>
          <w:rFonts w:ascii="Arial" w:hAnsi="Arial" w:cs="Arial"/>
        </w:rPr>
        <w:t xml:space="preserve"> </w:t>
      </w:r>
      <w:r w:rsidR="006D3EF1">
        <w:rPr>
          <w:rFonts w:ascii="Arial" w:hAnsi="Arial" w:cs="Arial"/>
        </w:rPr>
        <w:t xml:space="preserve">nebo </w:t>
      </w:r>
      <w:r w:rsidR="0094250D">
        <w:rPr>
          <w:rFonts w:ascii="Arial" w:hAnsi="Arial" w:cs="Arial"/>
        </w:rPr>
        <w:t xml:space="preserve">cena </w:t>
      </w:r>
      <w:r w:rsidR="006D3EF1">
        <w:rPr>
          <w:rFonts w:ascii="Arial" w:hAnsi="Arial" w:cs="Arial"/>
        </w:rPr>
        <w:t xml:space="preserve">„na trhu“ </w:t>
      </w:r>
      <w:r w:rsidR="006D3EF1" w:rsidRPr="00B212EF">
        <w:rPr>
          <w:rFonts w:ascii="Arial" w:hAnsi="Arial" w:cs="Arial"/>
        </w:rPr>
        <w:t xml:space="preserve">není vždy cenou, kterou by MV za srovnatelných podmínek </w:t>
      </w:r>
      <w:r w:rsidR="00DB2E64" w:rsidRPr="00B212EF">
        <w:rPr>
          <w:rFonts w:ascii="Arial" w:hAnsi="Arial" w:cs="Arial"/>
        </w:rPr>
        <w:t xml:space="preserve">na trhu </w:t>
      </w:r>
      <w:r w:rsidR="006D3EF1" w:rsidRPr="00B212EF">
        <w:rPr>
          <w:rFonts w:ascii="Arial" w:hAnsi="Arial" w:cs="Arial"/>
        </w:rPr>
        <w:t xml:space="preserve">dosáhlo. </w:t>
      </w:r>
      <w:r w:rsidR="0094250D" w:rsidRPr="00B212EF">
        <w:rPr>
          <w:rFonts w:ascii="Arial" w:hAnsi="Arial" w:cs="Arial"/>
        </w:rPr>
        <w:t>Zpravidla se jedn</w:t>
      </w:r>
      <w:r w:rsidR="0094250D">
        <w:rPr>
          <w:rFonts w:ascii="Arial" w:hAnsi="Arial" w:cs="Arial"/>
        </w:rPr>
        <w:t>alo</w:t>
      </w:r>
      <w:r w:rsidR="0094250D" w:rsidRPr="00B212EF">
        <w:rPr>
          <w:rFonts w:ascii="Arial" w:hAnsi="Arial" w:cs="Arial"/>
        </w:rPr>
        <w:t xml:space="preserve"> o ceny, které </w:t>
      </w:r>
      <w:r w:rsidR="0094250D">
        <w:rPr>
          <w:rFonts w:ascii="Arial" w:hAnsi="Arial" w:cs="Arial"/>
        </w:rPr>
        <w:t xml:space="preserve">byly </w:t>
      </w:r>
      <w:r w:rsidR="0094250D" w:rsidRPr="00B212EF">
        <w:rPr>
          <w:rFonts w:ascii="Arial" w:hAnsi="Arial" w:cs="Arial"/>
        </w:rPr>
        <w:t xml:space="preserve">typické pro </w:t>
      </w:r>
      <w:r w:rsidR="00B83B59">
        <w:rPr>
          <w:rFonts w:ascii="Arial" w:hAnsi="Arial" w:cs="Arial"/>
        </w:rPr>
        <w:t>běžného spotřebitele</w:t>
      </w:r>
      <w:r w:rsidR="0094250D">
        <w:rPr>
          <w:rFonts w:ascii="Arial" w:hAnsi="Arial" w:cs="Arial"/>
        </w:rPr>
        <w:t xml:space="preserve"> a nezohledňovaly všechny možnosti pro snížení ceny. </w:t>
      </w:r>
      <w:r w:rsidR="006D3EF1" w:rsidRPr="00B212EF">
        <w:rPr>
          <w:rFonts w:ascii="Arial" w:hAnsi="Arial" w:cs="Arial"/>
        </w:rPr>
        <w:t xml:space="preserve">Tržní cenou by byla cena vyplývající ze sjednané nákupní/prodejní ceny, přičemž by takový trh nezahrnoval pouze běžné spotřebitele, ale i spotřebitele, kteří </w:t>
      </w:r>
      <w:r w:rsidR="006D3EF1">
        <w:rPr>
          <w:rFonts w:ascii="Arial" w:hAnsi="Arial" w:cs="Arial"/>
        </w:rPr>
        <w:t xml:space="preserve">velikostí </w:t>
      </w:r>
      <w:r w:rsidR="006D3EF1" w:rsidRPr="00B212EF">
        <w:rPr>
          <w:rFonts w:ascii="Arial" w:hAnsi="Arial" w:cs="Arial"/>
        </w:rPr>
        <w:t>sv</w:t>
      </w:r>
      <w:r w:rsidR="006D3EF1">
        <w:rPr>
          <w:rFonts w:ascii="Arial" w:hAnsi="Arial" w:cs="Arial"/>
        </w:rPr>
        <w:t>é</w:t>
      </w:r>
      <w:r w:rsidR="006D3EF1" w:rsidRPr="00B212EF">
        <w:rPr>
          <w:rFonts w:ascii="Arial" w:hAnsi="Arial" w:cs="Arial"/>
        </w:rPr>
        <w:t xml:space="preserve"> poptávk</w:t>
      </w:r>
      <w:r w:rsidR="006D3EF1">
        <w:rPr>
          <w:rFonts w:ascii="Arial" w:hAnsi="Arial" w:cs="Arial"/>
        </w:rPr>
        <w:t>y</w:t>
      </w:r>
      <w:r w:rsidR="006D3EF1" w:rsidRPr="00B212EF">
        <w:rPr>
          <w:rFonts w:ascii="Arial" w:hAnsi="Arial" w:cs="Arial"/>
        </w:rPr>
        <w:t xml:space="preserve"> odpovídají</w:t>
      </w:r>
      <w:r w:rsidR="00DB2E64">
        <w:rPr>
          <w:rFonts w:ascii="Arial" w:hAnsi="Arial" w:cs="Arial"/>
        </w:rPr>
        <w:t xml:space="preserve"> MV</w:t>
      </w:r>
      <w:r w:rsidR="006D3EF1" w:rsidRPr="00B212EF">
        <w:rPr>
          <w:rFonts w:ascii="Arial" w:hAnsi="Arial" w:cs="Arial"/>
        </w:rPr>
        <w:t xml:space="preserve">. </w:t>
      </w:r>
      <w:r w:rsidR="0094250D">
        <w:rPr>
          <w:rFonts w:ascii="Arial" w:hAnsi="Arial" w:cs="Arial"/>
        </w:rPr>
        <w:t xml:space="preserve">Pro účely kontroly </w:t>
      </w:r>
      <w:r w:rsidR="00616369">
        <w:rPr>
          <w:rFonts w:ascii="Arial" w:hAnsi="Arial" w:cs="Arial"/>
        </w:rPr>
        <w:t xml:space="preserve">se </w:t>
      </w:r>
      <w:r w:rsidR="0094250D">
        <w:rPr>
          <w:rFonts w:ascii="Arial" w:hAnsi="Arial" w:cs="Arial"/>
        </w:rPr>
        <w:t xml:space="preserve">takto zjišťovaná cena </w:t>
      </w:r>
      <w:r w:rsidR="00F00429">
        <w:rPr>
          <w:rFonts w:ascii="Arial" w:hAnsi="Arial" w:cs="Arial"/>
        </w:rPr>
        <w:t xml:space="preserve">označuje </w:t>
      </w:r>
      <w:r w:rsidR="0094250D">
        <w:rPr>
          <w:rFonts w:ascii="Arial" w:hAnsi="Arial" w:cs="Arial"/>
        </w:rPr>
        <w:t>jako cena „referenční“.</w:t>
      </w:r>
      <w:r w:rsidR="00C23787">
        <w:rPr>
          <w:rFonts w:ascii="Arial" w:hAnsi="Arial" w:cs="Arial"/>
        </w:rPr>
        <w:t xml:space="preserve"> </w:t>
      </w:r>
      <w:r w:rsidR="00D961EF">
        <w:rPr>
          <w:rFonts w:ascii="Arial" w:hAnsi="Arial" w:cs="Arial"/>
        </w:rPr>
        <w:t xml:space="preserve">Vyhodnocování </w:t>
      </w:r>
      <w:proofErr w:type="spellStart"/>
      <w:r w:rsidR="00D961EF">
        <w:rPr>
          <w:rFonts w:ascii="Arial" w:hAnsi="Arial" w:cs="Arial"/>
        </w:rPr>
        <w:t>C</w:t>
      </w:r>
      <w:r w:rsidR="00F00429">
        <w:rPr>
          <w:rFonts w:ascii="Arial" w:hAnsi="Arial" w:cs="Arial"/>
        </w:rPr>
        <w:t>N</w:t>
      </w:r>
      <w:proofErr w:type="spellEnd"/>
      <w:r w:rsidR="00D961EF">
        <w:rPr>
          <w:rFonts w:ascii="Arial" w:hAnsi="Arial" w:cs="Arial"/>
        </w:rPr>
        <w:t xml:space="preserve"> </w:t>
      </w:r>
      <w:r w:rsidR="0094250D">
        <w:rPr>
          <w:rFonts w:ascii="Arial" w:hAnsi="Arial" w:cs="Arial"/>
        </w:rPr>
        <w:t xml:space="preserve">včetně </w:t>
      </w:r>
      <w:r w:rsidR="00D961EF">
        <w:rPr>
          <w:rFonts w:ascii="Arial" w:hAnsi="Arial" w:cs="Arial"/>
        </w:rPr>
        <w:t xml:space="preserve">dosažených úspor probíhalo </w:t>
      </w:r>
      <w:r w:rsidR="00216C53">
        <w:rPr>
          <w:rFonts w:ascii="Arial" w:hAnsi="Arial" w:cs="Arial"/>
        </w:rPr>
        <w:t xml:space="preserve">na MV </w:t>
      </w:r>
      <w:r w:rsidR="00D961EF">
        <w:rPr>
          <w:rFonts w:ascii="Arial" w:hAnsi="Arial" w:cs="Arial"/>
        </w:rPr>
        <w:t>pravidelně jednou ročně, po</w:t>
      </w:r>
      <w:r w:rsidR="00216C53">
        <w:rPr>
          <w:rFonts w:ascii="Arial" w:hAnsi="Arial" w:cs="Arial"/>
        </w:rPr>
        <w:t>př. podle mimořádných požadavků</w:t>
      </w:r>
      <w:r w:rsidR="00884747">
        <w:rPr>
          <w:rFonts w:ascii="Arial" w:hAnsi="Arial" w:cs="Arial"/>
        </w:rPr>
        <w:t xml:space="preserve"> </w:t>
      </w:r>
      <w:r w:rsidR="00884747" w:rsidRPr="003104C9">
        <w:rPr>
          <w:rFonts w:ascii="Arial" w:hAnsi="Arial" w:cs="Arial"/>
        </w:rPr>
        <w:t>ved</w:t>
      </w:r>
      <w:r w:rsidR="00FA3796" w:rsidRPr="003104C9">
        <w:rPr>
          <w:rFonts w:ascii="Arial" w:hAnsi="Arial" w:cs="Arial"/>
        </w:rPr>
        <w:t xml:space="preserve">oucích </w:t>
      </w:r>
      <w:r w:rsidR="003104C9" w:rsidRPr="003104C9">
        <w:rPr>
          <w:rFonts w:ascii="Arial" w:hAnsi="Arial" w:cs="Arial"/>
        </w:rPr>
        <w:t>zaměstnanců</w:t>
      </w:r>
      <w:r w:rsidR="00884747">
        <w:rPr>
          <w:rFonts w:ascii="Arial" w:hAnsi="Arial" w:cs="Arial"/>
        </w:rPr>
        <w:t xml:space="preserve"> MV</w:t>
      </w:r>
      <w:r w:rsidR="00216C53" w:rsidRPr="00216C53">
        <w:rPr>
          <w:rFonts w:ascii="Arial" w:hAnsi="Arial" w:cs="Arial"/>
        </w:rPr>
        <w:t xml:space="preserve">. </w:t>
      </w:r>
      <w:r w:rsidR="00E2327B">
        <w:rPr>
          <w:rFonts w:ascii="Arial" w:hAnsi="Arial" w:cs="Arial"/>
        </w:rPr>
        <w:t>P</w:t>
      </w:r>
      <w:r w:rsidR="00216C53" w:rsidRPr="00216C53">
        <w:rPr>
          <w:rFonts w:ascii="Arial" w:hAnsi="Arial" w:cs="Arial"/>
        </w:rPr>
        <w:t xml:space="preserve">ro výpočet </w:t>
      </w:r>
      <w:r w:rsidR="00616369">
        <w:rPr>
          <w:rFonts w:ascii="Arial" w:hAnsi="Arial" w:cs="Arial"/>
        </w:rPr>
        <w:t>dosažených</w:t>
      </w:r>
      <w:r w:rsidR="00616369" w:rsidRPr="00216C53">
        <w:rPr>
          <w:rFonts w:ascii="Arial" w:hAnsi="Arial" w:cs="Arial"/>
        </w:rPr>
        <w:t xml:space="preserve"> </w:t>
      </w:r>
      <w:r w:rsidR="00216C53" w:rsidRPr="00216C53">
        <w:rPr>
          <w:rFonts w:ascii="Arial" w:hAnsi="Arial" w:cs="Arial"/>
        </w:rPr>
        <w:t xml:space="preserve">úspor zvolilo </w:t>
      </w:r>
      <w:r w:rsidR="00616369" w:rsidRPr="00216C53">
        <w:rPr>
          <w:rFonts w:ascii="Arial" w:hAnsi="Arial" w:cs="Arial"/>
        </w:rPr>
        <w:t xml:space="preserve">MV </w:t>
      </w:r>
      <w:r w:rsidR="00216C53" w:rsidRPr="00216C53">
        <w:rPr>
          <w:rFonts w:ascii="Arial" w:hAnsi="Arial" w:cs="Arial"/>
        </w:rPr>
        <w:t>rozdíl mezi realizovanou nákupní cenou a cenou referenční</w:t>
      </w:r>
      <w:r w:rsidR="00216C53" w:rsidRPr="001171DD">
        <w:rPr>
          <w:rFonts w:ascii="Arial" w:hAnsi="Arial" w:cs="Arial"/>
        </w:rPr>
        <w:t xml:space="preserve">. </w:t>
      </w:r>
      <w:r w:rsidR="001171DD" w:rsidRPr="00E2327B">
        <w:rPr>
          <w:rFonts w:ascii="Arial" w:hAnsi="Arial" w:cs="Arial"/>
          <w:b/>
        </w:rPr>
        <w:t xml:space="preserve">Srovnání nákupní ceny a referenční ceny nepředstavuje </w:t>
      </w:r>
      <w:r w:rsidR="00A334BC" w:rsidRPr="00E2327B">
        <w:rPr>
          <w:rFonts w:ascii="Arial" w:hAnsi="Arial" w:cs="Arial"/>
          <w:b/>
        </w:rPr>
        <w:t>spolehlivé</w:t>
      </w:r>
      <w:r w:rsidR="001171DD" w:rsidRPr="00E2327B">
        <w:rPr>
          <w:rFonts w:ascii="Arial" w:hAnsi="Arial" w:cs="Arial"/>
          <w:b/>
        </w:rPr>
        <w:t xml:space="preserve"> vyčíslení úspor.</w:t>
      </w:r>
    </w:p>
    <w:p w:rsidR="004C5731" w:rsidRDefault="004C5731" w:rsidP="00216C53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1104F" w:rsidRDefault="00F1104F" w:rsidP="003148D4">
      <w:pPr>
        <w:spacing w:after="0" w:line="240" w:lineRule="auto"/>
        <w:ind w:left="426" w:hanging="426"/>
        <w:rPr>
          <w:rFonts w:ascii="Arial" w:hAnsi="Arial" w:cs="Arial"/>
          <w:b/>
          <w:bCs/>
        </w:rPr>
      </w:pPr>
      <w:bookmarkStart w:id="0" w:name="_Toc338343403"/>
      <w:r w:rsidRPr="00972A89">
        <w:rPr>
          <w:rFonts w:ascii="Arial" w:hAnsi="Arial" w:cs="Arial"/>
          <w:b/>
          <w:bCs/>
        </w:rPr>
        <w:t>Monitorovací a kontrolní systém</w:t>
      </w:r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MKS</w:t>
      </w:r>
      <w:proofErr w:type="spellEnd"/>
      <w:r>
        <w:rPr>
          <w:rFonts w:ascii="Arial" w:hAnsi="Arial" w:cs="Arial"/>
          <w:b/>
          <w:bCs/>
        </w:rPr>
        <w:t>)</w:t>
      </w:r>
    </w:p>
    <w:p w:rsidR="00B76FF0" w:rsidRPr="00972A89" w:rsidRDefault="00B76FF0" w:rsidP="003148D4">
      <w:pPr>
        <w:spacing w:after="0" w:line="240" w:lineRule="auto"/>
        <w:ind w:left="426" w:hanging="426"/>
        <w:rPr>
          <w:rFonts w:ascii="Arial" w:hAnsi="Arial" w:cs="Arial"/>
          <w:b/>
          <w:bCs/>
        </w:rPr>
      </w:pPr>
    </w:p>
    <w:p w:rsidR="007B0D5B" w:rsidRPr="00DB6743" w:rsidRDefault="00F1104F" w:rsidP="007B0D5B">
      <w:pPr>
        <w:pStyle w:val="ARNORMAL"/>
        <w:jc w:val="both"/>
        <w:rPr>
          <w:rFonts w:cs="Arial"/>
          <w:szCs w:val="22"/>
        </w:rPr>
      </w:pPr>
      <w:proofErr w:type="spellStart"/>
      <w:r w:rsidRPr="00972A89">
        <w:rPr>
          <w:rFonts w:cs="Arial"/>
          <w:bCs/>
        </w:rPr>
        <w:t>MKS</w:t>
      </w:r>
      <w:proofErr w:type="spellEnd"/>
      <w:r w:rsidRPr="00972A89">
        <w:rPr>
          <w:rFonts w:cs="Arial"/>
          <w:bCs/>
        </w:rPr>
        <w:t xml:space="preserve"> je informační systém</w:t>
      </w:r>
      <w:r w:rsidR="007B0D5B" w:rsidRPr="007B0D5B">
        <w:rPr>
          <w:rFonts w:cs="Arial"/>
          <w:bCs/>
        </w:rPr>
        <w:t xml:space="preserve"> </w:t>
      </w:r>
      <w:r w:rsidR="007B0D5B">
        <w:rPr>
          <w:rFonts w:cs="Arial"/>
          <w:bCs/>
        </w:rPr>
        <w:t>MV</w:t>
      </w:r>
      <w:r w:rsidRPr="00972A89">
        <w:rPr>
          <w:rFonts w:cs="Arial"/>
          <w:bCs/>
        </w:rPr>
        <w:t xml:space="preserve">, </w:t>
      </w:r>
      <w:r w:rsidR="00B032B9">
        <w:rPr>
          <w:rFonts w:cs="Arial"/>
          <w:bCs/>
        </w:rPr>
        <w:t xml:space="preserve">který mj. slouží ke </w:t>
      </w:r>
      <w:r w:rsidRPr="00972A89">
        <w:rPr>
          <w:rFonts w:cs="Arial"/>
          <w:bCs/>
        </w:rPr>
        <w:t>sledování úspor</w:t>
      </w:r>
      <w:r w:rsidR="00B032B9" w:rsidRPr="00B032B9">
        <w:rPr>
          <w:rFonts w:cs="Arial"/>
          <w:bCs/>
        </w:rPr>
        <w:t xml:space="preserve"> </w:t>
      </w:r>
      <w:r w:rsidR="00B032B9" w:rsidRPr="00972A89">
        <w:rPr>
          <w:rFonts w:cs="Arial"/>
          <w:bCs/>
        </w:rPr>
        <w:t>dosahovaných</w:t>
      </w:r>
      <w:r w:rsidR="00B032B9">
        <w:rPr>
          <w:rFonts w:cs="Arial"/>
          <w:bCs/>
        </w:rPr>
        <w:t xml:space="preserve"> prostřednictvím </w:t>
      </w:r>
      <w:proofErr w:type="spellStart"/>
      <w:r w:rsidR="00B032B9">
        <w:rPr>
          <w:rFonts w:cs="Arial"/>
          <w:bCs/>
        </w:rPr>
        <w:t>C</w:t>
      </w:r>
      <w:r w:rsidR="007B0D5B">
        <w:rPr>
          <w:rFonts w:cs="Arial"/>
          <w:bCs/>
        </w:rPr>
        <w:t>N</w:t>
      </w:r>
      <w:proofErr w:type="spellEnd"/>
      <w:r w:rsidR="007B0D5B">
        <w:rPr>
          <w:rFonts w:cs="Arial"/>
          <w:bCs/>
        </w:rPr>
        <w:t>/CZ</w:t>
      </w:r>
      <w:r w:rsidRPr="00972A89">
        <w:rPr>
          <w:rFonts w:cs="Arial"/>
          <w:bCs/>
        </w:rPr>
        <w:t xml:space="preserve">. </w:t>
      </w:r>
      <w:r w:rsidR="007B0D5B" w:rsidRPr="007B0D5B">
        <w:rPr>
          <w:rFonts w:cs="Arial"/>
          <w:szCs w:val="22"/>
        </w:rPr>
        <w:t xml:space="preserve">Údaje o výsledcích veřejné zakázky na dodavatele vkládá do </w:t>
      </w:r>
      <w:proofErr w:type="spellStart"/>
      <w:r w:rsidR="007B0D5B" w:rsidRPr="007B0D5B">
        <w:rPr>
          <w:rFonts w:cs="Arial"/>
          <w:szCs w:val="22"/>
        </w:rPr>
        <w:t>MKS</w:t>
      </w:r>
      <w:proofErr w:type="spellEnd"/>
      <w:r w:rsidR="007B0D5B" w:rsidRPr="007B0D5B">
        <w:rPr>
          <w:rFonts w:cs="Arial"/>
          <w:szCs w:val="22"/>
        </w:rPr>
        <w:t xml:space="preserve"> centrální zadavatel. Veřejný zadavatel vkládá do uvedeného informačníh</w:t>
      </w:r>
      <w:r w:rsidR="006417C6">
        <w:rPr>
          <w:rFonts w:cs="Arial"/>
          <w:szCs w:val="22"/>
        </w:rPr>
        <w:t>o systému již konkrétní údaje o </w:t>
      </w:r>
      <w:r w:rsidR="007B0D5B" w:rsidRPr="007B0D5B">
        <w:rPr>
          <w:rFonts w:cs="Arial"/>
          <w:szCs w:val="22"/>
        </w:rPr>
        <w:t xml:space="preserve">dodávkách zboží </w:t>
      </w:r>
      <w:r w:rsidR="00616369">
        <w:rPr>
          <w:rFonts w:cs="Arial"/>
          <w:szCs w:val="22"/>
        </w:rPr>
        <w:t xml:space="preserve">realizovaných </w:t>
      </w:r>
      <w:r w:rsidR="007B0D5B" w:rsidRPr="007B0D5B">
        <w:rPr>
          <w:rFonts w:cs="Arial"/>
          <w:szCs w:val="22"/>
        </w:rPr>
        <w:t xml:space="preserve">na základě jím uzavřených prováděcích smluv </w:t>
      </w:r>
      <w:r w:rsidR="007B0D5B" w:rsidRPr="007B0D5B">
        <w:rPr>
          <w:rFonts w:cs="Arial"/>
          <w:bCs/>
        </w:rPr>
        <w:t>a údaje o</w:t>
      </w:r>
      <w:r w:rsidR="005B0637">
        <w:rPr>
          <w:rFonts w:cs="Arial"/>
          <w:bCs/>
        </w:rPr>
        <w:t> </w:t>
      </w:r>
      <w:r w:rsidR="007B0D5B" w:rsidRPr="007B0D5B">
        <w:rPr>
          <w:rFonts w:cs="Arial"/>
          <w:bCs/>
        </w:rPr>
        <w:t xml:space="preserve">veřejných zakázkách mimo </w:t>
      </w:r>
      <w:proofErr w:type="spellStart"/>
      <w:r w:rsidR="007B0D5B" w:rsidRPr="007B0D5B">
        <w:rPr>
          <w:rFonts w:cs="Arial"/>
          <w:bCs/>
        </w:rPr>
        <w:t>CN</w:t>
      </w:r>
      <w:proofErr w:type="spellEnd"/>
      <w:r w:rsidR="007B0D5B" w:rsidRPr="007B0D5B">
        <w:rPr>
          <w:rFonts w:cs="Arial"/>
          <w:bCs/>
        </w:rPr>
        <w:t>/CZ s hodnotou vyšší než 100 tisíc Kč bez DPH.</w:t>
      </w:r>
    </w:p>
    <w:p w:rsidR="007B0D5B" w:rsidRDefault="007B0D5B" w:rsidP="007F427C">
      <w:pPr>
        <w:spacing w:after="0" w:line="240" w:lineRule="auto"/>
        <w:jc w:val="both"/>
        <w:rPr>
          <w:rFonts w:ascii="Arial" w:hAnsi="Arial" w:cs="Arial"/>
          <w:bCs/>
        </w:rPr>
      </w:pPr>
    </w:p>
    <w:p w:rsidR="00C4133B" w:rsidRDefault="007B0D5B" w:rsidP="007F427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F1104F" w:rsidRPr="00972A89">
        <w:rPr>
          <w:rFonts w:ascii="Arial" w:hAnsi="Arial" w:cs="Arial"/>
          <w:bCs/>
        </w:rPr>
        <w:t xml:space="preserve">osažené úspory vyhodnocuje </w:t>
      </w:r>
      <w:r w:rsidRPr="00972A89">
        <w:rPr>
          <w:rFonts w:ascii="Arial" w:hAnsi="Arial" w:cs="Arial"/>
          <w:bCs/>
        </w:rPr>
        <w:t xml:space="preserve">MV </w:t>
      </w:r>
      <w:r w:rsidR="00F1104F" w:rsidRPr="00972A89">
        <w:rPr>
          <w:rFonts w:ascii="Arial" w:hAnsi="Arial" w:cs="Arial"/>
          <w:bCs/>
        </w:rPr>
        <w:t>na základě exportovaných sestav</w:t>
      </w:r>
      <w:r w:rsidR="00F0723E">
        <w:rPr>
          <w:rFonts w:ascii="Arial" w:hAnsi="Arial" w:cs="Arial"/>
          <w:bCs/>
        </w:rPr>
        <w:t xml:space="preserve">, </w:t>
      </w:r>
      <w:r w:rsidR="00F1104F" w:rsidRPr="00B032B9">
        <w:rPr>
          <w:rFonts w:ascii="Arial" w:hAnsi="Arial" w:cs="Arial"/>
          <w:bCs/>
        </w:rPr>
        <w:t>a</w:t>
      </w:r>
      <w:r w:rsidR="00F0723E">
        <w:rPr>
          <w:rFonts w:ascii="Arial" w:hAnsi="Arial" w:cs="Arial"/>
          <w:bCs/>
        </w:rPr>
        <w:t> </w:t>
      </w:r>
      <w:r w:rsidR="00F1104F" w:rsidRPr="00B032B9">
        <w:rPr>
          <w:rFonts w:ascii="Arial" w:hAnsi="Arial" w:cs="Arial"/>
          <w:bCs/>
        </w:rPr>
        <w:t xml:space="preserve">to jako rozdíl referenční ceny a </w:t>
      </w:r>
      <w:r w:rsidR="00D553A7" w:rsidRPr="00B032B9">
        <w:rPr>
          <w:rFonts w:ascii="Arial" w:hAnsi="Arial" w:cs="Arial"/>
          <w:bCs/>
        </w:rPr>
        <w:t xml:space="preserve">ceny </w:t>
      </w:r>
      <w:r w:rsidR="00F1104F" w:rsidRPr="00B032B9">
        <w:rPr>
          <w:rFonts w:ascii="Arial" w:hAnsi="Arial" w:cs="Arial"/>
          <w:bCs/>
        </w:rPr>
        <w:t>nákupní (fakturované)</w:t>
      </w:r>
      <w:r w:rsidR="00F1104F" w:rsidRPr="00972A89">
        <w:rPr>
          <w:rFonts w:ascii="Arial" w:hAnsi="Arial" w:cs="Arial"/>
          <w:bCs/>
        </w:rPr>
        <w:t>.</w:t>
      </w:r>
      <w:r w:rsidR="00051978">
        <w:rPr>
          <w:rFonts w:ascii="Arial" w:hAnsi="Arial" w:cs="Arial"/>
          <w:bCs/>
        </w:rPr>
        <w:t xml:space="preserve"> </w:t>
      </w:r>
    </w:p>
    <w:p w:rsidR="00C4133B" w:rsidRDefault="00C4133B" w:rsidP="007F427C">
      <w:pPr>
        <w:spacing w:after="0" w:line="240" w:lineRule="auto"/>
        <w:jc w:val="both"/>
        <w:rPr>
          <w:rFonts w:ascii="Arial" w:hAnsi="Arial" w:cs="Arial"/>
          <w:bCs/>
        </w:rPr>
      </w:pPr>
    </w:p>
    <w:p w:rsidR="00051978" w:rsidRPr="00C4133B" w:rsidRDefault="007B0D5B" w:rsidP="007F427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Základním p</w:t>
      </w:r>
      <w:r w:rsidR="00051978">
        <w:rPr>
          <w:rFonts w:ascii="Arial" w:hAnsi="Arial" w:cs="Arial"/>
          <w:bCs/>
        </w:rPr>
        <w:t>ředpokladem spolehlivosti výstupů z </w:t>
      </w:r>
      <w:proofErr w:type="spellStart"/>
      <w:r w:rsidR="00051978">
        <w:rPr>
          <w:rFonts w:ascii="Arial" w:hAnsi="Arial" w:cs="Arial"/>
          <w:bCs/>
        </w:rPr>
        <w:t>MKS</w:t>
      </w:r>
      <w:proofErr w:type="spellEnd"/>
      <w:r w:rsidR="00051978">
        <w:rPr>
          <w:rFonts w:ascii="Arial" w:hAnsi="Arial" w:cs="Arial"/>
          <w:bCs/>
        </w:rPr>
        <w:t xml:space="preserve"> je přesnost, úplnost a správnost zadávaných dat.</w:t>
      </w:r>
      <w:r w:rsidR="00C4133B">
        <w:rPr>
          <w:rFonts w:ascii="Arial" w:hAnsi="Arial" w:cs="Arial"/>
          <w:bCs/>
        </w:rPr>
        <w:t xml:space="preserve"> </w:t>
      </w:r>
      <w:r w:rsidR="00BB7CF2">
        <w:rPr>
          <w:rFonts w:ascii="Arial" w:hAnsi="Arial" w:cs="Arial"/>
          <w:bCs/>
        </w:rPr>
        <w:t xml:space="preserve">Ověřením správnosti jejich zadávání </w:t>
      </w:r>
      <w:r w:rsidR="00317F9B">
        <w:rPr>
          <w:rFonts w:ascii="Arial" w:hAnsi="Arial" w:cs="Arial"/>
        </w:rPr>
        <w:t>byl</w:t>
      </w:r>
      <w:r>
        <w:rPr>
          <w:rFonts w:ascii="Arial" w:hAnsi="Arial" w:cs="Arial"/>
        </w:rPr>
        <w:t>o</w:t>
      </w:r>
      <w:r w:rsidR="00C0647B">
        <w:rPr>
          <w:rFonts w:ascii="Arial" w:hAnsi="Arial" w:cs="Arial"/>
        </w:rPr>
        <w:t xml:space="preserve"> </w:t>
      </w:r>
      <w:r w:rsidR="00317F9B">
        <w:rPr>
          <w:rFonts w:ascii="Arial" w:hAnsi="Arial" w:cs="Arial"/>
        </w:rPr>
        <w:t>zjištěn</w:t>
      </w:r>
      <w:r>
        <w:rPr>
          <w:rFonts w:ascii="Arial" w:hAnsi="Arial" w:cs="Arial"/>
        </w:rPr>
        <w:t>o</w:t>
      </w:r>
      <w:r w:rsidR="00C0647B">
        <w:rPr>
          <w:rFonts w:ascii="Arial" w:hAnsi="Arial" w:cs="Arial"/>
        </w:rPr>
        <w:t>:</w:t>
      </w:r>
    </w:p>
    <w:p w:rsidR="00F8427E" w:rsidRPr="00BF58E9" w:rsidRDefault="00CB25DB" w:rsidP="00C23787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F58E9">
        <w:rPr>
          <w:rFonts w:ascii="Arial" w:hAnsi="Arial" w:cs="Arial"/>
        </w:rPr>
        <w:t>n</w:t>
      </w:r>
      <w:r w:rsidR="00F1104F" w:rsidRPr="00BF58E9">
        <w:rPr>
          <w:rFonts w:ascii="Arial" w:hAnsi="Arial" w:cs="Arial"/>
        </w:rPr>
        <w:t>e</w:t>
      </w:r>
      <w:r w:rsidR="00BF58E9" w:rsidRPr="00BF58E9">
        <w:rPr>
          <w:rFonts w:ascii="Arial" w:hAnsi="Arial" w:cs="Arial"/>
        </w:rPr>
        <w:t xml:space="preserve">byly </w:t>
      </w:r>
      <w:r w:rsidR="00F1104F" w:rsidRPr="00BF58E9">
        <w:rPr>
          <w:rFonts w:ascii="Arial" w:hAnsi="Arial" w:cs="Arial"/>
        </w:rPr>
        <w:t>zadá</w:t>
      </w:r>
      <w:r w:rsidR="00BF58E9" w:rsidRPr="00BF58E9">
        <w:rPr>
          <w:rFonts w:ascii="Arial" w:hAnsi="Arial" w:cs="Arial"/>
        </w:rPr>
        <w:t xml:space="preserve">ny </w:t>
      </w:r>
      <w:r w:rsidRPr="00BF58E9">
        <w:rPr>
          <w:rFonts w:ascii="Arial" w:hAnsi="Arial" w:cs="Arial"/>
        </w:rPr>
        <w:t>všech</w:t>
      </w:r>
      <w:r w:rsidR="00BF58E9" w:rsidRPr="00BF58E9">
        <w:rPr>
          <w:rFonts w:ascii="Arial" w:hAnsi="Arial" w:cs="Arial"/>
        </w:rPr>
        <w:t>ny</w:t>
      </w:r>
      <w:r w:rsidRPr="00BF58E9">
        <w:rPr>
          <w:rFonts w:ascii="Arial" w:hAnsi="Arial" w:cs="Arial"/>
        </w:rPr>
        <w:t xml:space="preserve"> </w:t>
      </w:r>
      <w:r w:rsidR="00F1104F" w:rsidRPr="00BF58E9">
        <w:rPr>
          <w:rFonts w:ascii="Arial" w:hAnsi="Arial" w:cs="Arial"/>
        </w:rPr>
        <w:t>údaj</w:t>
      </w:r>
      <w:r w:rsidR="00BF58E9" w:rsidRPr="00BF58E9">
        <w:rPr>
          <w:rFonts w:ascii="Arial" w:hAnsi="Arial" w:cs="Arial"/>
        </w:rPr>
        <w:t>e</w:t>
      </w:r>
      <w:r w:rsidR="00F0723E">
        <w:rPr>
          <w:rFonts w:ascii="Arial" w:hAnsi="Arial" w:cs="Arial"/>
        </w:rPr>
        <w:t xml:space="preserve">, </w:t>
      </w:r>
      <w:r w:rsidR="00F8427E" w:rsidRPr="00BF58E9">
        <w:rPr>
          <w:rFonts w:ascii="Arial" w:hAnsi="Arial" w:cs="Arial"/>
        </w:rPr>
        <w:t>např. ne</w:t>
      </w:r>
      <w:r w:rsidRPr="00BF58E9">
        <w:rPr>
          <w:rFonts w:ascii="Arial" w:hAnsi="Arial" w:cs="Arial"/>
        </w:rPr>
        <w:t xml:space="preserve">byly </w:t>
      </w:r>
      <w:r w:rsidR="00F8427E" w:rsidRPr="00BF58E9">
        <w:rPr>
          <w:rFonts w:ascii="Arial" w:hAnsi="Arial" w:cs="Arial"/>
        </w:rPr>
        <w:t>zaevidován</w:t>
      </w:r>
      <w:r w:rsidRPr="00BF58E9">
        <w:rPr>
          <w:rFonts w:ascii="Arial" w:hAnsi="Arial" w:cs="Arial"/>
        </w:rPr>
        <w:t>y</w:t>
      </w:r>
      <w:r w:rsidR="00F8427E" w:rsidRPr="00BF58E9">
        <w:rPr>
          <w:rFonts w:ascii="Arial" w:hAnsi="Arial" w:cs="Arial"/>
        </w:rPr>
        <w:t xml:space="preserve"> tř</w:t>
      </w:r>
      <w:r w:rsidR="005B0637">
        <w:rPr>
          <w:rFonts w:ascii="Arial" w:hAnsi="Arial" w:cs="Arial"/>
        </w:rPr>
        <w:t>i</w:t>
      </w:r>
      <w:r w:rsidR="00F8427E" w:rsidRPr="00BF58E9">
        <w:rPr>
          <w:rFonts w:ascii="Arial" w:hAnsi="Arial" w:cs="Arial"/>
        </w:rPr>
        <w:t xml:space="preserve"> dílčí dodávk</w:t>
      </w:r>
      <w:r w:rsidRPr="00BF58E9">
        <w:rPr>
          <w:rFonts w:ascii="Arial" w:hAnsi="Arial" w:cs="Arial"/>
        </w:rPr>
        <w:t>y</w:t>
      </w:r>
      <w:r w:rsidR="00F8427E" w:rsidRPr="00BF58E9">
        <w:rPr>
          <w:rFonts w:ascii="Arial" w:hAnsi="Arial" w:cs="Arial"/>
        </w:rPr>
        <w:t xml:space="preserve"> PHM ve výši 2 792 019 Kč vč. DPH</w:t>
      </w:r>
      <w:r w:rsidRPr="00BF58E9">
        <w:rPr>
          <w:rFonts w:ascii="Arial" w:hAnsi="Arial" w:cs="Arial"/>
        </w:rPr>
        <w:t>;</w:t>
      </w:r>
    </w:p>
    <w:p w:rsidR="00F8427E" w:rsidRPr="00F8427E" w:rsidRDefault="001171DD" w:rsidP="00C23787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veřejní zadavatelé v některých případech přiřazovali uzavřené kupní smlouvy či d</w:t>
      </w:r>
      <w:r w:rsidR="005452D9">
        <w:rPr>
          <w:rFonts w:ascii="Arial" w:hAnsi="Arial" w:cs="Arial"/>
        </w:rPr>
        <w:t>ílčí plnění pod jin</w:t>
      </w:r>
      <w:r w:rsidR="005510F8">
        <w:rPr>
          <w:rFonts w:ascii="Arial" w:hAnsi="Arial" w:cs="Arial"/>
        </w:rPr>
        <w:t xml:space="preserve">ými </w:t>
      </w:r>
      <w:proofErr w:type="spellStart"/>
      <w:r w:rsidR="005452D9">
        <w:rPr>
          <w:rFonts w:ascii="Arial" w:hAnsi="Arial" w:cs="Arial"/>
        </w:rPr>
        <w:t>minitendry</w:t>
      </w:r>
      <w:proofErr w:type="spellEnd"/>
      <w:r w:rsidR="005452D9">
        <w:rPr>
          <w:rFonts w:ascii="Arial" w:hAnsi="Arial" w:cs="Arial"/>
        </w:rPr>
        <w:t xml:space="preserve"> a</w:t>
      </w:r>
      <w:r w:rsidR="00B307FF">
        <w:rPr>
          <w:rFonts w:ascii="Arial" w:hAnsi="Arial" w:cs="Arial"/>
        </w:rPr>
        <w:t xml:space="preserve"> </w:t>
      </w:r>
      <w:r w:rsidR="00BB7CF2">
        <w:rPr>
          <w:rFonts w:ascii="Arial" w:hAnsi="Arial" w:cs="Arial"/>
        </w:rPr>
        <w:t xml:space="preserve">v důsledku toho </w:t>
      </w:r>
      <w:r w:rsidR="00B307FF">
        <w:rPr>
          <w:rFonts w:ascii="Arial" w:hAnsi="Arial" w:cs="Arial"/>
        </w:rPr>
        <w:t xml:space="preserve">např. částka </w:t>
      </w:r>
      <w:r w:rsidR="00B307FF" w:rsidRPr="00972A89">
        <w:rPr>
          <w:rFonts w:ascii="Arial" w:hAnsi="Arial" w:cs="Arial"/>
        </w:rPr>
        <w:t xml:space="preserve">6 191 380 Kč vč. DPH </w:t>
      </w:r>
      <w:r>
        <w:rPr>
          <w:rFonts w:ascii="Arial" w:hAnsi="Arial" w:cs="Arial"/>
        </w:rPr>
        <w:t xml:space="preserve">byla </w:t>
      </w:r>
      <w:r w:rsidR="00F53F3B" w:rsidRPr="00972A89">
        <w:rPr>
          <w:rFonts w:ascii="Arial" w:hAnsi="Arial" w:cs="Arial"/>
        </w:rPr>
        <w:t xml:space="preserve">zahrnuta do </w:t>
      </w:r>
      <w:r w:rsidR="00F53F3B">
        <w:rPr>
          <w:rFonts w:ascii="Arial" w:hAnsi="Arial" w:cs="Arial"/>
        </w:rPr>
        <w:t>úspor z</w:t>
      </w:r>
      <w:r w:rsidR="00F53F3B" w:rsidRPr="00972A89">
        <w:rPr>
          <w:rFonts w:ascii="Arial" w:hAnsi="Arial" w:cs="Arial"/>
        </w:rPr>
        <w:t xml:space="preserve">a </w:t>
      </w:r>
      <w:r w:rsidR="00C4133B">
        <w:rPr>
          <w:rFonts w:ascii="Arial" w:hAnsi="Arial" w:cs="Arial"/>
        </w:rPr>
        <w:t>jiné období</w:t>
      </w:r>
      <w:r w:rsidR="00CB25DB">
        <w:rPr>
          <w:rFonts w:ascii="Arial" w:hAnsi="Arial" w:cs="Arial"/>
        </w:rPr>
        <w:t>;</w:t>
      </w:r>
    </w:p>
    <w:p w:rsidR="001171DD" w:rsidRDefault="00CB25DB" w:rsidP="00C23787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8427E" w:rsidRPr="00E75A7E">
        <w:rPr>
          <w:rFonts w:ascii="Arial" w:hAnsi="Arial" w:cs="Arial"/>
        </w:rPr>
        <w:t>esprávn</w:t>
      </w:r>
      <w:r w:rsidR="005452D9">
        <w:rPr>
          <w:rFonts w:ascii="Arial" w:hAnsi="Arial" w:cs="Arial"/>
        </w:rPr>
        <w:t>ě</w:t>
      </w:r>
      <w:r w:rsidR="001171DD">
        <w:rPr>
          <w:rFonts w:ascii="Arial" w:hAnsi="Arial" w:cs="Arial"/>
        </w:rPr>
        <w:t xml:space="preserve"> </w:t>
      </w:r>
      <w:r w:rsidR="005452D9">
        <w:rPr>
          <w:rFonts w:ascii="Arial" w:hAnsi="Arial" w:cs="Arial"/>
        </w:rPr>
        <w:t xml:space="preserve">byly </w:t>
      </w:r>
      <w:r w:rsidR="001171DD">
        <w:rPr>
          <w:rFonts w:ascii="Arial" w:hAnsi="Arial" w:cs="Arial"/>
        </w:rPr>
        <w:t>zadáván</w:t>
      </w:r>
      <w:r w:rsidR="005452D9">
        <w:rPr>
          <w:rFonts w:ascii="Arial" w:hAnsi="Arial" w:cs="Arial"/>
        </w:rPr>
        <w:t>y</w:t>
      </w:r>
      <w:r w:rsidR="001171DD">
        <w:rPr>
          <w:rFonts w:ascii="Arial" w:hAnsi="Arial" w:cs="Arial"/>
        </w:rPr>
        <w:t xml:space="preserve"> jednotkov</w:t>
      </w:r>
      <w:r w:rsidR="005452D9">
        <w:rPr>
          <w:rFonts w:ascii="Arial" w:hAnsi="Arial" w:cs="Arial"/>
        </w:rPr>
        <w:t xml:space="preserve">é </w:t>
      </w:r>
      <w:r w:rsidR="00BB7CF2">
        <w:rPr>
          <w:rFonts w:ascii="Arial" w:hAnsi="Arial" w:cs="Arial"/>
        </w:rPr>
        <w:t xml:space="preserve">nebo </w:t>
      </w:r>
      <w:r w:rsidR="001171DD">
        <w:rPr>
          <w:rFonts w:ascii="Arial" w:hAnsi="Arial" w:cs="Arial"/>
        </w:rPr>
        <w:t>i celkov</w:t>
      </w:r>
      <w:r w:rsidR="005452D9">
        <w:rPr>
          <w:rFonts w:ascii="Arial" w:hAnsi="Arial" w:cs="Arial"/>
        </w:rPr>
        <w:t>é</w:t>
      </w:r>
      <w:r w:rsidR="001171DD">
        <w:rPr>
          <w:rFonts w:ascii="Arial" w:hAnsi="Arial" w:cs="Arial"/>
        </w:rPr>
        <w:t xml:space="preserve"> cen</w:t>
      </w:r>
      <w:r w:rsidR="005452D9">
        <w:rPr>
          <w:rFonts w:ascii="Arial" w:hAnsi="Arial" w:cs="Arial"/>
        </w:rPr>
        <w:t>y</w:t>
      </w:r>
      <w:r w:rsidR="001171DD">
        <w:rPr>
          <w:rFonts w:ascii="Arial" w:hAnsi="Arial" w:cs="Arial"/>
        </w:rPr>
        <w:t xml:space="preserve">, např. při nákupu monitorů </w:t>
      </w:r>
      <w:r w:rsidR="00C4133B">
        <w:rPr>
          <w:rFonts w:ascii="Arial" w:hAnsi="Arial" w:cs="Arial"/>
        </w:rPr>
        <w:t xml:space="preserve">místo </w:t>
      </w:r>
      <w:r w:rsidR="001171DD">
        <w:rPr>
          <w:rFonts w:ascii="Arial" w:hAnsi="Arial" w:cs="Arial"/>
        </w:rPr>
        <w:t xml:space="preserve">ceny 2 707 173 Kč </w:t>
      </w:r>
      <w:r w:rsidR="00C4133B">
        <w:rPr>
          <w:rFonts w:ascii="Arial" w:hAnsi="Arial" w:cs="Arial"/>
        </w:rPr>
        <w:t>bylo uvedeno pouze 451 195 Kč</w:t>
      </w:r>
      <w:r w:rsidR="00391B3C">
        <w:rPr>
          <w:rFonts w:ascii="Arial" w:hAnsi="Arial" w:cs="Arial"/>
        </w:rPr>
        <w:t xml:space="preserve"> (obě vč. DPH)</w:t>
      </w:r>
      <w:r w:rsidR="00BB7CF2">
        <w:rPr>
          <w:rFonts w:ascii="Arial" w:hAnsi="Arial" w:cs="Arial"/>
        </w:rPr>
        <w:t xml:space="preserve"> </w:t>
      </w:r>
      <w:r w:rsidR="005452D9">
        <w:rPr>
          <w:rFonts w:ascii="Arial" w:hAnsi="Arial" w:cs="Arial"/>
        </w:rPr>
        <w:t>nebo</w:t>
      </w:r>
      <w:r w:rsidR="006417C6">
        <w:rPr>
          <w:rFonts w:ascii="Arial" w:hAnsi="Arial" w:cs="Arial"/>
        </w:rPr>
        <w:t xml:space="preserve"> u </w:t>
      </w:r>
      <w:r w:rsidR="00460730" w:rsidRPr="00E75A7E">
        <w:rPr>
          <w:rFonts w:ascii="Arial" w:hAnsi="Arial" w:cs="Arial"/>
        </w:rPr>
        <w:t xml:space="preserve">dodávky PHM </w:t>
      </w:r>
      <w:r w:rsidR="00C4133B">
        <w:rPr>
          <w:rFonts w:ascii="Arial" w:hAnsi="Arial" w:cs="Arial"/>
        </w:rPr>
        <w:t>(</w:t>
      </w:r>
      <w:r w:rsidR="00C4133B" w:rsidRPr="00E75A7E">
        <w:rPr>
          <w:rFonts w:ascii="Arial" w:hAnsi="Arial" w:cs="Arial"/>
        </w:rPr>
        <w:t>12 285 l</w:t>
      </w:r>
      <w:r w:rsidR="00C4133B">
        <w:rPr>
          <w:rFonts w:ascii="Arial" w:hAnsi="Arial" w:cs="Arial"/>
        </w:rPr>
        <w:t>)</w:t>
      </w:r>
      <w:r w:rsidR="00C4133B" w:rsidRPr="00E75A7E">
        <w:rPr>
          <w:rFonts w:ascii="Arial" w:hAnsi="Arial" w:cs="Arial"/>
        </w:rPr>
        <w:t xml:space="preserve"> </w:t>
      </w:r>
      <w:r w:rsidR="00460730" w:rsidRPr="00E75A7E">
        <w:rPr>
          <w:rFonts w:ascii="Arial" w:hAnsi="Arial" w:cs="Arial"/>
        </w:rPr>
        <w:t>nebyla zaevidována skutečně faktu</w:t>
      </w:r>
      <w:r w:rsidR="005452D9">
        <w:rPr>
          <w:rFonts w:ascii="Arial" w:hAnsi="Arial" w:cs="Arial"/>
        </w:rPr>
        <w:t>rovaná jednotková cena 28,54 Kč</w:t>
      </w:r>
      <w:r w:rsidR="005B0637">
        <w:rPr>
          <w:rFonts w:ascii="Arial" w:hAnsi="Arial" w:cs="Arial"/>
        </w:rPr>
        <w:t>/l</w:t>
      </w:r>
      <w:r w:rsidR="00460730" w:rsidRPr="00E75A7E">
        <w:rPr>
          <w:rFonts w:ascii="Arial" w:hAnsi="Arial" w:cs="Arial"/>
        </w:rPr>
        <w:t xml:space="preserve">, </w:t>
      </w:r>
      <w:r w:rsidR="00460730">
        <w:rPr>
          <w:rFonts w:ascii="Arial" w:hAnsi="Arial" w:cs="Arial"/>
        </w:rPr>
        <w:t>ale cena z </w:t>
      </w:r>
      <w:proofErr w:type="spellStart"/>
      <w:r w:rsidR="00460730">
        <w:rPr>
          <w:rFonts w:ascii="Arial" w:hAnsi="Arial" w:cs="Arial"/>
        </w:rPr>
        <w:t>RS</w:t>
      </w:r>
      <w:proofErr w:type="spellEnd"/>
      <w:r w:rsidR="00460730">
        <w:rPr>
          <w:rFonts w:ascii="Arial" w:hAnsi="Arial" w:cs="Arial"/>
        </w:rPr>
        <w:t xml:space="preserve"> 26,86 Kč</w:t>
      </w:r>
      <w:r w:rsidR="005B0637">
        <w:rPr>
          <w:rFonts w:ascii="Arial" w:hAnsi="Arial" w:cs="Arial"/>
        </w:rPr>
        <w:t>/l</w:t>
      </w:r>
      <w:r w:rsidR="00460730">
        <w:rPr>
          <w:rFonts w:ascii="Arial" w:hAnsi="Arial" w:cs="Arial"/>
        </w:rPr>
        <w:t xml:space="preserve"> </w:t>
      </w:r>
      <w:r w:rsidR="005452D9">
        <w:rPr>
          <w:rFonts w:ascii="Arial" w:hAnsi="Arial" w:cs="Arial"/>
        </w:rPr>
        <w:t xml:space="preserve">(obě </w:t>
      </w:r>
      <w:r w:rsidR="00460730">
        <w:rPr>
          <w:rFonts w:ascii="Arial" w:hAnsi="Arial" w:cs="Arial"/>
        </w:rPr>
        <w:t>bez DPH</w:t>
      </w:r>
      <w:r w:rsidR="005452D9">
        <w:rPr>
          <w:rFonts w:ascii="Arial" w:hAnsi="Arial" w:cs="Arial"/>
        </w:rPr>
        <w:t>)</w:t>
      </w:r>
      <w:r w:rsidR="00460730">
        <w:rPr>
          <w:rFonts w:ascii="Arial" w:hAnsi="Arial" w:cs="Arial"/>
        </w:rPr>
        <w:t>;</w:t>
      </w:r>
    </w:p>
    <w:p w:rsidR="002A00AC" w:rsidRPr="00E75A7E" w:rsidRDefault="008606C0" w:rsidP="00C23787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údaje zadané jako referenční cen</w:t>
      </w:r>
      <w:r w:rsidR="005B063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A334BC">
        <w:rPr>
          <w:rFonts w:ascii="Arial" w:hAnsi="Arial" w:cs="Arial"/>
        </w:rPr>
        <w:t xml:space="preserve">nebyly </w:t>
      </w:r>
      <w:r w:rsidR="00391B3C" w:rsidRPr="00391B3C">
        <w:rPr>
          <w:rFonts w:ascii="Arial" w:hAnsi="Arial" w:cs="Arial"/>
        </w:rPr>
        <w:t>spolehlivé</w:t>
      </w:r>
      <w:r w:rsidR="005E3ED9">
        <w:rPr>
          <w:rFonts w:ascii="Arial" w:hAnsi="Arial" w:cs="Arial"/>
        </w:rPr>
        <w:t>,</w:t>
      </w:r>
      <w:r w:rsidR="005452D9">
        <w:rPr>
          <w:rFonts w:ascii="Arial" w:hAnsi="Arial" w:cs="Arial"/>
        </w:rPr>
        <w:t xml:space="preserve"> </w:t>
      </w:r>
      <w:r w:rsidR="00460730">
        <w:rPr>
          <w:rFonts w:ascii="Arial" w:hAnsi="Arial" w:cs="Arial"/>
        </w:rPr>
        <w:t>např.</w:t>
      </w:r>
      <w:r w:rsidR="00F0723E">
        <w:rPr>
          <w:rFonts w:ascii="Arial" w:hAnsi="Arial" w:cs="Arial"/>
        </w:rPr>
        <w:t xml:space="preserve"> </w:t>
      </w:r>
      <w:r w:rsidR="00E75A7E" w:rsidRPr="00E75A7E">
        <w:rPr>
          <w:rFonts w:ascii="Arial" w:hAnsi="Arial" w:cs="Arial"/>
        </w:rPr>
        <w:t xml:space="preserve">u položky monitor při nákupech </w:t>
      </w:r>
      <w:r w:rsidR="002A00AC" w:rsidRPr="00E75A7E">
        <w:rPr>
          <w:rFonts w:ascii="Arial" w:hAnsi="Arial" w:cs="Arial"/>
        </w:rPr>
        <w:t>uskutečněn</w:t>
      </w:r>
      <w:r w:rsidR="00E75A7E" w:rsidRPr="00E75A7E">
        <w:rPr>
          <w:rFonts w:ascii="Arial" w:hAnsi="Arial" w:cs="Arial"/>
        </w:rPr>
        <w:t>ých</w:t>
      </w:r>
      <w:r w:rsidR="002A00AC" w:rsidRPr="00E75A7E">
        <w:rPr>
          <w:rFonts w:ascii="Arial" w:hAnsi="Arial" w:cs="Arial"/>
        </w:rPr>
        <w:t xml:space="preserve"> v jednom dni </w:t>
      </w:r>
      <w:r w:rsidR="00C0647B">
        <w:rPr>
          <w:rFonts w:ascii="Arial" w:hAnsi="Arial" w:cs="Arial"/>
        </w:rPr>
        <w:t>byly uvedeny</w:t>
      </w:r>
      <w:r w:rsidR="002A00AC" w:rsidRPr="00E75A7E">
        <w:rPr>
          <w:rFonts w:ascii="Arial" w:hAnsi="Arial" w:cs="Arial"/>
        </w:rPr>
        <w:t xml:space="preserve"> odlišné</w:t>
      </w:r>
      <w:r w:rsidR="00B307FF">
        <w:rPr>
          <w:rFonts w:ascii="Arial" w:hAnsi="Arial" w:cs="Arial"/>
        </w:rPr>
        <w:t xml:space="preserve"> </w:t>
      </w:r>
      <w:r w:rsidR="002A00AC" w:rsidRPr="00E75A7E">
        <w:rPr>
          <w:rFonts w:ascii="Arial" w:hAnsi="Arial" w:cs="Arial"/>
        </w:rPr>
        <w:t>referenční ceny</w:t>
      </w:r>
      <w:r w:rsidR="00C0647B">
        <w:rPr>
          <w:rFonts w:ascii="Arial" w:hAnsi="Arial" w:cs="Arial"/>
        </w:rPr>
        <w:t xml:space="preserve"> </w:t>
      </w:r>
      <w:r w:rsidR="002A00AC" w:rsidRPr="00E75A7E">
        <w:rPr>
          <w:rFonts w:ascii="Arial" w:hAnsi="Arial" w:cs="Arial"/>
        </w:rPr>
        <w:t xml:space="preserve">v rozmezí </w:t>
      </w:r>
      <w:r w:rsidR="00E75A7E" w:rsidRPr="00E75A7E">
        <w:rPr>
          <w:rFonts w:ascii="Arial" w:hAnsi="Arial" w:cs="Arial"/>
        </w:rPr>
        <w:t xml:space="preserve">od </w:t>
      </w:r>
      <w:r w:rsidR="002A00AC" w:rsidRPr="00E75A7E">
        <w:rPr>
          <w:rFonts w:ascii="Arial" w:hAnsi="Arial" w:cs="Arial"/>
        </w:rPr>
        <w:t xml:space="preserve">3 700 Kč vč. DPH </w:t>
      </w:r>
      <w:r w:rsidR="00E75A7E" w:rsidRPr="00E75A7E">
        <w:rPr>
          <w:rFonts w:ascii="Arial" w:hAnsi="Arial" w:cs="Arial"/>
        </w:rPr>
        <w:t xml:space="preserve">do </w:t>
      </w:r>
      <w:r w:rsidR="00C0647B">
        <w:rPr>
          <w:rFonts w:ascii="Arial" w:hAnsi="Arial" w:cs="Arial"/>
        </w:rPr>
        <w:t>6 300 Kč vč. DPH;</w:t>
      </w:r>
    </w:p>
    <w:p w:rsidR="00F0723E" w:rsidRDefault="00647484" w:rsidP="00C23787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některé </w:t>
      </w:r>
      <w:r w:rsidR="00F8427E" w:rsidRPr="005B0637">
        <w:rPr>
          <w:rFonts w:ascii="Arial" w:hAnsi="Arial" w:cs="Arial"/>
        </w:rPr>
        <w:t>nákup</w:t>
      </w:r>
      <w:r w:rsidR="00BF58E9" w:rsidRPr="005B0637">
        <w:rPr>
          <w:rFonts w:ascii="Arial" w:hAnsi="Arial" w:cs="Arial"/>
        </w:rPr>
        <w:t>y</w:t>
      </w:r>
      <w:r w:rsidR="005B0637" w:rsidRPr="005B0637">
        <w:rPr>
          <w:rFonts w:ascii="Arial" w:hAnsi="Arial" w:cs="Arial"/>
        </w:rPr>
        <w:t xml:space="preserve"> realizovan</w:t>
      </w:r>
      <w:r w:rsidR="005B0637">
        <w:rPr>
          <w:rFonts w:ascii="Arial" w:hAnsi="Arial" w:cs="Arial"/>
        </w:rPr>
        <w:t>é</w:t>
      </w:r>
      <w:r w:rsidR="00BF58E9" w:rsidRPr="00F0723E">
        <w:rPr>
          <w:rFonts w:ascii="Arial" w:hAnsi="Arial" w:cs="Arial"/>
        </w:rPr>
        <w:t xml:space="preserve"> </w:t>
      </w:r>
      <w:r w:rsidR="00F8427E" w:rsidRPr="00F0723E">
        <w:rPr>
          <w:rFonts w:ascii="Arial" w:hAnsi="Arial" w:cs="Arial"/>
        </w:rPr>
        <w:t xml:space="preserve">mimo </w:t>
      </w:r>
      <w:proofErr w:type="spellStart"/>
      <w:r w:rsidR="00F8427E" w:rsidRPr="00F0723E">
        <w:rPr>
          <w:rFonts w:ascii="Arial" w:hAnsi="Arial" w:cs="Arial"/>
        </w:rPr>
        <w:t>C</w:t>
      </w:r>
      <w:r>
        <w:rPr>
          <w:rFonts w:ascii="Arial" w:hAnsi="Arial" w:cs="Arial"/>
        </w:rPr>
        <w:t>N</w:t>
      </w:r>
      <w:proofErr w:type="spellEnd"/>
      <w:r w:rsidR="00F8427E" w:rsidRPr="00F0723E">
        <w:rPr>
          <w:rFonts w:ascii="Arial" w:hAnsi="Arial" w:cs="Arial"/>
        </w:rPr>
        <w:t xml:space="preserve"> </w:t>
      </w:r>
      <w:r w:rsidR="00BF58E9" w:rsidRPr="00F0723E">
        <w:rPr>
          <w:rFonts w:ascii="Arial" w:hAnsi="Arial" w:cs="Arial"/>
        </w:rPr>
        <w:t xml:space="preserve">byly evidovány </w:t>
      </w:r>
      <w:r w:rsidR="00F8427E" w:rsidRPr="00F0723E">
        <w:rPr>
          <w:rFonts w:ascii="Arial" w:hAnsi="Arial" w:cs="Arial"/>
        </w:rPr>
        <w:t>jako nákupy z rámcových smluv</w:t>
      </w:r>
      <w:r w:rsidR="00BF58E9" w:rsidRPr="00F0723E">
        <w:rPr>
          <w:rFonts w:ascii="Arial" w:hAnsi="Arial" w:cs="Arial"/>
        </w:rPr>
        <w:t>;</w:t>
      </w:r>
      <w:r w:rsidR="00F53F3B" w:rsidRPr="00F0723E">
        <w:rPr>
          <w:rFonts w:ascii="Arial" w:hAnsi="Arial" w:cs="Arial"/>
        </w:rPr>
        <w:t xml:space="preserve"> </w:t>
      </w:r>
    </w:p>
    <w:p w:rsidR="00EA7E91" w:rsidRDefault="00C0647B" w:rsidP="00C23787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A7E91">
        <w:rPr>
          <w:rFonts w:ascii="Arial" w:hAnsi="Arial" w:cs="Arial"/>
        </w:rPr>
        <w:t>n</w:t>
      </w:r>
      <w:r w:rsidR="00BF58E9" w:rsidRPr="00EA7E91">
        <w:rPr>
          <w:rFonts w:ascii="Arial" w:hAnsi="Arial" w:cs="Arial"/>
        </w:rPr>
        <w:t xml:space="preserve">esprávně bylo </w:t>
      </w:r>
      <w:r w:rsidR="00F8427E" w:rsidRPr="00EA7E91">
        <w:rPr>
          <w:rFonts w:ascii="Arial" w:hAnsi="Arial" w:cs="Arial"/>
        </w:rPr>
        <w:t>zadá</w:t>
      </w:r>
      <w:r w:rsidR="00BF58E9" w:rsidRPr="00EA7E91">
        <w:rPr>
          <w:rFonts w:ascii="Arial" w:hAnsi="Arial" w:cs="Arial"/>
        </w:rPr>
        <w:t xml:space="preserve">no </w:t>
      </w:r>
      <w:r w:rsidR="00F8427E" w:rsidRPr="00EA7E91">
        <w:rPr>
          <w:rFonts w:ascii="Arial" w:hAnsi="Arial" w:cs="Arial"/>
        </w:rPr>
        <w:t xml:space="preserve">množství </w:t>
      </w:r>
      <w:r w:rsidRPr="00EA7E91">
        <w:rPr>
          <w:rFonts w:ascii="Arial" w:hAnsi="Arial" w:cs="Arial"/>
        </w:rPr>
        <w:t xml:space="preserve">nebo </w:t>
      </w:r>
      <w:r w:rsidR="00BF58E9" w:rsidRPr="00EA7E91">
        <w:rPr>
          <w:rFonts w:ascii="Arial" w:hAnsi="Arial" w:cs="Arial"/>
        </w:rPr>
        <w:t>druh</w:t>
      </w:r>
      <w:r w:rsidR="00F8427E" w:rsidRPr="00EA7E91">
        <w:rPr>
          <w:rFonts w:ascii="Arial" w:hAnsi="Arial" w:cs="Arial"/>
        </w:rPr>
        <w:t xml:space="preserve"> položk</w:t>
      </w:r>
      <w:r w:rsidR="00EA7E91" w:rsidRPr="00EA7E91">
        <w:rPr>
          <w:rFonts w:ascii="Arial" w:hAnsi="Arial" w:cs="Arial"/>
        </w:rPr>
        <w:t xml:space="preserve">y; </w:t>
      </w:r>
    </w:p>
    <w:p w:rsidR="00B307FF" w:rsidRPr="00EA7E91" w:rsidRDefault="00EA7E91" w:rsidP="00C23787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76FF0" w:rsidRPr="00EA7E91">
        <w:rPr>
          <w:rFonts w:ascii="Arial" w:hAnsi="Arial" w:cs="Arial"/>
        </w:rPr>
        <w:t>e</w:t>
      </w:r>
      <w:r w:rsidR="00C23787">
        <w:rPr>
          <w:rFonts w:ascii="Arial" w:hAnsi="Arial" w:cs="Arial"/>
        </w:rPr>
        <w:t xml:space="preserve"> </w:t>
      </w:r>
      <w:r w:rsidR="00B307FF" w:rsidRPr="00EA7E91">
        <w:rPr>
          <w:rFonts w:ascii="Arial" w:hAnsi="Arial" w:cs="Arial"/>
        </w:rPr>
        <w:t xml:space="preserve">zkreslení vykazovaných úspor </w:t>
      </w:r>
      <w:proofErr w:type="spellStart"/>
      <w:r w:rsidR="00B307FF" w:rsidRPr="00EA7E91">
        <w:rPr>
          <w:rFonts w:ascii="Arial" w:hAnsi="Arial" w:cs="Arial"/>
        </w:rPr>
        <w:t>C</w:t>
      </w:r>
      <w:r w:rsidR="00647484" w:rsidRPr="00EA7E91">
        <w:rPr>
          <w:rFonts w:ascii="Arial" w:hAnsi="Arial" w:cs="Arial"/>
        </w:rPr>
        <w:t>N</w:t>
      </w:r>
      <w:proofErr w:type="spellEnd"/>
      <w:r w:rsidR="00B307FF" w:rsidRPr="00EA7E91">
        <w:rPr>
          <w:rFonts w:ascii="Arial" w:hAnsi="Arial" w:cs="Arial"/>
        </w:rPr>
        <w:t xml:space="preserve"> došlo</w:t>
      </w:r>
      <w:r w:rsidR="00B76FF0" w:rsidRPr="00EA7E91">
        <w:rPr>
          <w:rFonts w:ascii="Arial" w:hAnsi="Arial" w:cs="Arial"/>
        </w:rPr>
        <w:t xml:space="preserve"> i </w:t>
      </w:r>
      <w:r w:rsidR="00B307FF" w:rsidRPr="00EA7E91">
        <w:rPr>
          <w:rFonts w:ascii="Arial" w:hAnsi="Arial" w:cs="Arial"/>
        </w:rPr>
        <w:t xml:space="preserve">tím, že MV nepromítlo </w:t>
      </w:r>
      <w:r w:rsidR="005B0637" w:rsidRPr="00EA7E91">
        <w:rPr>
          <w:rFonts w:ascii="Arial" w:hAnsi="Arial" w:cs="Arial"/>
        </w:rPr>
        <w:t>do výpočtu úspor</w:t>
      </w:r>
      <w:r w:rsidR="005B0637">
        <w:rPr>
          <w:rFonts w:ascii="Arial" w:hAnsi="Arial" w:cs="Arial"/>
        </w:rPr>
        <w:t xml:space="preserve"> </w:t>
      </w:r>
      <w:r w:rsidR="00B307FF" w:rsidRPr="00EA7E91">
        <w:rPr>
          <w:rFonts w:ascii="Arial" w:hAnsi="Arial" w:cs="Arial"/>
        </w:rPr>
        <w:t xml:space="preserve">cenu za uskladnění </w:t>
      </w:r>
      <w:r w:rsidR="00647484" w:rsidRPr="00EA7E91">
        <w:rPr>
          <w:rFonts w:ascii="Arial" w:hAnsi="Arial" w:cs="Arial"/>
        </w:rPr>
        <w:t xml:space="preserve">PHM </w:t>
      </w:r>
      <w:r w:rsidR="00B307FF" w:rsidRPr="00EA7E91">
        <w:rPr>
          <w:rFonts w:ascii="Arial" w:hAnsi="Arial" w:cs="Arial"/>
        </w:rPr>
        <w:t>v externích úložištích</w:t>
      </w:r>
      <w:r w:rsidR="005E3ED9">
        <w:rPr>
          <w:rFonts w:ascii="Arial" w:hAnsi="Arial" w:cs="Arial"/>
        </w:rPr>
        <w:t>, resp. vyčíslené úspory o </w:t>
      </w:r>
      <w:r w:rsidR="00B307FF" w:rsidRPr="00EA7E91">
        <w:rPr>
          <w:rFonts w:ascii="Arial" w:hAnsi="Arial" w:cs="Arial"/>
        </w:rPr>
        <w:t>tyto částky nesnížilo.</w:t>
      </w:r>
      <w:r w:rsidR="00C23787">
        <w:rPr>
          <w:rFonts w:ascii="Arial" w:hAnsi="Arial" w:cs="Arial"/>
        </w:rPr>
        <w:t xml:space="preserve"> </w:t>
      </w:r>
    </w:p>
    <w:p w:rsidR="00494BC6" w:rsidRPr="00F53F3B" w:rsidRDefault="00494BC6" w:rsidP="00C23787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460730" w:rsidRDefault="00F1104F" w:rsidP="00460730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972A89">
        <w:rPr>
          <w:rFonts w:ascii="Arial" w:hAnsi="Arial" w:cs="Arial"/>
        </w:rPr>
        <w:t xml:space="preserve">Četnost a významnost nedostatků při zadávání údajů do </w:t>
      </w:r>
      <w:proofErr w:type="spellStart"/>
      <w:r w:rsidRPr="00972A89">
        <w:rPr>
          <w:rFonts w:ascii="Arial" w:hAnsi="Arial" w:cs="Arial"/>
        </w:rPr>
        <w:t>MKS</w:t>
      </w:r>
      <w:proofErr w:type="spellEnd"/>
      <w:r w:rsidRPr="00972A89">
        <w:rPr>
          <w:rFonts w:ascii="Arial" w:hAnsi="Arial" w:cs="Arial"/>
        </w:rPr>
        <w:t xml:space="preserve"> se u je</w:t>
      </w:r>
      <w:r w:rsidR="00C4133B">
        <w:rPr>
          <w:rFonts w:ascii="Arial" w:hAnsi="Arial" w:cs="Arial"/>
        </w:rPr>
        <w:t>dnotlivých komodit značně liší.</w:t>
      </w:r>
      <w:r w:rsidRPr="00972A89">
        <w:rPr>
          <w:rFonts w:ascii="Arial" w:hAnsi="Arial" w:cs="Arial"/>
        </w:rPr>
        <w:t xml:space="preserve"> Nejčastěji byly chybné údaje </w:t>
      </w:r>
      <w:r>
        <w:rPr>
          <w:rFonts w:ascii="Arial" w:hAnsi="Arial" w:cs="Arial"/>
        </w:rPr>
        <w:t xml:space="preserve">zjištěny </w:t>
      </w:r>
      <w:r w:rsidRPr="00972A89">
        <w:rPr>
          <w:rFonts w:ascii="Arial" w:hAnsi="Arial" w:cs="Arial"/>
        </w:rPr>
        <w:t xml:space="preserve">u komodity </w:t>
      </w:r>
      <w:r w:rsidR="005E1187">
        <w:rPr>
          <w:rFonts w:ascii="Arial" w:hAnsi="Arial" w:cs="Arial"/>
        </w:rPr>
        <w:t>PHM</w:t>
      </w:r>
      <w:r w:rsidRPr="00972A89">
        <w:rPr>
          <w:rFonts w:ascii="Arial" w:hAnsi="Arial" w:cs="Arial"/>
        </w:rPr>
        <w:t xml:space="preserve"> v roce 2012</w:t>
      </w:r>
      <w:r w:rsidR="00B307FF">
        <w:rPr>
          <w:rFonts w:ascii="Arial" w:hAnsi="Arial" w:cs="Arial"/>
        </w:rPr>
        <w:t>, kdy n</w:t>
      </w:r>
      <w:r w:rsidR="00E81086">
        <w:rPr>
          <w:rFonts w:ascii="Arial" w:hAnsi="Arial" w:cs="Arial"/>
        </w:rPr>
        <w:t>apř. u</w:t>
      </w:r>
      <w:r w:rsidR="005E3ED9">
        <w:rPr>
          <w:rFonts w:ascii="Arial" w:hAnsi="Arial" w:cs="Arial"/>
        </w:rPr>
        <w:t> </w:t>
      </w:r>
      <w:r w:rsidRPr="00972A89">
        <w:rPr>
          <w:rFonts w:ascii="Arial" w:hAnsi="Arial" w:cs="Arial"/>
        </w:rPr>
        <w:t>položky Natural</w:t>
      </w:r>
      <w:r>
        <w:rPr>
          <w:rFonts w:ascii="Arial" w:hAnsi="Arial" w:cs="Arial"/>
        </w:rPr>
        <w:t> </w:t>
      </w:r>
      <w:r w:rsidRPr="00972A89">
        <w:rPr>
          <w:rFonts w:ascii="Arial" w:hAnsi="Arial" w:cs="Arial"/>
        </w:rPr>
        <w:t xml:space="preserve">95 bylo chybně zaevidováno 40 </w:t>
      </w:r>
      <w:r w:rsidR="00FF54A3">
        <w:rPr>
          <w:rFonts w:ascii="Arial" w:hAnsi="Arial" w:cs="Arial"/>
        </w:rPr>
        <w:t>z </w:t>
      </w:r>
      <w:r w:rsidRPr="00972A89">
        <w:rPr>
          <w:rFonts w:ascii="Arial" w:hAnsi="Arial" w:cs="Arial"/>
        </w:rPr>
        <w:t>310 případů</w:t>
      </w:r>
      <w:r w:rsidR="006417C6">
        <w:rPr>
          <w:rFonts w:ascii="Arial" w:hAnsi="Arial" w:cs="Arial"/>
        </w:rPr>
        <w:t>, přitom 36 </w:t>
      </w:r>
      <w:r w:rsidR="00C4133B">
        <w:rPr>
          <w:rFonts w:ascii="Arial" w:hAnsi="Arial" w:cs="Arial"/>
        </w:rPr>
        <w:t>z uvedených 40</w:t>
      </w:r>
      <w:r w:rsidR="00C23787">
        <w:rPr>
          <w:rFonts w:ascii="Arial" w:hAnsi="Arial" w:cs="Arial"/>
        </w:rPr>
        <w:t> </w:t>
      </w:r>
      <w:r w:rsidR="005B0637">
        <w:rPr>
          <w:rFonts w:ascii="Arial" w:hAnsi="Arial" w:cs="Arial"/>
        </w:rPr>
        <w:t xml:space="preserve">případů </w:t>
      </w:r>
      <w:r w:rsidR="00460730">
        <w:rPr>
          <w:rFonts w:ascii="Arial" w:hAnsi="Arial" w:cs="Arial"/>
        </w:rPr>
        <w:t xml:space="preserve">vedlo k nadhodnocení vykázaných úspor </w:t>
      </w:r>
      <w:r w:rsidR="00574243">
        <w:rPr>
          <w:rFonts w:ascii="Arial" w:hAnsi="Arial" w:cs="Arial"/>
        </w:rPr>
        <w:t xml:space="preserve">o </w:t>
      </w:r>
      <w:r w:rsidR="00460730">
        <w:rPr>
          <w:rFonts w:ascii="Arial" w:hAnsi="Arial" w:cs="Arial"/>
        </w:rPr>
        <w:t>cca 10 %</w:t>
      </w:r>
      <w:r w:rsidRPr="00972A89">
        <w:rPr>
          <w:rFonts w:ascii="Arial" w:hAnsi="Arial" w:cs="Arial"/>
        </w:rPr>
        <w:t>.</w:t>
      </w:r>
    </w:p>
    <w:p w:rsidR="00494BC6" w:rsidRDefault="00494BC6" w:rsidP="00460730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961850" w:rsidRPr="00A93516" w:rsidRDefault="00A93516" w:rsidP="00CA27D6">
      <w:pPr>
        <w:spacing w:after="0" w:line="240" w:lineRule="auto"/>
        <w:jc w:val="both"/>
        <w:rPr>
          <w:rFonts w:ascii="Arial" w:hAnsi="Arial" w:cs="Arial"/>
        </w:rPr>
      </w:pPr>
      <w:r w:rsidRPr="00460730">
        <w:rPr>
          <w:rFonts w:ascii="Arial" w:hAnsi="Arial" w:cs="Arial"/>
        </w:rPr>
        <w:lastRenderedPageBreak/>
        <w:t>Bylo zjištěno, že v případě některých komodit přesahuje zkreslení 15 % celkových úspor vyčíslených MV v daném roce z nákupu dané komodity.</w:t>
      </w:r>
      <w:r>
        <w:rPr>
          <w:rFonts w:ascii="Arial" w:hAnsi="Arial" w:cs="Arial"/>
        </w:rPr>
        <w:t xml:space="preserve"> </w:t>
      </w:r>
      <w:r w:rsidR="001C08BB">
        <w:rPr>
          <w:rFonts w:ascii="Arial" w:hAnsi="Arial" w:cs="Arial"/>
          <w:b/>
        </w:rPr>
        <w:t>S</w:t>
      </w:r>
      <w:r w:rsidRPr="00391B3C">
        <w:rPr>
          <w:rFonts w:ascii="Arial" w:hAnsi="Arial" w:cs="Arial"/>
          <w:b/>
        </w:rPr>
        <w:t xml:space="preserve">ystém </w:t>
      </w:r>
      <w:r w:rsidR="00961850" w:rsidRPr="00391B3C">
        <w:rPr>
          <w:rFonts w:ascii="Arial" w:hAnsi="Arial" w:cs="Arial"/>
          <w:b/>
        </w:rPr>
        <w:t>na MV neumožňuje</w:t>
      </w:r>
      <w:r w:rsidRPr="00391B3C">
        <w:rPr>
          <w:rFonts w:ascii="Arial" w:hAnsi="Arial" w:cs="Arial"/>
          <w:b/>
        </w:rPr>
        <w:t xml:space="preserve"> </w:t>
      </w:r>
      <w:r w:rsidR="001C08BB">
        <w:rPr>
          <w:rFonts w:ascii="Arial" w:hAnsi="Arial" w:cs="Arial"/>
          <w:b/>
        </w:rPr>
        <w:t>zcela objektivní</w:t>
      </w:r>
      <w:r w:rsidR="005452D9" w:rsidRPr="00391B3C">
        <w:rPr>
          <w:rFonts w:ascii="Arial" w:hAnsi="Arial" w:cs="Arial"/>
          <w:b/>
        </w:rPr>
        <w:t xml:space="preserve"> vyčíslení </w:t>
      </w:r>
      <w:r w:rsidR="001C08BB">
        <w:rPr>
          <w:rFonts w:ascii="Arial" w:hAnsi="Arial" w:cs="Arial"/>
          <w:b/>
        </w:rPr>
        <w:t xml:space="preserve">úspor. V důsledku toho, že </w:t>
      </w:r>
      <w:proofErr w:type="spellStart"/>
      <w:r w:rsidR="001C08BB">
        <w:rPr>
          <w:rFonts w:ascii="Arial" w:hAnsi="Arial" w:cs="Arial"/>
          <w:b/>
        </w:rPr>
        <w:t>MKS</w:t>
      </w:r>
      <w:proofErr w:type="spellEnd"/>
      <w:r w:rsidR="001C08BB">
        <w:rPr>
          <w:rFonts w:ascii="Arial" w:hAnsi="Arial" w:cs="Arial"/>
          <w:b/>
        </w:rPr>
        <w:t xml:space="preserve"> n</w:t>
      </w:r>
      <w:r w:rsidR="005E3ED9">
        <w:rPr>
          <w:rFonts w:ascii="Arial" w:hAnsi="Arial" w:cs="Arial"/>
          <w:b/>
        </w:rPr>
        <w:t>eobsahuje vždy správné, úplné a </w:t>
      </w:r>
      <w:r w:rsidR="001C08BB">
        <w:rPr>
          <w:rFonts w:ascii="Arial" w:hAnsi="Arial" w:cs="Arial"/>
          <w:b/>
        </w:rPr>
        <w:t>přesné údaje, je c</w:t>
      </w:r>
      <w:r w:rsidR="001C08BB" w:rsidRPr="00391B3C">
        <w:rPr>
          <w:rFonts w:ascii="Arial" w:hAnsi="Arial" w:cs="Arial"/>
          <w:b/>
        </w:rPr>
        <w:t xml:space="preserve">elková </w:t>
      </w:r>
      <w:r w:rsidR="001656D4" w:rsidRPr="00391B3C">
        <w:rPr>
          <w:rFonts w:ascii="Arial" w:hAnsi="Arial" w:cs="Arial"/>
          <w:b/>
        </w:rPr>
        <w:t xml:space="preserve">výše </w:t>
      </w:r>
      <w:r w:rsidR="001656D4">
        <w:rPr>
          <w:rFonts w:ascii="Arial" w:hAnsi="Arial" w:cs="Arial"/>
          <w:b/>
        </w:rPr>
        <w:t xml:space="preserve">úspor </w:t>
      </w:r>
      <w:r w:rsidR="001C08BB" w:rsidRPr="00391B3C">
        <w:rPr>
          <w:rFonts w:ascii="Arial" w:hAnsi="Arial" w:cs="Arial"/>
          <w:b/>
        </w:rPr>
        <w:t xml:space="preserve">vykázaná </w:t>
      </w:r>
      <w:r w:rsidR="001656D4">
        <w:rPr>
          <w:rFonts w:ascii="Arial" w:hAnsi="Arial" w:cs="Arial"/>
          <w:b/>
        </w:rPr>
        <w:t xml:space="preserve">MV </w:t>
      </w:r>
      <w:r w:rsidR="00937B12">
        <w:rPr>
          <w:rFonts w:ascii="Arial" w:hAnsi="Arial" w:cs="Arial"/>
          <w:b/>
        </w:rPr>
        <w:t xml:space="preserve">v částce </w:t>
      </w:r>
      <w:r w:rsidR="001C08BB" w:rsidRPr="00391B3C">
        <w:rPr>
          <w:rFonts w:ascii="Arial" w:hAnsi="Arial" w:cs="Arial"/>
          <w:b/>
        </w:rPr>
        <w:t>658 104</w:t>
      </w:r>
      <w:r w:rsidR="001656D4">
        <w:rPr>
          <w:rFonts w:ascii="Arial" w:hAnsi="Arial" w:cs="Arial"/>
          <w:b/>
        </w:rPr>
        <w:t> </w:t>
      </w:r>
      <w:r w:rsidR="001C08BB" w:rsidRPr="00391B3C">
        <w:rPr>
          <w:rFonts w:ascii="Arial" w:hAnsi="Arial" w:cs="Arial"/>
          <w:b/>
        </w:rPr>
        <w:t>tis.</w:t>
      </w:r>
      <w:r w:rsidR="001656D4">
        <w:rPr>
          <w:rFonts w:ascii="Arial" w:hAnsi="Arial" w:cs="Arial"/>
          <w:b/>
        </w:rPr>
        <w:t> </w:t>
      </w:r>
      <w:r w:rsidR="001C08BB" w:rsidRPr="00391B3C">
        <w:rPr>
          <w:rFonts w:ascii="Arial" w:hAnsi="Arial" w:cs="Arial"/>
          <w:b/>
        </w:rPr>
        <w:t xml:space="preserve">Kč za období let 2008 až 2012 </w:t>
      </w:r>
      <w:r w:rsidR="00961850" w:rsidRPr="005452D9">
        <w:rPr>
          <w:rFonts w:ascii="Arial" w:hAnsi="Arial" w:cs="Arial"/>
          <w:b/>
        </w:rPr>
        <w:t>zatížena zkreslením, které nelze přesně vyčíslit.</w:t>
      </w:r>
      <w:r w:rsidR="004F6AF7">
        <w:rPr>
          <w:rFonts w:ascii="Arial" w:hAnsi="Arial" w:cs="Arial"/>
          <w:b/>
        </w:rPr>
        <w:t xml:space="preserve"> </w:t>
      </w:r>
    </w:p>
    <w:p w:rsidR="00A93516" w:rsidRDefault="00A93516" w:rsidP="00CA27D6">
      <w:pPr>
        <w:spacing w:after="0" w:line="240" w:lineRule="auto"/>
        <w:jc w:val="both"/>
        <w:rPr>
          <w:rFonts w:ascii="Arial" w:hAnsi="Arial" w:cs="Arial"/>
        </w:rPr>
      </w:pPr>
    </w:p>
    <w:p w:rsidR="00552BCA" w:rsidRDefault="00552BCA" w:rsidP="0022756A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441177">
        <w:rPr>
          <w:rFonts w:ascii="Arial" w:hAnsi="Arial" w:cs="Arial"/>
          <w:b/>
          <w:bCs/>
        </w:rPr>
        <w:t>Skutečnosti zjištěné při kontrole jednotlivých komodit</w:t>
      </w:r>
      <w:bookmarkStart w:id="1" w:name="_GoBack"/>
      <w:bookmarkEnd w:id="1"/>
    </w:p>
    <w:p w:rsidR="00B76FF0" w:rsidRPr="00B76FF0" w:rsidRDefault="00B76FF0" w:rsidP="00B76FF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D38C2" w:rsidRDefault="002D38C2" w:rsidP="0044117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vybraných komodit </w:t>
      </w:r>
      <w:r w:rsidR="00884747">
        <w:rPr>
          <w:rFonts w:ascii="Arial" w:hAnsi="Arial" w:cs="Arial"/>
        </w:rPr>
        <w:t xml:space="preserve">bylo ověřováno </w:t>
      </w:r>
      <w:r>
        <w:rPr>
          <w:rFonts w:ascii="Arial" w:hAnsi="Arial" w:cs="Arial"/>
        </w:rPr>
        <w:t>zadávání veřejných zakázek na uzavření rámcových smluv</w:t>
      </w:r>
      <w:r w:rsidR="00C413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soulad prováděcích smluv </w:t>
      </w:r>
      <w:r w:rsidR="00C4133B">
        <w:rPr>
          <w:rFonts w:ascii="Arial" w:hAnsi="Arial" w:cs="Arial"/>
        </w:rPr>
        <w:t>s </w:t>
      </w:r>
      <w:proofErr w:type="spellStart"/>
      <w:r w:rsidR="00C4133B">
        <w:rPr>
          <w:rFonts w:ascii="Arial" w:hAnsi="Arial" w:cs="Arial"/>
        </w:rPr>
        <w:t>RS</w:t>
      </w:r>
      <w:proofErr w:type="spellEnd"/>
      <w:r w:rsidR="00C4133B">
        <w:rPr>
          <w:rFonts w:ascii="Arial" w:hAnsi="Arial" w:cs="Arial"/>
        </w:rPr>
        <w:t xml:space="preserve"> a </w:t>
      </w:r>
      <w:r w:rsidR="00EA252A">
        <w:rPr>
          <w:rFonts w:ascii="Arial" w:hAnsi="Arial" w:cs="Arial"/>
        </w:rPr>
        <w:t xml:space="preserve">způsob sledování </w:t>
      </w:r>
      <w:r w:rsidRPr="00EA252A">
        <w:rPr>
          <w:rFonts w:ascii="Arial" w:hAnsi="Arial" w:cs="Arial"/>
        </w:rPr>
        <w:t>dosahovaných</w:t>
      </w:r>
      <w:r>
        <w:rPr>
          <w:rFonts w:ascii="Arial" w:hAnsi="Arial" w:cs="Arial"/>
        </w:rPr>
        <w:t xml:space="preserve"> úspor. Ověřován byl postup MV jako centrálního zadavatele</w:t>
      </w:r>
      <w:r w:rsidR="005B063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41177">
        <w:rPr>
          <w:rFonts w:ascii="Arial" w:hAnsi="Arial" w:cs="Arial"/>
        </w:rPr>
        <w:t>a</w:t>
      </w:r>
      <w:r w:rsidR="00A93516">
        <w:rPr>
          <w:rFonts w:ascii="Arial" w:hAnsi="Arial" w:cs="Arial"/>
        </w:rPr>
        <w:t>le</w:t>
      </w:r>
      <w:r w:rsidR="00441177">
        <w:rPr>
          <w:rFonts w:ascii="Arial" w:hAnsi="Arial" w:cs="Arial"/>
        </w:rPr>
        <w:t xml:space="preserve"> zároveň i</w:t>
      </w:r>
      <w:r>
        <w:rPr>
          <w:rFonts w:ascii="Arial" w:hAnsi="Arial" w:cs="Arial"/>
        </w:rPr>
        <w:t xml:space="preserve"> </w:t>
      </w:r>
      <w:r w:rsidR="00D90247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veřejného zadavatele</w:t>
      </w:r>
      <w:r w:rsidR="00CB4F43">
        <w:rPr>
          <w:rFonts w:ascii="Arial" w:hAnsi="Arial" w:cs="Arial"/>
        </w:rPr>
        <w:t>,</w:t>
      </w:r>
      <w:r w:rsidR="00C4133B">
        <w:rPr>
          <w:rFonts w:ascii="Arial" w:hAnsi="Arial" w:cs="Arial"/>
        </w:rPr>
        <w:t xml:space="preserve"> </w:t>
      </w:r>
      <w:r w:rsidR="006417C6">
        <w:rPr>
          <w:rFonts w:ascii="Arial" w:hAnsi="Arial" w:cs="Arial"/>
        </w:rPr>
        <w:t>vybrán byl útvar MV – </w:t>
      </w:r>
      <w:r w:rsidR="00441177">
        <w:rPr>
          <w:rFonts w:ascii="Arial" w:hAnsi="Arial" w:cs="Arial"/>
        </w:rPr>
        <w:t>Policejní prezidium</w:t>
      </w:r>
      <w:r w:rsidR="00D97762">
        <w:rPr>
          <w:rFonts w:ascii="Arial" w:hAnsi="Arial" w:cs="Arial"/>
        </w:rPr>
        <w:t xml:space="preserve">. </w:t>
      </w:r>
      <w:r w:rsidR="00441177">
        <w:rPr>
          <w:rFonts w:ascii="Arial" w:hAnsi="Arial" w:cs="Arial"/>
        </w:rPr>
        <w:t>Dále byl postup veř</w:t>
      </w:r>
      <w:r w:rsidR="005E3ED9">
        <w:rPr>
          <w:rFonts w:ascii="Arial" w:hAnsi="Arial" w:cs="Arial"/>
        </w:rPr>
        <w:t>ejného zadavatele kontrolován u </w:t>
      </w:r>
      <w:r w:rsidRPr="00441177">
        <w:rPr>
          <w:rFonts w:ascii="Arial" w:hAnsi="Arial" w:cs="Arial"/>
        </w:rPr>
        <w:t>příspěvkov</w:t>
      </w:r>
      <w:r w:rsidR="00441177">
        <w:rPr>
          <w:rFonts w:ascii="Arial" w:hAnsi="Arial" w:cs="Arial"/>
        </w:rPr>
        <w:t>é</w:t>
      </w:r>
      <w:r w:rsidRPr="00441177">
        <w:rPr>
          <w:rFonts w:ascii="Arial" w:hAnsi="Arial" w:cs="Arial"/>
        </w:rPr>
        <w:t xml:space="preserve"> organizace Zařízení služeb</w:t>
      </w:r>
      <w:r w:rsidR="00441177">
        <w:rPr>
          <w:rFonts w:ascii="Arial" w:hAnsi="Arial" w:cs="Arial"/>
        </w:rPr>
        <w:t xml:space="preserve"> pro MV</w:t>
      </w:r>
      <w:r w:rsidRPr="00441177">
        <w:rPr>
          <w:rFonts w:ascii="Arial" w:hAnsi="Arial" w:cs="Arial"/>
        </w:rPr>
        <w:t>.</w:t>
      </w:r>
    </w:p>
    <w:p w:rsidR="00880F9C" w:rsidRDefault="00880F9C" w:rsidP="0044117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880F9C" w:rsidRDefault="00880F9C" w:rsidP="00880F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MV jako centrální zadavatel provádělo „</w:t>
      </w:r>
      <w:proofErr w:type="spellStart"/>
      <w:r>
        <w:rPr>
          <w:rFonts w:ascii="Arial" w:hAnsi="Arial" w:cs="Arial"/>
        </w:rPr>
        <w:t>předsběr</w:t>
      </w:r>
      <w:proofErr w:type="spellEnd"/>
      <w:r>
        <w:rPr>
          <w:rFonts w:ascii="Arial" w:hAnsi="Arial" w:cs="Arial"/>
        </w:rPr>
        <w:t xml:space="preserve"> požadavků“, tj. sumarizaci potřeb</w:t>
      </w:r>
      <w:r w:rsidR="001656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veřejných zadavatelů</w:t>
      </w:r>
      <w:r w:rsidR="00A026B8">
        <w:rPr>
          <w:rFonts w:ascii="Arial" w:hAnsi="Arial" w:cs="Arial"/>
        </w:rPr>
        <w:t xml:space="preserve"> ve svém resortu</w:t>
      </w:r>
      <w:r>
        <w:rPr>
          <w:rFonts w:ascii="Arial" w:hAnsi="Arial" w:cs="Arial"/>
        </w:rPr>
        <w:t xml:space="preserve">, kteří plánovali nakupovat příslušné komodity. </w:t>
      </w:r>
      <w:r w:rsidR="00FF54A3">
        <w:rPr>
          <w:rFonts w:ascii="Arial" w:hAnsi="Arial" w:cs="Arial"/>
        </w:rPr>
        <w:t>Z </w:t>
      </w:r>
      <w:r>
        <w:rPr>
          <w:rFonts w:ascii="Arial" w:hAnsi="Arial" w:cs="Arial"/>
        </w:rPr>
        <w:t xml:space="preserve">objemu požadavků pak vycházel předpokládaný celkový finanční objem pro veřejnou zakázku na uzavření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 xml:space="preserve">. </w:t>
      </w:r>
    </w:p>
    <w:p w:rsidR="00EA252A" w:rsidRDefault="00EA252A" w:rsidP="00880F9C">
      <w:pPr>
        <w:spacing w:after="0" w:line="240" w:lineRule="auto"/>
        <w:jc w:val="both"/>
        <w:rPr>
          <w:rFonts w:ascii="Arial" w:hAnsi="Arial" w:cs="Arial"/>
        </w:rPr>
      </w:pPr>
    </w:p>
    <w:p w:rsidR="00EA252A" w:rsidRPr="0022756A" w:rsidRDefault="00EA252A" w:rsidP="00EA252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EA252A">
        <w:rPr>
          <w:rFonts w:ascii="Arial" w:hAnsi="Arial" w:cs="Arial"/>
        </w:rPr>
        <w:t>V letech 20</w:t>
      </w:r>
      <w:r>
        <w:rPr>
          <w:rFonts w:ascii="Arial" w:hAnsi="Arial" w:cs="Arial"/>
        </w:rPr>
        <w:t>09</w:t>
      </w:r>
      <w:r w:rsidRPr="00EA252A">
        <w:rPr>
          <w:rFonts w:ascii="Arial" w:hAnsi="Arial" w:cs="Arial"/>
        </w:rPr>
        <w:t xml:space="preserve"> až 2011 veřejní zadavatelé nakupovali PHM </w:t>
      </w:r>
      <w:r w:rsidR="006417C6">
        <w:rPr>
          <w:rFonts w:ascii="Arial" w:hAnsi="Arial" w:cs="Arial"/>
        </w:rPr>
        <w:t>a </w:t>
      </w:r>
      <w:r>
        <w:rPr>
          <w:rFonts w:ascii="Arial" w:hAnsi="Arial" w:cs="Arial"/>
        </w:rPr>
        <w:t xml:space="preserve">xerografický papír </w:t>
      </w:r>
      <w:r w:rsidRPr="00EA252A">
        <w:rPr>
          <w:rFonts w:ascii="Arial" w:hAnsi="Arial" w:cs="Arial"/>
        </w:rPr>
        <w:t>prostřednictvím přímé výzvy uchazečům uvedeným v </w:t>
      </w:r>
      <w:proofErr w:type="spellStart"/>
      <w:r w:rsidRPr="00EA252A">
        <w:rPr>
          <w:rFonts w:ascii="Arial" w:hAnsi="Arial" w:cs="Arial"/>
        </w:rPr>
        <w:t>RS</w:t>
      </w:r>
      <w:proofErr w:type="spellEnd"/>
      <w:r w:rsidRPr="00EA252A">
        <w:rPr>
          <w:rFonts w:ascii="Arial" w:hAnsi="Arial" w:cs="Arial"/>
        </w:rPr>
        <w:t xml:space="preserve"> formou </w:t>
      </w:r>
      <w:r w:rsidR="00602F5E">
        <w:rPr>
          <w:rFonts w:ascii="Arial" w:hAnsi="Arial" w:cs="Arial"/>
        </w:rPr>
        <w:t xml:space="preserve">písemných výzev k podání nabídek, </w:t>
      </w:r>
      <w:r w:rsidRPr="00EA252A">
        <w:rPr>
          <w:rFonts w:ascii="Arial" w:hAnsi="Arial" w:cs="Arial"/>
        </w:rPr>
        <w:t xml:space="preserve">tzv. </w:t>
      </w:r>
      <w:proofErr w:type="spellStart"/>
      <w:r w:rsidRPr="00EA252A">
        <w:rPr>
          <w:rFonts w:ascii="Arial" w:hAnsi="Arial" w:cs="Arial"/>
        </w:rPr>
        <w:t>minitendrů</w:t>
      </w:r>
      <w:proofErr w:type="spellEnd"/>
      <w:r w:rsidRPr="00EA252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Od roku 2010 </w:t>
      </w:r>
      <w:r w:rsidRPr="00EA252A">
        <w:rPr>
          <w:rFonts w:ascii="Arial" w:hAnsi="Arial" w:cs="Arial"/>
        </w:rPr>
        <w:t xml:space="preserve">byly </w:t>
      </w:r>
      <w:r>
        <w:rPr>
          <w:rFonts w:ascii="Arial" w:hAnsi="Arial" w:cs="Arial"/>
        </w:rPr>
        <w:t xml:space="preserve">výzvy </w:t>
      </w:r>
      <w:r w:rsidRPr="00EA252A">
        <w:rPr>
          <w:rFonts w:ascii="Arial" w:hAnsi="Arial" w:cs="Arial"/>
        </w:rPr>
        <w:t>podá</w:t>
      </w:r>
      <w:r w:rsidR="00A026B8">
        <w:rPr>
          <w:rFonts w:ascii="Arial" w:hAnsi="Arial" w:cs="Arial"/>
        </w:rPr>
        <w:t>vá</w:t>
      </w:r>
      <w:r w:rsidRPr="00EA252A">
        <w:rPr>
          <w:rFonts w:ascii="Arial" w:hAnsi="Arial" w:cs="Arial"/>
        </w:rPr>
        <w:t>ny přes elektronické tržiště.</w:t>
      </w:r>
      <w:r>
        <w:rPr>
          <w:rFonts w:ascii="Arial" w:hAnsi="Arial" w:cs="Arial"/>
        </w:rPr>
        <w:t xml:space="preserve"> </w:t>
      </w:r>
    </w:p>
    <w:p w:rsidR="00EA252A" w:rsidRDefault="00EA252A" w:rsidP="00880F9C">
      <w:pPr>
        <w:spacing w:after="0" w:line="240" w:lineRule="auto"/>
        <w:jc w:val="both"/>
        <w:rPr>
          <w:rFonts w:ascii="Arial" w:hAnsi="Arial" w:cs="Arial"/>
        </w:rPr>
      </w:pPr>
    </w:p>
    <w:p w:rsidR="00D90247" w:rsidRDefault="00041373" w:rsidP="00041373">
      <w:pPr>
        <w:spacing w:after="0" w:line="240" w:lineRule="auto"/>
        <w:jc w:val="both"/>
        <w:rPr>
          <w:rFonts w:ascii="Arial" w:hAnsi="Arial" w:cs="Arial"/>
        </w:rPr>
      </w:pPr>
      <w:r w:rsidRPr="00D71802">
        <w:rPr>
          <w:rFonts w:ascii="Arial" w:hAnsi="Arial" w:cs="Arial"/>
          <w:b/>
        </w:rPr>
        <w:t xml:space="preserve">Komodita </w:t>
      </w:r>
      <w:r w:rsidR="00D71802" w:rsidRPr="00441177">
        <w:rPr>
          <w:rFonts w:ascii="Arial" w:hAnsi="Arial" w:cs="Arial"/>
          <w:b/>
        </w:rPr>
        <w:t>pohonné hmoty</w:t>
      </w:r>
      <w:r w:rsidR="00D71802" w:rsidRPr="00D71802">
        <w:rPr>
          <w:rFonts w:ascii="Arial" w:hAnsi="Arial" w:cs="Arial"/>
          <w:b/>
        </w:rPr>
        <w:t xml:space="preserve"> </w:t>
      </w:r>
      <w:r w:rsidR="001656D4">
        <w:rPr>
          <w:rFonts w:ascii="Arial" w:hAnsi="Arial" w:cs="Arial"/>
          <w:b/>
        </w:rPr>
        <w:t>(</w:t>
      </w:r>
      <w:r w:rsidR="00080760" w:rsidRPr="00D71802">
        <w:rPr>
          <w:rFonts w:ascii="Arial" w:hAnsi="Arial" w:cs="Arial"/>
          <w:b/>
        </w:rPr>
        <w:t>PHM</w:t>
      </w:r>
      <w:r w:rsidR="001656D4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</w:p>
    <w:p w:rsidR="002D0A6E" w:rsidRDefault="002D0A6E" w:rsidP="00041373">
      <w:pPr>
        <w:spacing w:after="0" w:line="240" w:lineRule="auto"/>
        <w:jc w:val="both"/>
        <w:rPr>
          <w:rFonts w:ascii="Arial" w:hAnsi="Arial" w:cs="Arial"/>
        </w:rPr>
      </w:pPr>
    </w:p>
    <w:p w:rsidR="00441177" w:rsidRDefault="00D90247" w:rsidP="000413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Komodita PHM </w:t>
      </w:r>
      <w:r w:rsidR="00041373">
        <w:rPr>
          <w:rFonts w:ascii="Arial" w:hAnsi="Arial" w:cs="Arial"/>
        </w:rPr>
        <w:t>byla v </w:t>
      </w:r>
      <w:proofErr w:type="spellStart"/>
      <w:r w:rsidR="00041373">
        <w:rPr>
          <w:rFonts w:ascii="Arial" w:hAnsi="Arial" w:cs="Arial"/>
        </w:rPr>
        <w:t>RS</w:t>
      </w:r>
      <w:proofErr w:type="spellEnd"/>
      <w:r w:rsidR="00041373">
        <w:rPr>
          <w:rFonts w:ascii="Arial" w:hAnsi="Arial" w:cs="Arial"/>
        </w:rPr>
        <w:t xml:space="preserve"> definována v rozsahu dvou položek</w:t>
      </w:r>
      <w:r w:rsidR="001656D4">
        <w:rPr>
          <w:rFonts w:ascii="Arial" w:hAnsi="Arial" w:cs="Arial"/>
        </w:rPr>
        <w:t>:</w:t>
      </w:r>
      <w:r w:rsidR="00041373">
        <w:rPr>
          <w:rFonts w:ascii="Arial" w:hAnsi="Arial" w:cs="Arial"/>
        </w:rPr>
        <w:t xml:space="preserve"> Natural 95 a nafta. </w:t>
      </w:r>
    </w:p>
    <w:p w:rsidR="002F76C4" w:rsidRDefault="002F76C4" w:rsidP="00041373">
      <w:pPr>
        <w:spacing w:after="0" w:line="240" w:lineRule="auto"/>
        <w:jc w:val="both"/>
        <w:rPr>
          <w:rFonts w:ascii="Arial" w:hAnsi="Arial" w:cs="Arial"/>
        </w:rPr>
      </w:pPr>
    </w:p>
    <w:p w:rsidR="00041373" w:rsidRDefault="00041373" w:rsidP="000413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rámcových smluv </w:t>
      </w:r>
      <w:r w:rsidR="001656D4">
        <w:rPr>
          <w:rFonts w:ascii="Arial" w:hAnsi="Arial" w:cs="Arial"/>
        </w:rPr>
        <w:t xml:space="preserve">na nákup </w:t>
      </w:r>
      <w:r>
        <w:rPr>
          <w:rFonts w:ascii="Arial" w:hAnsi="Arial" w:cs="Arial"/>
        </w:rPr>
        <w:t xml:space="preserve">PHM </w:t>
      </w:r>
      <w:r w:rsidR="003A7082">
        <w:rPr>
          <w:rFonts w:ascii="Arial" w:hAnsi="Arial" w:cs="Arial"/>
        </w:rPr>
        <w:t>pro rok</w:t>
      </w:r>
      <w:r w:rsidR="00C1613A">
        <w:rPr>
          <w:rFonts w:ascii="Arial" w:hAnsi="Arial" w:cs="Arial"/>
        </w:rPr>
        <w:t>y</w:t>
      </w:r>
      <w:r w:rsidR="003A70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2009 až 2011 byly dodávky PHM dle příslušné specifikace do vlastních </w:t>
      </w:r>
      <w:r w:rsidR="00D844A9">
        <w:rPr>
          <w:rFonts w:ascii="Arial" w:hAnsi="Arial" w:cs="Arial"/>
        </w:rPr>
        <w:t xml:space="preserve">neveřejných </w:t>
      </w:r>
      <w:r>
        <w:rPr>
          <w:rFonts w:ascii="Arial" w:hAnsi="Arial" w:cs="Arial"/>
        </w:rPr>
        <w:t>čerpacích stanic</w:t>
      </w:r>
      <w:r w:rsidR="001656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včetně jejich dopravy. </w:t>
      </w:r>
      <w:r w:rsidR="00FF54A3">
        <w:rPr>
          <w:rFonts w:ascii="Arial" w:hAnsi="Arial" w:cs="Arial"/>
        </w:rPr>
        <w:t>V </w:t>
      </w:r>
      <w:proofErr w:type="spellStart"/>
      <w:r w:rsidR="00FF22BA">
        <w:rPr>
          <w:rFonts w:ascii="Arial" w:hAnsi="Arial" w:cs="Arial"/>
        </w:rPr>
        <w:t>RS</w:t>
      </w:r>
      <w:proofErr w:type="spellEnd"/>
      <w:r w:rsidR="00FF22BA">
        <w:rPr>
          <w:rFonts w:ascii="Arial" w:hAnsi="Arial" w:cs="Arial"/>
        </w:rPr>
        <w:t xml:space="preserve"> </w:t>
      </w:r>
      <w:r w:rsidR="001656D4">
        <w:rPr>
          <w:rFonts w:ascii="Arial" w:hAnsi="Arial" w:cs="Arial"/>
        </w:rPr>
        <w:t xml:space="preserve">na nákup </w:t>
      </w:r>
      <w:r w:rsidR="00FF22BA">
        <w:rPr>
          <w:rFonts w:ascii="Arial" w:hAnsi="Arial" w:cs="Arial"/>
        </w:rPr>
        <w:t xml:space="preserve">PHM </w:t>
      </w:r>
      <w:r w:rsidR="001656D4">
        <w:rPr>
          <w:rFonts w:ascii="Arial" w:hAnsi="Arial" w:cs="Arial"/>
        </w:rPr>
        <w:t xml:space="preserve">na roky </w:t>
      </w:r>
      <w:r w:rsidR="00FF22BA">
        <w:rPr>
          <w:rFonts w:ascii="Arial" w:hAnsi="Arial" w:cs="Arial"/>
        </w:rPr>
        <w:t>2010 a 2011 j</w:t>
      </w:r>
      <w:r>
        <w:rPr>
          <w:rFonts w:ascii="Arial" w:hAnsi="Arial" w:cs="Arial"/>
        </w:rPr>
        <w:t xml:space="preserve">e výslovně </w:t>
      </w:r>
      <w:r w:rsidR="00455BCE" w:rsidRPr="00FF22BA">
        <w:rPr>
          <w:rFonts w:ascii="Arial" w:hAnsi="Arial" w:cs="Arial"/>
        </w:rPr>
        <w:t>uvedeno</w:t>
      </w:r>
      <w:r w:rsidR="00FF22BA">
        <w:rPr>
          <w:rFonts w:ascii="Arial" w:hAnsi="Arial" w:cs="Arial"/>
        </w:rPr>
        <w:t>, že se</w:t>
      </w:r>
      <w:r w:rsidR="00455B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jednalo o průběžné dodávky</w:t>
      </w:r>
      <w:r w:rsidR="00FF22BA">
        <w:rPr>
          <w:rFonts w:ascii="Arial" w:hAnsi="Arial" w:cs="Arial"/>
        </w:rPr>
        <w:t xml:space="preserve"> </w:t>
      </w:r>
      <w:r w:rsidR="00882D0A">
        <w:rPr>
          <w:rFonts w:ascii="Arial" w:hAnsi="Arial" w:cs="Arial"/>
        </w:rPr>
        <w:t>(</w:t>
      </w:r>
      <w:r w:rsidR="00FF22BA">
        <w:rPr>
          <w:rFonts w:ascii="Arial" w:hAnsi="Arial" w:cs="Arial"/>
        </w:rPr>
        <w:t xml:space="preserve">podle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 xml:space="preserve"> </w:t>
      </w:r>
      <w:r w:rsidR="001656D4">
        <w:rPr>
          <w:rFonts w:ascii="Arial" w:hAnsi="Arial" w:cs="Arial"/>
        </w:rPr>
        <w:t xml:space="preserve">na nákup </w:t>
      </w:r>
      <w:r>
        <w:rPr>
          <w:rFonts w:ascii="Arial" w:hAnsi="Arial" w:cs="Arial"/>
        </w:rPr>
        <w:t xml:space="preserve">PHM </w:t>
      </w:r>
      <w:r w:rsidR="001656D4">
        <w:rPr>
          <w:rFonts w:ascii="Arial" w:hAnsi="Arial" w:cs="Arial"/>
        </w:rPr>
        <w:t xml:space="preserve">pro rok </w:t>
      </w:r>
      <w:r>
        <w:rPr>
          <w:rFonts w:ascii="Arial" w:hAnsi="Arial" w:cs="Arial"/>
        </w:rPr>
        <w:t xml:space="preserve">2012 </w:t>
      </w:r>
      <w:r w:rsidR="00FF22BA">
        <w:rPr>
          <w:rFonts w:ascii="Arial" w:hAnsi="Arial" w:cs="Arial"/>
        </w:rPr>
        <w:t xml:space="preserve">mělo být </w:t>
      </w:r>
      <w:r w:rsidR="001656D4">
        <w:rPr>
          <w:rFonts w:ascii="Arial" w:hAnsi="Arial" w:cs="Arial"/>
        </w:rPr>
        <w:t xml:space="preserve">„… </w:t>
      </w:r>
      <w:r w:rsidRPr="00A93516">
        <w:rPr>
          <w:rFonts w:ascii="Arial" w:hAnsi="Arial" w:cs="Arial"/>
          <w:i/>
        </w:rPr>
        <w:t>zabezpeč</w:t>
      </w:r>
      <w:r w:rsidR="00FF22BA" w:rsidRPr="00A93516">
        <w:rPr>
          <w:rFonts w:ascii="Arial" w:hAnsi="Arial" w:cs="Arial"/>
          <w:i/>
        </w:rPr>
        <w:t>eno</w:t>
      </w:r>
      <w:r w:rsidRPr="00A93516">
        <w:rPr>
          <w:rFonts w:ascii="Arial" w:hAnsi="Arial" w:cs="Arial"/>
          <w:i/>
        </w:rPr>
        <w:t xml:space="preserve"> plynulé zásobování odběratelů PHM v souladu s jejich potřebami do jejich vlastních úložišť</w:t>
      </w:r>
      <w:r w:rsidR="001656D4" w:rsidRPr="0022756A">
        <w:rPr>
          <w:rFonts w:ascii="Arial" w:hAnsi="Arial" w:cs="Arial"/>
        </w:rPr>
        <w:t>“</w:t>
      </w:r>
      <w:r w:rsidR="00882D0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460730" w:rsidRDefault="00460730" w:rsidP="00041373">
      <w:pPr>
        <w:spacing w:after="0" w:line="240" w:lineRule="auto"/>
        <w:jc w:val="both"/>
        <w:rPr>
          <w:rFonts w:ascii="Arial" w:hAnsi="Arial" w:cs="Arial"/>
        </w:rPr>
      </w:pPr>
    </w:p>
    <w:p w:rsidR="009849D8" w:rsidRDefault="00041373" w:rsidP="009B7C9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Nabídkovou cenu </w:t>
      </w:r>
      <w:r w:rsidR="00A026B8">
        <w:rPr>
          <w:rFonts w:ascii="Arial" w:hAnsi="Arial" w:cs="Arial"/>
          <w:bCs/>
        </w:rPr>
        <w:t xml:space="preserve">zájemci </w:t>
      </w:r>
      <w:r>
        <w:rPr>
          <w:rFonts w:ascii="Arial" w:hAnsi="Arial" w:cs="Arial"/>
          <w:bCs/>
        </w:rPr>
        <w:t xml:space="preserve">doplňovali do vzorce </w:t>
      </w:r>
      <w:r w:rsidRPr="00EA252A">
        <w:rPr>
          <w:rFonts w:ascii="Arial" w:hAnsi="Arial" w:cs="Arial"/>
          <w:bCs/>
        </w:rPr>
        <w:t xml:space="preserve">dle </w:t>
      </w:r>
      <w:r w:rsidR="00EA252A" w:rsidRPr="00EA252A">
        <w:rPr>
          <w:rFonts w:ascii="Arial" w:hAnsi="Arial" w:cs="Arial"/>
          <w:bCs/>
        </w:rPr>
        <w:t>zadávacích podmínek</w:t>
      </w:r>
      <w:r w:rsidRPr="00EA252A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měněna mohla být pouze v případě změny DPH či </w:t>
      </w:r>
      <w:r w:rsidR="00E84ACF">
        <w:rPr>
          <w:rFonts w:ascii="Arial" w:hAnsi="Arial" w:cs="Arial"/>
          <w:bCs/>
        </w:rPr>
        <w:t>spotřební daně</w:t>
      </w:r>
      <w:r>
        <w:rPr>
          <w:rFonts w:ascii="Arial" w:hAnsi="Arial" w:cs="Arial"/>
          <w:bCs/>
        </w:rPr>
        <w:t xml:space="preserve"> a při změně proměnlivých složek vzorce</w:t>
      </w:r>
      <w:r w:rsidR="002642E7">
        <w:rPr>
          <w:rFonts w:ascii="Arial" w:hAnsi="Arial" w:cs="Arial"/>
          <w:bCs/>
        </w:rPr>
        <w:t xml:space="preserve">. </w:t>
      </w:r>
      <w:r w:rsidR="00606761">
        <w:rPr>
          <w:rFonts w:ascii="Arial" w:hAnsi="Arial" w:cs="Arial"/>
          <w:bCs/>
        </w:rPr>
        <w:t>N</w:t>
      </w:r>
      <w:r w:rsidR="002642E7">
        <w:rPr>
          <w:rFonts w:ascii="Arial" w:hAnsi="Arial" w:cs="Arial"/>
          <w:bCs/>
        </w:rPr>
        <w:t>epřekročiteln</w:t>
      </w:r>
      <w:r w:rsidR="00882D0A">
        <w:rPr>
          <w:rFonts w:ascii="Arial" w:hAnsi="Arial" w:cs="Arial"/>
          <w:bCs/>
        </w:rPr>
        <w:t>é</w:t>
      </w:r>
      <w:r w:rsidR="00606761">
        <w:rPr>
          <w:rFonts w:ascii="Arial" w:hAnsi="Arial" w:cs="Arial"/>
          <w:bCs/>
        </w:rPr>
        <w:t xml:space="preserve"> položk</w:t>
      </w:r>
      <w:r w:rsidR="00882D0A">
        <w:rPr>
          <w:rFonts w:ascii="Arial" w:hAnsi="Arial" w:cs="Arial"/>
          <w:bCs/>
        </w:rPr>
        <w:t>y</w:t>
      </w:r>
      <w:r w:rsidR="002642E7">
        <w:rPr>
          <w:rFonts w:ascii="Arial" w:hAnsi="Arial" w:cs="Arial"/>
          <w:bCs/>
        </w:rPr>
        <w:t xml:space="preserve">, </w:t>
      </w:r>
      <w:r w:rsidR="00D844A9">
        <w:rPr>
          <w:rFonts w:ascii="Arial" w:hAnsi="Arial" w:cs="Arial"/>
          <w:bCs/>
        </w:rPr>
        <w:t xml:space="preserve">tj. položky, </w:t>
      </w:r>
      <w:r w:rsidR="002642E7">
        <w:rPr>
          <w:rFonts w:ascii="Arial" w:hAnsi="Arial" w:cs="Arial"/>
          <w:bCs/>
        </w:rPr>
        <w:t xml:space="preserve">které musely zůstat v nezměněné výši, </w:t>
      </w:r>
      <w:r w:rsidR="00606761">
        <w:rPr>
          <w:rFonts w:ascii="Arial" w:hAnsi="Arial" w:cs="Arial"/>
          <w:bCs/>
        </w:rPr>
        <w:t>byly dvě.</w:t>
      </w:r>
      <w:r w:rsidR="00C23787">
        <w:rPr>
          <w:rFonts w:ascii="Arial" w:hAnsi="Arial" w:cs="Arial"/>
          <w:bCs/>
        </w:rPr>
        <w:t xml:space="preserve"> </w:t>
      </w:r>
      <w:r w:rsidR="001656D4">
        <w:rPr>
          <w:rFonts w:ascii="Arial" w:hAnsi="Arial" w:cs="Arial"/>
          <w:bCs/>
        </w:rPr>
        <w:t>Kontrolou zjištěné n</w:t>
      </w:r>
      <w:r w:rsidR="00D844A9">
        <w:rPr>
          <w:rFonts w:ascii="Arial" w:hAnsi="Arial" w:cs="Arial"/>
          <w:bCs/>
        </w:rPr>
        <w:t>e</w:t>
      </w:r>
      <w:r w:rsidR="00D61A50">
        <w:rPr>
          <w:rFonts w:ascii="Arial" w:hAnsi="Arial" w:cs="Arial"/>
          <w:bCs/>
        </w:rPr>
        <w:t>dostatky</w:t>
      </w:r>
      <w:r w:rsidR="003104C9">
        <w:rPr>
          <w:rFonts w:ascii="Arial" w:hAnsi="Arial" w:cs="Arial"/>
          <w:bCs/>
        </w:rPr>
        <w:t xml:space="preserve"> spočívající v nevyplnění údajů do stanoveného vzorce </w:t>
      </w:r>
      <w:r w:rsidR="00D844A9">
        <w:rPr>
          <w:rFonts w:ascii="Arial" w:hAnsi="Arial" w:cs="Arial"/>
          <w:bCs/>
        </w:rPr>
        <w:t xml:space="preserve">snižovaly </w:t>
      </w:r>
      <w:r w:rsidR="00D61A50">
        <w:rPr>
          <w:rFonts w:ascii="Arial" w:hAnsi="Arial" w:cs="Arial"/>
          <w:bCs/>
        </w:rPr>
        <w:t xml:space="preserve">určitým způsobem transparentnost </w:t>
      </w:r>
      <w:r w:rsidR="00D61A50" w:rsidRPr="00C56E12">
        <w:rPr>
          <w:rFonts w:ascii="Arial" w:hAnsi="Arial" w:cs="Arial"/>
          <w:bCs/>
        </w:rPr>
        <w:t>zadávacího řízení</w:t>
      </w:r>
      <w:r w:rsidR="00D61A50">
        <w:rPr>
          <w:rFonts w:ascii="Arial" w:hAnsi="Arial" w:cs="Arial"/>
          <w:bCs/>
        </w:rPr>
        <w:t xml:space="preserve">, </w:t>
      </w:r>
      <w:r w:rsidR="00D844A9">
        <w:rPr>
          <w:rFonts w:ascii="Arial" w:hAnsi="Arial" w:cs="Arial"/>
          <w:bCs/>
        </w:rPr>
        <w:t xml:space="preserve">ale nabídková </w:t>
      </w:r>
      <w:r w:rsidR="00455BCE">
        <w:rPr>
          <w:rFonts w:ascii="Arial" w:hAnsi="Arial" w:cs="Arial"/>
          <w:bCs/>
        </w:rPr>
        <w:t xml:space="preserve">cena, jak bylo podle daného vzorce výpočtem ověřeno, byla dodržena. </w:t>
      </w:r>
    </w:p>
    <w:p w:rsidR="004253DC" w:rsidRDefault="004253DC" w:rsidP="009B7C9F">
      <w:pPr>
        <w:spacing w:after="0" w:line="240" w:lineRule="auto"/>
        <w:jc w:val="both"/>
        <w:rPr>
          <w:rFonts w:ascii="Arial" w:hAnsi="Arial" w:cs="Arial"/>
          <w:bCs/>
        </w:rPr>
      </w:pPr>
    </w:p>
    <w:p w:rsidR="009B703A" w:rsidRDefault="00CB4F43" w:rsidP="009B7C9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Dodavatel PHM byl vybrán podle pořadí uchazečů</w:t>
      </w:r>
      <w:r w:rsidR="001656D4">
        <w:rPr>
          <w:rFonts w:ascii="Arial" w:hAnsi="Arial" w:cs="Arial"/>
          <w:bCs/>
        </w:rPr>
        <w:t>, které bylo uvedeno</w:t>
      </w:r>
      <w:r>
        <w:rPr>
          <w:rFonts w:ascii="Arial" w:hAnsi="Arial" w:cs="Arial"/>
          <w:bCs/>
        </w:rPr>
        <w:t xml:space="preserve"> v </w:t>
      </w:r>
      <w:proofErr w:type="spellStart"/>
      <w:r>
        <w:rPr>
          <w:rFonts w:ascii="Arial" w:hAnsi="Arial" w:cs="Arial"/>
          <w:bCs/>
        </w:rPr>
        <w:t>RS</w:t>
      </w:r>
      <w:proofErr w:type="spellEnd"/>
      <w:r>
        <w:rPr>
          <w:rFonts w:ascii="Arial" w:hAnsi="Arial" w:cs="Arial"/>
          <w:bCs/>
        </w:rPr>
        <w:t xml:space="preserve"> </w:t>
      </w:r>
      <w:r w:rsidR="00C91E88">
        <w:rPr>
          <w:rFonts w:ascii="Arial" w:hAnsi="Arial" w:cs="Arial"/>
          <w:bCs/>
        </w:rPr>
        <w:t>a</w:t>
      </w:r>
      <w:r w:rsidR="0057424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stanoven</w:t>
      </w:r>
      <w:r w:rsidR="00C91E88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MV podle odhadů předpokládaného poměru počtu litrů dodávek u</w:t>
      </w:r>
      <w:r w:rsidR="0057424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jednotlivých položek. T</w:t>
      </w:r>
      <w:r w:rsidR="00574243">
        <w:rPr>
          <w:rFonts w:ascii="Arial" w:hAnsi="Arial" w:cs="Arial"/>
          <w:bCs/>
        </w:rPr>
        <w:t>at</w:t>
      </w:r>
      <w:r>
        <w:rPr>
          <w:rFonts w:ascii="Arial" w:hAnsi="Arial" w:cs="Arial"/>
          <w:bCs/>
        </w:rPr>
        <w:t xml:space="preserve">o </w:t>
      </w:r>
      <w:r w:rsidR="00574243">
        <w:rPr>
          <w:rFonts w:ascii="Arial" w:hAnsi="Arial" w:cs="Arial"/>
          <w:bCs/>
        </w:rPr>
        <w:t xml:space="preserve">skutečnost </w:t>
      </w:r>
      <w:r>
        <w:rPr>
          <w:rFonts w:ascii="Arial" w:hAnsi="Arial" w:cs="Arial"/>
          <w:bCs/>
        </w:rPr>
        <w:t>vzhledem k různé výši cen u jednotlivých položek a</w:t>
      </w:r>
      <w:r w:rsidR="0057424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značné nepřesnosti odhadů negativně ovlivňoval</w:t>
      </w:r>
      <w:r w:rsidR="00574243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e</w:t>
      </w:r>
      <w:r w:rsidR="009B703A">
        <w:rPr>
          <w:rFonts w:ascii="Arial" w:hAnsi="Arial" w:cs="Arial"/>
          <w:bCs/>
        </w:rPr>
        <w:t>konomickou výhodnost realizovaných nákupů</w:t>
      </w:r>
      <w:r>
        <w:rPr>
          <w:rFonts w:ascii="Arial" w:hAnsi="Arial" w:cs="Arial"/>
          <w:bCs/>
        </w:rPr>
        <w:t xml:space="preserve">, </w:t>
      </w:r>
      <w:r w:rsidR="009B703A">
        <w:rPr>
          <w:rFonts w:ascii="Arial" w:hAnsi="Arial" w:cs="Arial"/>
        </w:rPr>
        <w:t xml:space="preserve">jak vyplývá z následující tabulky </w:t>
      </w:r>
      <w:r w:rsidR="00574243">
        <w:rPr>
          <w:rFonts w:ascii="Arial" w:hAnsi="Arial" w:cs="Arial"/>
        </w:rPr>
        <w:t>(</w:t>
      </w:r>
      <w:r w:rsidR="009B703A">
        <w:rPr>
          <w:rFonts w:ascii="Arial" w:hAnsi="Arial" w:cs="Arial"/>
        </w:rPr>
        <w:t>č. 2</w:t>
      </w:r>
      <w:r w:rsidR="00574243">
        <w:rPr>
          <w:rFonts w:ascii="Arial" w:hAnsi="Arial" w:cs="Arial"/>
        </w:rPr>
        <w:t>)</w:t>
      </w:r>
      <w:r w:rsidR="009B703A">
        <w:rPr>
          <w:rFonts w:ascii="Arial" w:hAnsi="Arial" w:cs="Arial"/>
        </w:rPr>
        <w:t>, která ilustruje příklad zjištěný v roce 2012.</w:t>
      </w:r>
      <w:r w:rsidR="009B703A">
        <w:rPr>
          <w:rFonts w:ascii="Arial" w:hAnsi="Arial" w:cs="Arial"/>
          <w:bCs/>
        </w:rPr>
        <w:t xml:space="preserve"> </w:t>
      </w:r>
    </w:p>
    <w:p w:rsidR="00C23787" w:rsidRDefault="00C23787" w:rsidP="009B7C9F">
      <w:pPr>
        <w:spacing w:after="0" w:line="240" w:lineRule="auto"/>
        <w:jc w:val="both"/>
        <w:rPr>
          <w:rFonts w:ascii="Arial" w:hAnsi="Arial" w:cs="Arial"/>
        </w:rPr>
      </w:pPr>
    </w:p>
    <w:p w:rsidR="00AA1F2E" w:rsidRDefault="00AA1F2E" w:rsidP="009B7C9F">
      <w:pPr>
        <w:spacing w:after="0" w:line="240" w:lineRule="auto"/>
        <w:jc w:val="both"/>
        <w:rPr>
          <w:rFonts w:ascii="Arial" w:hAnsi="Arial" w:cs="Arial"/>
        </w:rPr>
      </w:pPr>
    </w:p>
    <w:p w:rsidR="00AA1F2E" w:rsidRDefault="00AA1F2E" w:rsidP="009B7C9F">
      <w:pPr>
        <w:spacing w:after="0" w:line="240" w:lineRule="auto"/>
        <w:jc w:val="both"/>
        <w:rPr>
          <w:rFonts w:ascii="Arial" w:hAnsi="Arial" w:cs="Arial"/>
        </w:rPr>
      </w:pPr>
    </w:p>
    <w:p w:rsidR="00AA1F2E" w:rsidRDefault="00AA1F2E" w:rsidP="009B7C9F">
      <w:pPr>
        <w:spacing w:after="0" w:line="240" w:lineRule="auto"/>
        <w:jc w:val="both"/>
        <w:rPr>
          <w:rFonts w:ascii="Arial" w:hAnsi="Arial" w:cs="Arial"/>
        </w:rPr>
      </w:pPr>
    </w:p>
    <w:p w:rsidR="00AA1F2E" w:rsidRDefault="00AA1F2E" w:rsidP="009B7C9F">
      <w:pPr>
        <w:spacing w:after="0" w:line="240" w:lineRule="auto"/>
        <w:jc w:val="both"/>
        <w:rPr>
          <w:rFonts w:ascii="Arial" w:hAnsi="Arial" w:cs="Arial"/>
        </w:rPr>
      </w:pPr>
    </w:p>
    <w:p w:rsidR="00AA1F2E" w:rsidRDefault="00AA1F2E" w:rsidP="009B7C9F">
      <w:pPr>
        <w:spacing w:after="0" w:line="240" w:lineRule="auto"/>
        <w:jc w:val="both"/>
        <w:rPr>
          <w:rFonts w:ascii="Arial" w:hAnsi="Arial" w:cs="Arial"/>
        </w:rPr>
      </w:pPr>
    </w:p>
    <w:p w:rsidR="00AA1F2E" w:rsidRDefault="00AA1F2E" w:rsidP="009B7C9F">
      <w:pPr>
        <w:spacing w:after="0" w:line="240" w:lineRule="auto"/>
        <w:jc w:val="both"/>
        <w:rPr>
          <w:rFonts w:ascii="Arial" w:hAnsi="Arial" w:cs="Arial"/>
        </w:rPr>
      </w:pPr>
    </w:p>
    <w:p w:rsidR="00AA1F2E" w:rsidRDefault="00AA1F2E" w:rsidP="009B7C9F">
      <w:pPr>
        <w:spacing w:after="0" w:line="240" w:lineRule="auto"/>
        <w:jc w:val="both"/>
        <w:rPr>
          <w:rFonts w:ascii="Arial" w:hAnsi="Arial" w:cs="Arial"/>
        </w:rPr>
      </w:pPr>
    </w:p>
    <w:p w:rsidR="009B7C9F" w:rsidRPr="0022756A" w:rsidRDefault="009B7C9F" w:rsidP="009B7C9F">
      <w:pPr>
        <w:pStyle w:val="Titulek"/>
        <w:keepNext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A0BAA">
        <w:rPr>
          <w:rFonts w:ascii="Arial" w:hAnsi="Arial" w:cs="Arial"/>
          <w:color w:val="auto"/>
          <w:sz w:val="22"/>
          <w:szCs w:val="22"/>
        </w:rPr>
        <w:lastRenderedPageBreak/>
        <w:t xml:space="preserve">Tabulka č. 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AA0BAA">
        <w:rPr>
          <w:rFonts w:ascii="Arial" w:hAnsi="Arial" w:cs="Arial"/>
          <w:color w:val="auto"/>
          <w:sz w:val="22"/>
          <w:szCs w:val="22"/>
        </w:rPr>
        <w:t xml:space="preserve"> </w:t>
      </w:r>
    </w:p>
    <w:tbl>
      <w:tblPr>
        <w:tblW w:w="4922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794"/>
        <w:gridCol w:w="1048"/>
        <w:gridCol w:w="794"/>
        <w:gridCol w:w="1128"/>
        <w:gridCol w:w="1282"/>
        <w:gridCol w:w="956"/>
        <w:gridCol w:w="1139"/>
        <w:gridCol w:w="1092"/>
      </w:tblGrid>
      <w:tr w:rsidR="009B7C9F" w:rsidRPr="00763502" w:rsidTr="0022756A">
        <w:trPr>
          <w:trHeight w:val="97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C9F" w:rsidRPr="00763502" w:rsidRDefault="009B7C9F" w:rsidP="0022756A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Uchazeč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6761" w:rsidRDefault="00C91E88" w:rsidP="0022756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22756A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Položka </w:t>
            </w:r>
            <w:r w:rsidR="009B7C9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PHM</w:t>
            </w:r>
          </w:p>
          <w:p w:rsidR="009B7C9F" w:rsidRPr="00606761" w:rsidRDefault="009B7C9F" w:rsidP="0022756A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C9F" w:rsidRPr="00763502" w:rsidRDefault="009B7C9F" w:rsidP="002479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proofErr w:type="spellStart"/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Předpokl</w:t>
            </w:r>
            <w:proofErr w:type="spellEnd"/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. počet litrů dle </w:t>
            </w:r>
            <w:proofErr w:type="spellStart"/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RS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60A7E" w:rsidRDefault="009B7C9F" w:rsidP="00260A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</w:t>
            </w:r>
            <w:r w:rsidR="0046073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ena</w:t>
            </w:r>
            <w:r w:rsidR="00260A7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*/</w:t>
            </w:r>
          </w:p>
          <w:p w:rsidR="009B7C9F" w:rsidRPr="00763502" w:rsidRDefault="00460730" w:rsidP="00260A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/l vč. DPH dle</w:t>
            </w:r>
            <w:r w:rsidR="00806723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="009B7C9F"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RS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C9F" w:rsidRPr="00763502" w:rsidRDefault="009B7C9F" w:rsidP="00260A7E">
            <w:pPr>
              <w:spacing w:after="0" w:line="240" w:lineRule="auto"/>
              <w:ind w:left="-69" w:right="-77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Celková cena</w:t>
            </w:r>
            <w:r w:rsidR="00260A7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*</w:t>
            </w:r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za položku dle předpokladu </w:t>
            </w:r>
            <w:proofErr w:type="spellStart"/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RS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A7082" w:rsidRPr="00763502" w:rsidRDefault="009B7C9F" w:rsidP="00260A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Pořadí </w:t>
            </w:r>
            <w:r w:rsidR="00C91E88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dle</w:t>
            </w:r>
            <w:r w:rsidR="00806723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 </w:t>
            </w:r>
            <w:proofErr w:type="spellStart"/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RS</w:t>
            </w:r>
            <w:proofErr w:type="spellEnd"/>
            <w:r w:rsidR="00806723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/ </w:t>
            </w:r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/celková cena</w:t>
            </w:r>
            <w:r w:rsidR="00260A7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C9F" w:rsidRPr="00763502" w:rsidRDefault="009B7C9F" w:rsidP="0022756A">
            <w:pPr>
              <w:spacing w:after="0" w:line="240" w:lineRule="auto"/>
              <w:ind w:left="-71" w:right="-105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Vykázaný objem nákupů v</w:t>
            </w:r>
            <w:r w:rsidR="00FF54A3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litrech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C9F" w:rsidRPr="00763502" w:rsidRDefault="009B7C9F" w:rsidP="0080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Celková cena</w:t>
            </w:r>
            <w:r w:rsidR="00260A7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*</w:t>
            </w:r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za položku </w:t>
            </w:r>
            <w:r w:rsidR="00806723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–</w:t>
            </w:r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skutečn</w:t>
            </w:r>
            <w:r w:rsidR="0046073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ý</w:t>
            </w:r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poč</w:t>
            </w:r>
            <w:r w:rsidR="0046073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e</w:t>
            </w:r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t litrů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C9F" w:rsidRPr="00763502" w:rsidRDefault="009B7C9F" w:rsidP="0080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Změna pořadí</w:t>
            </w:r>
            <w:r w:rsidR="002479D1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/</w:t>
            </w:r>
            <w:r w:rsidRPr="0076350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/změna celkové ceny</w:t>
            </w:r>
            <w:r w:rsidR="00260A7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*</w:t>
            </w:r>
          </w:p>
        </w:tc>
      </w:tr>
      <w:tr w:rsidR="009B7C9F" w:rsidRPr="00DF4588" w:rsidTr="0022756A">
        <w:trPr>
          <w:trHeight w:val="255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9F" w:rsidRPr="00763502" w:rsidRDefault="009B7C9F" w:rsidP="0021444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Uchazeč č. 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 xml:space="preserve">95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6 372 400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32,23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205 382 452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DF4588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DF4588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5 969 426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192 394 600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DF4588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F4588">
              <w:rPr>
                <w:rFonts w:ascii="Arial" w:hAnsi="Arial" w:cs="Arial"/>
                <w:sz w:val="16"/>
                <w:szCs w:val="16"/>
                <w:lang w:eastAsia="cs-CZ"/>
              </w:rPr>
              <w:t>2.</w:t>
            </w:r>
          </w:p>
        </w:tc>
      </w:tr>
      <w:tr w:rsidR="009B7C9F" w:rsidRPr="00DF4588" w:rsidTr="0022756A">
        <w:trPr>
          <w:trHeight w:val="255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C9F" w:rsidRPr="00763502" w:rsidRDefault="009B7C9F" w:rsidP="0021444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nafta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2 150 000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32,80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70 520 000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DF4588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DF4588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275 902 452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2 888 099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94 729 647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DF4588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F4588">
              <w:rPr>
                <w:rFonts w:ascii="Arial" w:hAnsi="Arial" w:cs="Arial"/>
                <w:sz w:val="16"/>
                <w:szCs w:val="16"/>
                <w:lang w:eastAsia="cs-CZ"/>
              </w:rPr>
              <w:t>287 124 247</w:t>
            </w:r>
          </w:p>
        </w:tc>
      </w:tr>
      <w:tr w:rsidR="009B7C9F" w:rsidRPr="00DF4588" w:rsidTr="0022756A">
        <w:trPr>
          <w:trHeight w:val="255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9F" w:rsidRPr="00763502" w:rsidRDefault="009B7C9F" w:rsidP="0021444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Uchazeč č. 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 xml:space="preserve">N 95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6 372 400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32,32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205 955 968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5 969 426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192 931 848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DF4588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DF4588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</w:tr>
      <w:tr w:rsidR="009B7C9F" w:rsidRPr="00DF4588" w:rsidTr="0022756A">
        <w:trPr>
          <w:trHeight w:val="255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nafta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2 150 000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32,58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70 047 000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276 002 968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2 888 099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763502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3502">
              <w:rPr>
                <w:rFonts w:ascii="Arial" w:hAnsi="Arial" w:cs="Arial"/>
                <w:sz w:val="16"/>
                <w:szCs w:val="16"/>
                <w:lang w:eastAsia="cs-CZ"/>
              </w:rPr>
              <w:t>94 094 265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9F" w:rsidRPr="00DF4588" w:rsidRDefault="009B7C9F" w:rsidP="009B7C9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DF4588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287 026 114</w:t>
            </w:r>
          </w:p>
        </w:tc>
      </w:tr>
    </w:tbl>
    <w:p w:rsidR="00EE4ECB" w:rsidRDefault="00EE4ECB" w:rsidP="009B7C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4BC6">
        <w:rPr>
          <w:rFonts w:ascii="Arial" w:hAnsi="Arial" w:cs="Arial"/>
          <w:b/>
          <w:sz w:val="18"/>
          <w:szCs w:val="18"/>
        </w:rPr>
        <w:t>Zdroj:</w:t>
      </w:r>
      <w:r w:rsidRPr="00C2378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3787">
        <w:rPr>
          <w:rFonts w:ascii="Arial" w:hAnsi="Arial" w:cs="Arial"/>
          <w:sz w:val="18"/>
          <w:szCs w:val="18"/>
        </w:rPr>
        <w:t>RS</w:t>
      </w:r>
      <w:proofErr w:type="spellEnd"/>
      <w:r w:rsidRPr="00C23787">
        <w:rPr>
          <w:rFonts w:ascii="Arial" w:hAnsi="Arial" w:cs="Arial"/>
          <w:sz w:val="18"/>
          <w:szCs w:val="18"/>
        </w:rPr>
        <w:t xml:space="preserve"> </w:t>
      </w:r>
      <w:r w:rsidR="00C91E88">
        <w:rPr>
          <w:rFonts w:ascii="Arial" w:hAnsi="Arial" w:cs="Arial"/>
          <w:sz w:val="18"/>
          <w:szCs w:val="18"/>
        </w:rPr>
        <w:t xml:space="preserve">na nákup </w:t>
      </w:r>
      <w:r w:rsidRPr="00C23787">
        <w:rPr>
          <w:rFonts w:ascii="Arial" w:hAnsi="Arial" w:cs="Arial"/>
          <w:sz w:val="18"/>
          <w:szCs w:val="18"/>
        </w:rPr>
        <w:t xml:space="preserve">PHM </w:t>
      </w:r>
      <w:r w:rsidR="00C91E88">
        <w:rPr>
          <w:rFonts w:ascii="Arial" w:hAnsi="Arial" w:cs="Arial"/>
          <w:sz w:val="18"/>
          <w:szCs w:val="18"/>
        </w:rPr>
        <w:t xml:space="preserve">na rok </w:t>
      </w:r>
      <w:r w:rsidRPr="00C23787">
        <w:rPr>
          <w:rFonts w:ascii="Arial" w:hAnsi="Arial" w:cs="Arial"/>
          <w:sz w:val="18"/>
          <w:szCs w:val="18"/>
        </w:rPr>
        <w:t xml:space="preserve">2012, </w:t>
      </w:r>
      <w:proofErr w:type="spellStart"/>
      <w:r w:rsidRPr="00C23787">
        <w:rPr>
          <w:rFonts w:ascii="Arial" w:hAnsi="Arial" w:cs="Arial"/>
          <w:sz w:val="18"/>
          <w:szCs w:val="18"/>
        </w:rPr>
        <w:t>MKS</w:t>
      </w:r>
      <w:proofErr w:type="spellEnd"/>
      <w:r w:rsidR="006417C6" w:rsidRPr="00C23787">
        <w:rPr>
          <w:rFonts w:ascii="Arial" w:hAnsi="Arial" w:cs="Arial"/>
          <w:sz w:val="18"/>
          <w:szCs w:val="18"/>
        </w:rPr>
        <w:t>.</w:t>
      </w:r>
    </w:p>
    <w:p w:rsidR="00260A7E" w:rsidRPr="00C23787" w:rsidRDefault="00260A7E" w:rsidP="009B7C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6E0B96">
        <w:rPr>
          <w:rFonts w:ascii="Arial" w:hAnsi="Arial" w:cs="Arial"/>
          <w:sz w:val="18"/>
          <w:szCs w:val="18"/>
        </w:rPr>
        <w:t xml:space="preserve">Cena je uvedena </w:t>
      </w:r>
      <w:r>
        <w:rPr>
          <w:rFonts w:ascii="Arial" w:hAnsi="Arial" w:cs="Arial"/>
          <w:sz w:val="18"/>
          <w:szCs w:val="18"/>
        </w:rPr>
        <w:t>v Kč</w:t>
      </w:r>
      <w:r w:rsidR="006E0B96">
        <w:rPr>
          <w:rFonts w:ascii="Arial" w:hAnsi="Arial" w:cs="Arial"/>
          <w:sz w:val="18"/>
          <w:szCs w:val="18"/>
        </w:rPr>
        <w:t>.</w:t>
      </w:r>
    </w:p>
    <w:p w:rsidR="00EE4ECB" w:rsidRDefault="00EE4ECB" w:rsidP="009B7C9F">
      <w:pPr>
        <w:spacing w:after="0" w:line="240" w:lineRule="auto"/>
        <w:jc w:val="both"/>
        <w:rPr>
          <w:rFonts w:ascii="Arial" w:hAnsi="Arial" w:cs="Arial"/>
        </w:rPr>
      </w:pPr>
    </w:p>
    <w:p w:rsidR="00C238C4" w:rsidRDefault="009B7C9F" w:rsidP="005E21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E7255F">
        <w:rPr>
          <w:rFonts w:ascii="Arial" w:hAnsi="Arial" w:cs="Arial"/>
        </w:rPr>
        <w:t xml:space="preserve">chazeč </w:t>
      </w:r>
      <w:r>
        <w:rPr>
          <w:rFonts w:ascii="Arial" w:hAnsi="Arial" w:cs="Arial"/>
        </w:rPr>
        <w:t>č. 1</w:t>
      </w:r>
      <w:r w:rsidRPr="00E7255F">
        <w:rPr>
          <w:rFonts w:ascii="Arial" w:hAnsi="Arial" w:cs="Arial"/>
        </w:rPr>
        <w:t xml:space="preserve"> nabídl nejnižší jednotkovou cenu Naturalu 95 </w:t>
      </w:r>
      <w:r>
        <w:rPr>
          <w:rFonts w:ascii="Arial" w:hAnsi="Arial" w:cs="Arial"/>
        </w:rPr>
        <w:t>a uchazeč č. 2</w:t>
      </w:r>
      <w:r w:rsidRPr="00E7255F">
        <w:rPr>
          <w:rFonts w:ascii="Arial" w:hAnsi="Arial" w:cs="Arial"/>
        </w:rPr>
        <w:t xml:space="preserve"> nabídl nejnižší jednotkovou cenu nafty. Při předpokládaném poměru nákupu Natu</w:t>
      </w:r>
      <w:r>
        <w:rPr>
          <w:rFonts w:ascii="Arial" w:hAnsi="Arial" w:cs="Arial"/>
        </w:rPr>
        <w:t>ral</w:t>
      </w:r>
      <w:r w:rsidR="00C91E8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95 a nafty cca 3:1 se první</w:t>
      </w:r>
      <w:r w:rsidRPr="00E7255F">
        <w:rPr>
          <w:rFonts w:ascii="Arial" w:hAnsi="Arial" w:cs="Arial"/>
        </w:rPr>
        <w:t xml:space="preserve"> v pořadí dle </w:t>
      </w:r>
      <w:proofErr w:type="spellStart"/>
      <w:r w:rsidRPr="00E7255F">
        <w:rPr>
          <w:rFonts w:ascii="Arial" w:hAnsi="Arial" w:cs="Arial"/>
        </w:rPr>
        <w:t>RS</w:t>
      </w:r>
      <w:proofErr w:type="spellEnd"/>
      <w:r w:rsidRPr="00E7255F">
        <w:rPr>
          <w:rFonts w:ascii="Arial" w:hAnsi="Arial" w:cs="Arial"/>
        </w:rPr>
        <w:t xml:space="preserve"> umístil uchazeč </w:t>
      </w:r>
      <w:r>
        <w:rPr>
          <w:rFonts w:ascii="Arial" w:hAnsi="Arial" w:cs="Arial"/>
        </w:rPr>
        <w:t>č. 1</w:t>
      </w:r>
      <w:r w:rsidRPr="00E7255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Skutečný poměr nákupů</w:t>
      </w:r>
      <w:r w:rsidRPr="00E7255F">
        <w:rPr>
          <w:rFonts w:ascii="Arial" w:hAnsi="Arial" w:cs="Arial"/>
        </w:rPr>
        <w:t xml:space="preserve"> Naturalu 95 a nafty </w:t>
      </w:r>
      <w:r>
        <w:rPr>
          <w:rFonts w:ascii="Arial" w:hAnsi="Arial" w:cs="Arial"/>
        </w:rPr>
        <w:t xml:space="preserve">však byl </w:t>
      </w:r>
      <w:r w:rsidRPr="00E7255F">
        <w:rPr>
          <w:rFonts w:ascii="Arial" w:hAnsi="Arial" w:cs="Arial"/>
        </w:rPr>
        <w:t>cca 2:1</w:t>
      </w:r>
      <w:r>
        <w:rPr>
          <w:rFonts w:ascii="Arial" w:hAnsi="Arial" w:cs="Arial"/>
        </w:rPr>
        <w:t>. Vlivem nepřesnosti odhadu předpokládaného množství jednotlivých položek (u nafty 34 %) byl vybrán uchazeč č. 1, jehož skutečná celková cena v</w:t>
      </w:r>
      <w:r w:rsidR="002F76C4">
        <w:rPr>
          <w:rFonts w:ascii="Arial" w:hAnsi="Arial" w:cs="Arial"/>
        </w:rPr>
        <w:t xml:space="preserve"> porovnání s nabídkou uchazeče č. 2 </w:t>
      </w:r>
      <w:r>
        <w:rPr>
          <w:rFonts w:ascii="Arial" w:hAnsi="Arial" w:cs="Arial"/>
        </w:rPr>
        <w:t>nebyla pr</w:t>
      </w:r>
      <w:r w:rsidR="005E2169">
        <w:rPr>
          <w:rFonts w:ascii="Arial" w:hAnsi="Arial" w:cs="Arial"/>
        </w:rPr>
        <w:t xml:space="preserve">o MV ekonomicky nejvýhodnější. </w:t>
      </w:r>
    </w:p>
    <w:p w:rsidR="00C238C4" w:rsidRDefault="00C238C4" w:rsidP="0055508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3B21CA" w:rsidRPr="003B21CA" w:rsidRDefault="00AA71B9" w:rsidP="003B21C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3B21CA">
        <w:rPr>
          <w:rFonts w:ascii="Arial" w:hAnsi="Arial" w:cs="Arial"/>
        </w:rPr>
        <w:t xml:space="preserve">Kontrolou </w:t>
      </w:r>
      <w:r w:rsidR="001302AB" w:rsidRPr="003B21CA">
        <w:rPr>
          <w:rFonts w:ascii="Arial" w:hAnsi="Arial" w:cs="Arial"/>
        </w:rPr>
        <w:t xml:space="preserve">postupu veřejných zadavatelů </w:t>
      </w:r>
      <w:r w:rsidRPr="003B21CA">
        <w:rPr>
          <w:rFonts w:ascii="Arial" w:hAnsi="Arial" w:cs="Arial"/>
        </w:rPr>
        <w:t xml:space="preserve">bylo </w:t>
      </w:r>
      <w:r w:rsidR="005656B8" w:rsidRPr="003B21CA">
        <w:rPr>
          <w:rFonts w:ascii="Arial" w:hAnsi="Arial" w:cs="Arial"/>
        </w:rPr>
        <w:t xml:space="preserve">mj. </w:t>
      </w:r>
      <w:r w:rsidRPr="003B21CA">
        <w:rPr>
          <w:rFonts w:ascii="Arial" w:hAnsi="Arial" w:cs="Arial"/>
        </w:rPr>
        <w:t>zjištěno:</w:t>
      </w:r>
    </w:p>
    <w:p w:rsidR="001B0CF4" w:rsidRPr="00C23787" w:rsidRDefault="001B0CF4" w:rsidP="00C23787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23787">
        <w:rPr>
          <w:rFonts w:ascii="Arial" w:hAnsi="Arial" w:cs="Arial"/>
        </w:rPr>
        <w:t xml:space="preserve">u </w:t>
      </w:r>
      <w:r w:rsidR="00A026B8" w:rsidRPr="00C23787">
        <w:rPr>
          <w:rFonts w:ascii="Arial" w:hAnsi="Arial" w:cs="Arial"/>
        </w:rPr>
        <w:t xml:space="preserve">MV – Policejního prezidia u </w:t>
      </w:r>
      <w:proofErr w:type="spellStart"/>
      <w:r w:rsidRPr="00C23787">
        <w:rPr>
          <w:rFonts w:ascii="Arial" w:hAnsi="Arial" w:cs="Arial"/>
        </w:rPr>
        <w:t>minitendru</w:t>
      </w:r>
      <w:proofErr w:type="spellEnd"/>
      <w:r w:rsidR="00B37295" w:rsidRPr="00C23787">
        <w:rPr>
          <w:rFonts w:ascii="Arial" w:hAnsi="Arial" w:cs="Arial"/>
        </w:rPr>
        <w:t xml:space="preserve"> </w:t>
      </w:r>
      <w:r w:rsidR="00C23333" w:rsidRPr="00C23787">
        <w:rPr>
          <w:rFonts w:ascii="Arial" w:hAnsi="Arial" w:cs="Arial"/>
        </w:rPr>
        <w:t>na PHM v roce 2010</w:t>
      </w:r>
      <w:r w:rsidR="00B37295" w:rsidRPr="00C23787">
        <w:rPr>
          <w:rFonts w:ascii="Arial" w:hAnsi="Arial" w:cs="Arial"/>
        </w:rPr>
        <w:t xml:space="preserve"> </w:t>
      </w:r>
      <w:r w:rsidRPr="00C23787">
        <w:rPr>
          <w:rFonts w:ascii="Arial" w:hAnsi="Arial" w:cs="Arial"/>
        </w:rPr>
        <w:t xml:space="preserve">dodavatel </w:t>
      </w:r>
      <w:r w:rsidR="003C1133" w:rsidRPr="00C23787">
        <w:rPr>
          <w:rFonts w:ascii="Arial" w:hAnsi="Arial" w:cs="Arial"/>
          <w:color w:val="000000" w:themeColor="text1"/>
        </w:rPr>
        <w:t xml:space="preserve">jednostranně navýšil </w:t>
      </w:r>
      <w:r w:rsidR="009954DF" w:rsidRPr="00C23787">
        <w:rPr>
          <w:rFonts w:ascii="Arial" w:hAnsi="Arial" w:cs="Arial"/>
          <w:color w:val="000000" w:themeColor="text1"/>
        </w:rPr>
        <w:t>v souladu se</w:t>
      </w:r>
      <w:r w:rsidR="00A026B8" w:rsidRPr="00C23787">
        <w:rPr>
          <w:rFonts w:ascii="Arial" w:hAnsi="Arial" w:cs="Arial"/>
          <w:color w:val="000000" w:themeColor="text1"/>
        </w:rPr>
        <w:t xml:space="preserve"> zákon</w:t>
      </w:r>
      <w:r w:rsidR="009954DF" w:rsidRPr="00C23787">
        <w:rPr>
          <w:rFonts w:ascii="Arial" w:hAnsi="Arial" w:cs="Arial"/>
          <w:color w:val="000000" w:themeColor="text1"/>
        </w:rPr>
        <w:t>em</w:t>
      </w:r>
      <w:r w:rsidR="00A026B8" w:rsidRPr="00C23787">
        <w:rPr>
          <w:rFonts w:ascii="Arial" w:hAnsi="Arial" w:cs="Arial"/>
          <w:color w:val="000000" w:themeColor="text1"/>
        </w:rPr>
        <w:t xml:space="preserve"> č. 172/2010 Sb.</w:t>
      </w:r>
      <w:r w:rsidR="00A026B8" w:rsidRPr="00FA30A0">
        <w:rPr>
          <w:rStyle w:val="Znakapoznpodarou"/>
          <w:rFonts w:ascii="Arial" w:hAnsi="Arial" w:cs="Arial"/>
          <w:color w:val="000000" w:themeColor="text1"/>
        </w:rPr>
        <w:footnoteReference w:id="5"/>
      </w:r>
      <w:r w:rsidR="00A026B8" w:rsidRPr="00C23787">
        <w:rPr>
          <w:rFonts w:ascii="Arial" w:hAnsi="Arial" w:cs="Arial"/>
          <w:color w:val="000000" w:themeColor="text1"/>
        </w:rPr>
        <w:t xml:space="preserve"> </w:t>
      </w:r>
      <w:r w:rsidR="003C1133" w:rsidRPr="00C23787">
        <w:rPr>
          <w:rFonts w:ascii="Arial" w:hAnsi="Arial" w:cs="Arial"/>
          <w:color w:val="000000" w:themeColor="text1"/>
        </w:rPr>
        <w:t>uskladněné množství PHM o 954 litrů, které následně vyfakturoval v částce 31</w:t>
      </w:r>
      <w:r w:rsidR="002D0A6E" w:rsidRPr="00C23787">
        <w:rPr>
          <w:rFonts w:ascii="Arial" w:hAnsi="Arial" w:cs="Arial"/>
          <w:color w:val="000000" w:themeColor="text1"/>
        </w:rPr>
        <w:t> </w:t>
      </w:r>
      <w:r w:rsidR="003C1133" w:rsidRPr="00C23787">
        <w:rPr>
          <w:rFonts w:ascii="Arial" w:hAnsi="Arial" w:cs="Arial"/>
          <w:color w:val="000000" w:themeColor="text1"/>
        </w:rPr>
        <w:t xml:space="preserve">013 Kč vč. DPH </w:t>
      </w:r>
      <w:r w:rsidR="005E3ED9" w:rsidRPr="00C23787">
        <w:rPr>
          <w:rFonts w:ascii="Arial" w:hAnsi="Arial" w:cs="Arial"/>
          <w:color w:val="000000" w:themeColor="text1"/>
        </w:rPr>
        <w:t>(navýšení o </w:t>
      </w:r>
      <w:r w:rsidR="003F6703" w:rsidRPr="00C23787">
        <w:rPr>
          <w:rFonts w:ascii="Arial" w:hAnsi="Arial" w:cs="Arial"/>
          <w:color w:val="000000" w:themeColor="text1"/>
        </w:rPr>
        <w:t>biosložku)</w:t>
      </w:r>
      <w:r w:rsidR="003F6703" w:rsidRPr="00C23787">
        <w:rPr>
          <w:rFonts w:ascii="Arial" w:hAnsi="Arial" w:cs="Arial"/>
        </w:rPr>
        <w:t>, přestože smlouvy neobsahovaly ujednání o možnosti jednostranně navyšovat cenu</w:t>
      </w:r>
      <w:r w:rsidRPr="00C23787">
        <w:rPr>
          <w:rFonts w:ascii="Arial" w:hAnsi="Arial" w:cs="Arial"/>
        </w:rPr>
        <w:t>;</w:t>
      </w:r>
    </w:p>
    <w:p w:rsidR="00B37295" w:rsidRPr="00C23787" w:rsidRDefault="009B703A" w:rsidP="00C23787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23787">
        <w:rPr>
          <w:rFonts w:ascii="Arial" w:hAnsi="Arial" w:cs="Arial"/>
        </w:rPr>
        <w:t>MV – P</w:t>
      </w:r>
      <w:r w:rsidR="00363655" w:rsidRPr="00C23787">
        <w:rPr>
          <w:rFonts w:ascii="Arial" w:hAnsi="Arial" w:cs="Arial"/>
        </w:rPr>
        <w:t>olicejní prezidium</w:t>
      </w:r>
      <w:r w:rsidRPr="00C23787">
        <w:rPr>
          <w:rFonts w:ascii="Arial" w:hAnsi="Arial" w:cs="Arial"/>
        </w:rPr>
        <w:t xml:space="preserve"> </w:t>
      </w:r>
      <w:r w:rsidR="001B0CF4" w:rsidRPr="00C23787">
        <w:rPr>
          <w:rFonts w:ascii="Arial" w:hAnsi="Arial" w:cs="Arial"/>
          <w:bCs/>
        </w:rPr>
        <w:t>objedn</w:t>
      </w:r>
      <w:r w:rsidRPr="00C23787">
        <w:rPr>
          <w:rFonts w:ascii="Arial" w:hAnsi="Arial" w:cs="Arial"/>
          <w:bCs/>
        </w:rPr>
        <w:t xml:space="preserve">alo </w:t>
      </w:r>
      <w:r w:rsidR="005656B8" w:rsidRPr="00C23787">
        <w:rPr>
          <w:rFonts w:ascii="Arial" w:hAnsi="Arial" w:cs="Arial"/>
          <w:bCs/>
        </w:rPr>
        <w:t>a převza</w:t>
      </w:r>
      <w:r w:rsidRPr="00C23787">
        <w:rPr>
          <w:rFonts w:ascii="Arial" w:hAnsi="Arial" w:cs="Arial"/>
          <w:bCs/>
        </w:rPr>
        <w:t>lo</w:t>
      </w:r>
      <w:r w:rsidR="005656B8" w:rsidRPr="00C23787">
        <w:rPr>
          <w:rFonts w:ascii="Arial" w:hAnsi="Arial" w:cs="Arial"/>
          <w:bCs/>
        </w:rPr>
        <w:t xml:space="preserve"> </w:t>
      </w:r>
      <w:r w:rsidR="001B0CF4" w:rsidRPr="00C23787">
        <w:rPr>
          <w:rFonts w:ascii="Arial" w:hAnsi="Arial" w:cs="Arial"/>
          <w:bCs/>
        </w:rPr>
        <w:t>PHM, přestože příslušná kupní smlouva ještě nebyla uzavřena</w:t>
      </w:r>
      <w:r w:rsidR="006417C6" w:rsidRPr="00C23787">
        <w:rPr>
          <w:rFonts w:ascii="Arial" w:hAnsi="Arial" w:cs="Arial"/>
          <w:bCs/>
        </w:rPr>
        <w:t>;</w:t>
      </w:r>
      <w:r w:rsidRPr="00C23787">
        <w:rPr>
          <w:rFonts w:ascii="Arial" w:hAnsi="Arial" w:cs="Arial"/>
          <w:bCs/>
        </w:rPr>
        <w:t xml:space="preserve"> </w:t>
      </w:r>
    </w:p>
    <w:p w:rsidR="009B703A" w:rsidRPr="00C23787" w:rsidRDefault="009B703A" w:rsidP="00C23787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23787">
        <w:rPr>
          <w:rFonts w:ascii="Arial" w:hAnsi="Arial" w:cs="Arial"/>
        </w:rPr>
        <w:t xml:space="preserve">téměř ve všech případech dodávek PHM došlo </w:t>
      </w:r>
      <w:r w:rsidR="00A026B8" w:rsidRPr="00C23787">
        <w:rPr>
          <w:rFonts w:ascii="Arial" w:hAnsi="Arial" w:cs="Arial"/>
        </w:rPr>
        <w:t xml:space="preserve">u </w:t>
      </w:r>
      <w:r w:rsidR="009954DF" w:rsidRPr="00C23787">
        <w:rPr>
          <w:rFonts w:ascii="Arial" w:hAnsi="Arial" w:cs="Arial"/>
        </w:rPr>
        <w:t xml:space="preserve">obou </w:t>
      </w:r>
      <w:r w:rsidR="00A026B8" w:rsidRPr="00C23787">
        <w:rPr>
          <w:rFonts w:ascii="Arial" w:hAnsi="Arial" w:cs="Arial"/>
        </w:rPr>
        <w:t xml:space="preserve">kontrolovaných osob </w:t>
      </w:r>
      <w:r w:rsidRPr="00C23787">
        <w:rPr>
          <w:rFonts w:ascii="Arial" w:hAnsi="Arial" w:cs="Arial"/>
        </w:rPr>
        <w:t xml:space="preserve">k dodání </w:t>
      </w:r>
      <w:r w:rsidR="003104C9" w:rsidRPr="00C23787">
        <w:rPr>
          <w:rFonts w:ascii="Arial" w:hAnsi="Arial" w:cs="Arial"/>
        </w:rPr>
        <w:t xml:space="preserve">jiného </w:t>
      </w:r>
      <w:r w:rsidR="00E138F8" w:rsidRPr="00C23787">
        <w:rPr>
          <w:rFonts w:ascii="Arial" w:hAnsi="Arial" w:cs="Arial"/>
        </w:rPr>
        <w:t>než objednaného množství</w:t>
      </w:r>
      <w:r w:rsidR="00B37295" w:rsidRPr="00C23787">
        <w:rPr>
          <w:rFonts w:ascii="Arial" w:hAnsi="Arial" w:cs="Arial"/>
        </w:rPr>
        <w:t>.</w:t>
      </w:r>
      <w:r w:rsidR="00E138F8" w:rsidRPr="00C23787">
        <w:rPr>
          <w:rFonts w:ascii="Arial" w:hAnsi="Arial" w:cs="Arial"/>
        </w:rPr>
        <w:t xml:space="preserve"> </w:t>
      </w:r>
    </w:p>
    <w:p w:rsidR="001B0CF4" w:rsidRPr="00C9671B" w:rsidRDefault="001B0CF4" w:rsidP="001B0CF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5C3520" w:rsidRDefault="007D157E" w:rsidP="00B714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významné pochybení</w:t>
      </w:r>
      <w:r w:rsidR="009824C3">
        <w:rPr>
          <w:rFonts w:ascii="Arial" w:hAnsi="Arial" w:cs="Arial"/>
        </w:rPr>
        <w:t xml:space="preserve"> z hlediska </w:t>
      </w:r>
      <w:r w:rsidR="000E0FF3">
        <w:rPr>
          <w:rFonts w:ascii="Arial" w:hAnsi="Arial" w:cs="Arial"/>
        </w:rPr>
        <w:t xml:space="preserve">hospodárného nakládání </w:t>
      </w:r>
      <w:r w:rsidR="009824C3">
        <w:rPr>
          <w:rFonts w:ascii="Arial" w:hAnsi="Arial" w:cs="Arial"/>
        </w:rPr>
        <w:t>s</w:t>
      </w:r>
      <w:r w:rsidR="009849D8">
        <w:rPr>
          <w:rFonts w:ascii="Arial" w:hAnsi="Arial" w:cs="Arial"/>
        </w:rPr>
        <w:t xml:space="preserve"> prostředky státního rozpočtu </w:t>
      </w:r>
      <w:r w:rsidR="009824C3">
        <w:rPr>
          <w:rFonts w:ascii="Arial" w:hAnsi="Arial" w:cs="Arial"/>
        </w:rPr>
        <w:t xml:space="preserve">považuje NKÚ postup, kdy </w:t>
      </w:r>
      <w:r w:rsidR="001302AB">
        <w:rPr>
          <w:rFonts w:ascii="Arial" w:hAnsi="Arial" w:cs="Arial"/>
        </w:rPr>
        <w:t xml:space="preserve">MV </w:t>
      </w:r>
      <w:r w:rsidR="006417C6">
        <w:rPr>
          <w:rFonts w:ascii="Arial" w:hAnsi="Arial" w:cs="Arial"/>
        </w:rPr>
        <w:t>–</w:t>
      </w:r>
      <w:r w:rsidR="009824C3">
        <w:rPr>
          <w:rFonts w:ascii="Arial" w:hAnsi="Arial" w:cs="Arial"/>
        </w:rPr>
        <w:t xml:space="preserve"> </w:t>
      </w:r>
      <w:r w:rsidR="00C238C4">
        <w:rPr>
          <w:rFonts w:ascii="Arial" w:hAnsi="Arial" w:cs="Arial"/>
        </w:rPr>
        <w:t>Policejní prezidium</w:t>
      </w:r>
      <w:r w:rsidR="005C3520" w:rsidRPr="00C9671B">
        <w:rPr>
          <w:rFonts w:ascii="Arial" w:hAnsi="Arial" w:cs="Arial"/>
        </w:rPr>
        <w:t xml:space="preserve"> </w:t>
      </w:r>
      <w:r w:rsidR="000E22B1">
        <w:rPr>
          <w:rFonts w:ascii="Arial" w:hAnsi="Arial" w:cs="Arial"/>
        </w:rPr>
        <w:t xml:space="preserve">jako </w:t>
      </w:r>
      <w:r w:rsidR="000E0FF3">
        <w:rPr>
          <w:rFonts w:ascii="Arial" w:hAnsi="Arial" w:cs="Arial"/>
        </w:rPr>
        <w:t xml:space="preserve">veřejný zadavatel </w:t>
      </w:r>
      <w:r w:rsidR="005C3520" w:rsidRPr="00C9671B">
        <w:rPr>
          <w:rFonts w:ascii="Arial" w:hAnsi="Arial" w:cs="Arial"/>
        </w:rPr>
        <w:t xml:space="preserve">opakovaně </w:t>
      </w:r>
      <w:r w:rsidR="00B714A9">
        <w:rPr>
          <w:rFonts w:ascii="Arial" w:hAnsi="Arial" w:cs="Arial"/>
        </w:rPr>
        <w:t xml:space="preserve">ve třech po sobě jdoucích kontrolovaných letech </w:t>
      </w:r>
      <w:r w:rsidR="005C3520" w:rsidRPr="00C9671B">
        <w:rPr>
          <w:rFonts w:ascii="Arial" w:hAnsi="Arial" w:cs="Arial"/>
        </w:rPr>
        <w:t>pořizovalo PHM v množství, které překračovalo kapacitu vlastních úložišť</w:t>
      </w:r>
      <w:r w:rsidR="009824C3">
        <w:rPr>
          <w:rFonts w:ascii="Arial" w:hAnsi="Arial" w:cs="Arial"/>
        </w:rPr>
        <w:t xml:space="preserve">, </w:t>
      </w:r>
      <w:proofErr w:type="gramStart"/>
      <w:r w:rsidR="009824C3">
        <w:rPr>
          <w:rFonts w:ascii="Arial" w:hAnsi="Arial" w:cs="Arial"/>
        </w:rPr>
        <w:t xml:space="preserve">tzn. </w:t>
      </w:r>
      <w:r w:rsidR="002D0A6E">
        <w:rPr>
          <w:rFonts w:ascii="Arial" w:hAnsi="Arial" w:cs="Arial"/>
        </w:rPr>
        <w:t>n</w:t>
      </w:r>
      <w:r w:rsidR="001B0CF4">
        <w:rPr>
          <w:rFonts w:ascii="Arial" w:hAnsi="Arial" w:cs="Arial"/>
        </w:rPr>
        <w:t>enakupovalo</w:t>
      </w:r>
      <w:proofErr w:type="gramEnd"/>
      <w:r w:rsidR="003104C9">
        <w:rPr>
          <w:rFonts w:ascii="Arial" w:hAnsi="Arial" w:cs="Arial"/>
        </w:rPr>
        <w:t xml:space="preserve"> </w:t>
      </w:r>
      <w:r w:rsidR="001B0CF4">
        <w:rPr>
          <w:rFonts w:ascii="Arial" w:hAnsi="Arial" w:cs="Arial"/>
        </w:rPr>
        <w:t xml:space="preserve">PHM průběžně, jak předpokládaly </w:t>
      </w:r>
      <w:r w:rsidR="009824C3">
        <w:rPr>
          <w:rFonts w:ascii="Arial" w:hAnsi="Arial" w:cs="Arial"/>
        </w:rPr>
        <w:t xml:space="preserve">každoročně uzavírané </w:t>
      </w:r>
      <w:proofErr w:type="spellStart"/>
      <w:r w:rsidR="001B0CF4">
        <w:rPr>
          <w:rFonts w:ascii="Arial" w:hAnsi="Arial" w:cs="Arial"/>
        </w:rPr>
        <w:t>RS</w:t>
      </w:r>
      <w:proofErr w:type="spellEnd"/>
      <w:r w:rsidR="001B0CF4">
        <w:rPr>
          <w:rFonts w:ascii="Arial" w:hAnsi="Arial" w:cs="Arial"/>
        </w:rPr>
        <w:t xml:space="preserve">, ale pořizovalo </w:t>
      </w:r>
      <w:r w:rsidR="009824C3">
        <w:rPr>
          <w:rFonts w:ascii="Arial" w:hAnsi="Arial" w:cs="Arial"/>
        </w:rPr>
        <w:t xml:space="preserve">koncem roku </w:t>
      </w:r>
      <w:r w:rsidR="001B0CF4">
        <w:rPr>
          <w:rFonts w:ascii="Arial" w:hAnsi="Arial" w:cs="Arial"/>
        </w:rPr>
        <w:t>zásoby,</w:t>
      </w:r>
      <w:r w:rsidR="00882D0A">
        <w:rPr>
          <w:rFonts w:ascii="Arial" w:hAnsi="Arial" w:cs="Arial"/>
        </w:rPr>
        <w:t xml:space="preserve"> které </w:t>
      </w:r>
      <w:r w:rsidR="00B37295">
        <w:rPr>
          <w:rFonts w:ascii="Arial" w:hAnsi="Arial" w:cs="Arial"/>
        </w:rPr>
        <w:t xml:space="preserve">uhradilo </w:t>
      </w:r>
      <w:r w:rsidR="00882D0A">
        <w:rPr>
          <w:rFonts w:ascii="Arial" w:hAnsi="Arial" w:cs="Arial"/>
        </w:rPr>
        <w:t>jednorázově a</w:t>
      </w:r>
      <w:r w:rsidR="00AA1F2E">
        <w:rPr>
          <w:rFonts w:ascii="Arial" w:hAnsi="Arial" w:cs="Arial"/>
        </w:rPr>
        <w:t> </w:t>
      </w:r>
      <w:r w:rsidR="009824C3">
        <w:rPr>
          <w:rFonts w:ascii="Arial" w:hAnsi="Arial" w:cs="Arial"/>
        </w:rPr>
        <w:t xml:space="preserve">které </w:t>
      </w:r>
      <w:r w:rsidR="00B37295">
        <w:rPr>
          <w:rFonts w:ascii="Arial" w:hAnsi="Arial" w:cs="Arial"/>
        </w:rPr>
        <w:t>postupně až do srpna následujícího kalendářního roku</w:t>
      </w:r>
      <w:r w:rsidR="00B37295" w:rsidRPr="004253DC">
        <w:rPr>
          <w:rFonts w:ascii="Arial" w:hAnsi="Arial" w:cs="Arial"/>
        </w:rPr>
        <w:t xml:space="preserve"> </w:t>
      </w:r>
      <w:r w:rsidR="009849D8" w:rsidRPr="004253DC">
        <w:rPr>
          <w:rFonts w:ascii="Arial" w:hAnsi="Arial" w:cs="Arial"/>
        </w:rPr>
        <w:t>p</w:t>
      </w:r>
      <w:r w:rsidR="009849D8" w:rsidRPr="004253DC">
        <w:rPr>
          <w:rFonts w:ascii="Arial" w:hAnsi="Arial" w:cs="Arial"/>
          <w:bCs/>
        </w:rPr>
        <w:t>řebíralo</w:t>
      </w:r>
      <w:r w:rsidR="009849D8">
        <w:rPr>
          <w:rFonts w:ascii="Arial" w:hAnsi="Arial" w:cs="Arial"/>
          <w:bCs/>
        </w:rPr>
        <w:t xml:space="preserve"> </w:t>
      </w:r>
      <w:r w:rsidR="009824C3">
        <w:rPr>
          <w:rFonts w:ascii="Arial" w:hAnsi="Arial" w:cs="Arial"/>
        </w:rPr>
        <w:t>do vlastních úložišť.</w:t>
      </w:r>
      <w:r w:rsidR="00C23787">
        <w:rPr>
          <w:rFonts w:ascii="Arial" w:hAnsi="Arial" w:cs="Arial"/>
        </w:rPr>
        <w:t xml:space="preserve"> </w:t>
      </w:r>
      <w:r w:rsidR="00D47975">
        <w:rPr>
          <w:rFonts w:ascii="Arial" w:hAnsi="Arial" w:cs="Arial"/>
        </w:rPr>
        <w:t>V těchto letech tedy MV – Policejní prezidium hradilo navíc i prostředky za uskladnění PHM.</w:t>
      </w:r>
    </w:p>
    <w:p w:rsidR="00B714A9" w:rsidRPr="00C9671B" w:rsidRDefault="00B714A9" w:rsidP="00B714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5C3520" w:rsidRPr="00C9671B" w:rsidRDefault="005C3520" w:rsidP="007F427C">
      <w:pPr>
        <w:spacing w:after="0" w:line="240" w:lineRule="auto"/>
        <w:jc w:val="both"/>
        <w:rPr>
          <w:rFonts w:ascii="Arial" w:hAnsi="Arial" w:cs="Arial"/>
        </w:rPr>
      </w:pPr>
      <w:r w:rsidRPr="00C9671B">
        <w:rPr>
          <w:rFonts w:ascii="Arial" w:hAnsi="Arial" w:cs="Arial"/>
        </w:rPr>
        <w:t xml:space="preserve">V roce 2009 </w:t>
      </w:r>
      <w:r w:rsidR="00FA30A0">
        <w:rPr>
          <w:rFonts w:ascii="Arial" w:hAnsi="Arial" w:cs="Arial"/>
        </w:rPr>
        <w:t>MV – </w:t>
      </w:r>
      <w:r w:rsidR="002703B5">
        <w:rPr>
          <w:rFonts w:ascii="Arial" w:hAnsi="Arial" w:cs="Arial"/>
        </w:rPr>
        <w:t>Policejní prezidium</w:t>
      </w:r>
      <w:r w:rsidRPr="00C9671B">
        <w:rPr>
          <w:rFonts w:ascii="Arial" w:hAnsi="Arial" w:cs="Arial"/>
        </w:rPr>
        <w:t xml:space="preserve"> uzavřelo </w:t>
      </w:r>
      <w:r w:rsidR="00B714A9">
        <w:rPr>
          <w:rFonts w:ascii="Arial" w:hAnsi="Arial" w:cs="Arial"/>
        </w:rPr>
        <w:t>s rámcovým dodavatelem prováděcí</w:t>
      </w:r>
      <w:r w:rsidRPr="00C9671B">
        <w:rPr>
          <w:rFonts w:ascii="Arial" w:hAnsi="Arial" w:cs="Arial"/>
        </w:rPr>
        <w:t xml:space="preserve"> smlouvy</w:t>
      </w:r>
      <w:r w:rsidRPr="00C9671B">
        <w:rPr>
          <w:rFonts w:ascii="Arial" w:hAnsi="Arial" w:cs="Arial"/>
          <w:lang w:eastAsia="cs-CZ"/>
        </w:rPr>
        <w:t>, kter</w:t>
      </w:r>
      <w:r w:rsidR="00B714A9">
        <w:rPr>
          <w:rFonts w:ascii="Arial" w:hAnsi="Arial" w:cs="Arial"/>
          <w:lang w:eastAsia="cs-CZ"/>
        </w:rPr>
        <w:t>é</w:t>
      </w:r>
      <w:r w:rsidRPr="00C9671B">
        <w:rPr>
          <w:rFonts w:ascii="Arial" w:hAnsi="Arial" w:cs="Arial"/>
          <w:lang w:eastAsia="cs-CZ"/>
        </w:rPr>
        <w:t xml:space="preserve"> zahrnoval</w:t>
      </w:r>
      <w:r w:rsidR="00B714A9">
        <w:rPr>
          <w:rFonts w:ascii="Arial" w:hAnsi="Arial" w:cs="Arial"/>
          <w:lang w:eastAsia="cs-CZ"/>
        </w:rPr>
        <w:t>y</w:t>
      </w:r>
      <w:r w:rsidRPr="00C9671B">
        <w:rPr>
          <w:rFonts w:ascii="Arial" w:hAnsi="Arial" w:cs="Arial"/>
          <w:lang w:eastAsia="cs-CZ"/>
        </w:rPr>
        <w:t xml:space="preserve"> i služb</w:t>
      </w:r>
      <w:r w:rsidR="00B714A9">
        <w:rPr>
          <w:rFonts w:ascii="Arial" w:hAnsi="Arial" w:cs="Arial"/>
          <w:lang w:eastAsia="cs-CZ"/>
        </w:rPr>
        <w:t>u</w:t>
      </w:r>
      <w:r w:rsidRPr="00C9671B">
        <w:rPr>
          <w:rFonts w:ascii="Arial" w:hAnsi="Arial" w:cs="Arial"/>
          <w:lang w:eastAsia="cs-CZ"/>
        </w:rPr>
        <w:t xml:space="preserve"> uskladnění předkoupeného množství PHM</w:t>
      </w:r>
      <w:r w:rsidR="00882D0A">
        <w:rPr>
          <w:rFonts w:ascii="Arial" w:hAnsi="Arial" w:cs="Arial"/>
          <w:lang w:eastAsia="cs-CZ"/>
        </w:rPr>
        <w:t xml:space="preserve">. Došlo tak </w:t>
      </w:r>
      <w:r w:rsidRPr="00C9671B">
        <w:rPr>
          <w:rFonts w:ascii="Arial" w:hAnsi="Arial" w:cs="Arial"/>
        </w:rPr>
        <w:t xml:space="preserve">podstatným způsobem </w:t>
      </w:r>
      <w:r w:rsidR="00FF54A3">
        <w:rPr>
          <w:rFonts w:ascii="Arial" w:hAnsi="Arial" w:cs="Arial"/>
        </w:rPr>
        <w:t>k </w:t>
      </w:r>
      <w:r w:rsidR="00922B2E" w:rsidRPr="00C9671B">
        <w:rPr>
          <w:rFonts w:ascii="Arial" w:hAnsi="Arial" w:cs="Arial"/>
        </w:rPr>
        <w:t>překroč</w:t>
      </w:r>
      <w:r w:rsidR="0071129A">
        <w:rPr>
          <w:rFonts w:ascii="Arial" w:hAnsi="Arial" w:cs="Arial"/>
        </w:rPr>
        <w:t>ení</w:t>
      </w:r>
      <w:r w:rsidR="00922B2E" w:rsidRPr="00C9671B">
        <w:rPr>
          <w:rFonts w:ascii="Arial" w:hAnsi="Arial" w:cs="Arial"/>
        </w:rPr>
        <w:t xml:space="preserve"> </w:t>
      </w:r>
      <w:r w:rsidRPr="00C9671B">
        <w:rPr>
          <w:rFonts w:ascii="Arial" w:hAnsi="Arial" w:cs="Arial"/>
        </w:rPr>
        <w:t>předmět</w:t>
      </w:r>
      <w:r w:rsidR="0071129A">
        <w:rPr>
          <w:rFonts w:ascii="Arial" w:hAnsi="Arial" w:cs="Arial"/>
        </w:rPr>
        <w:t>u</w:t>
      </w:r>
      <w:r w:rsidRPr="00C9671B">
        <w:rPr>
          <w:rFonts w:ascii="Arial" w:hAnsi="Arial" w:cs="Arial"/>
        </w:rPr>
        <w:t xml:space="preserve"> plnění vymezen</w:t>
      </w:r>
      <w:r w:rsidR="0071129A">
        <w:rPr>
          <w:rFonts w:ascii="Arial" w:hAnsi="Arial" w:cs="Arial"/>
        </w:rPr>
        <w:t xml:space="preserve">ého </w:t>
      </w:r>
      <w:r w:rsidRPr="00C9671B">
        <w:rPr>
          <w:rFonts w:ascii="Arial" w:hAnsi="Arial" w:cs="Arial"/>
        </w:rPr>
        <w:t>v</w:t>
      </w:r>
      <w:r w:rsidR="00C47694">
        <w:rPr>
          <w:rFonts w:ascii="Arial" w:hAnsi="Arial" w:cs="Arial"/>
        </w:rPr>
        <w:t> </w:t>
      </w:r>
      <w:proofErr w:type="spellStart"/>
      <w:r w:rsidRPr="00C9671B">
        <w:rPr>
          <w:rFonts w:ascii="Arial" w:hAnsi="Arial" w:cs="Arial"/>
        </w:rPr>
        <w:t>RS</w:t>
      </w:r>
      <w:proofErr w:type="spellEnd"/>
      <w:r w:rsidR="00C47694">
        <w:rPr>
          <w:rFonts w:ascii="Arial" w:hAnsi="Arial" w:cs="Arial"/>
        </w:rPr>
        <w:t>,</w:t>
      </w:r>
      <w:r w:rsidR="009824C3">
        <w:rPr>
          <w:rFonts w:ascii="Arial" w:hAnsi="Arial" w:cs="Arial"/>
        </w:rPr>
        <w:t xml:space="preserve"> a </w:t>
      </w:r>
      <w:r w:rsidR="0071129A">
        <w:rPr>
          <w:rFonts w:ascii="Arial" w:hAnsi="Arial" w:cs="Arial"/>
        </w:rPr>
        <w:t xml:space="preserve">tím </w:t>
      </w:r>
      <w:r w:rsidR="00FF54A3">
        <w:rPr>
          <w:rFonts w:ascii="Arial" w:hAnsi="Arial" w:cs="Arial"/>
        </w:rPr>
        <w:t>k </w:t>
      </w:r>
      <w:r w:rsidR="00BA3A6E">
        <w:rPr>
          <w:rFonts w:ascii="Arial" w:hAnsi="Arial" w:cs="Arial"/>
        </w:rPr>
        <w:t>nedodrže</w:t>
      </w:r>
      <w:r w:rsidR="0071129A">
        <w:rPr>
          <w:rFonts w:ascii="Arial" w:hAnsi="Arial" w:cs="Arial"/>
        </w:rPr>
        <w:t xml:space="preserve">ní </w:t>
      </w:r>
      <w:r w:rsidR="00BA3A6E">
        <w:rPr>
          <w:rFonts w:ascii="Arial" w:hAnsi="Arial" w:cs="Arial"/>
        </w:rPr>
        <w:t>zákon</w:t>
      </w:r>
      <w:r w:rsidR="0071129A">
        <w:rPr>
          <w:rFonts w:ascii="Arial" w:hAnsi="Arial" w:cs="Arial"/>
        </w:rPr>
        <w:t xml:space="preserve">a </w:t>
      </w:r>
      <w:r w:rsidR="00BA3A6E" w:rsidRPr="00C47694">
        <w:rPr>
          <w:rFonts w:ascii="Arial" w:hAnsi="Arial" w:cs="Arial"/>
        </w:rPr>
        <w:t>č. 137/2006 Sb.</w:t>
      </w:r>
      <w:r w:rsidR="00C47694" w:rsidRPr="00C47694">
        <w:rPr>
          <w:rStyle w:val="Znakapoznpodarou"/>
          <w:rFonts w:ascii="Arial" w:hAnsi="Arial" w:cs="Arial"/>
        </w:rPr>
        <w:footnoteReference w:id="6"/>
      </w:r>
      <w:r w:rsidRPr="00C9671B">
        <w:rPr>
          <w:rFonts w:ascii="Arial" w:hAnsi="Arial" w:cs="Arial"/>
        </w:rPr>
        <w:t xml:space="preserve"> </w:t>
      </w:r>
      <w:r w:rsidR="00B662AC">
        <w:rPr>
          <w:rFonts w:ascii="Arial" w:hAnsi="Arial" w:cs="Arial"/>
        </w:rPr>
        <w:t>V</w:t>
      </w:r>
      <w:r w:rsidR="0071129A">
        <w:rPr>
          <w:rFonts w:ascii="Arial" w:hAnsi="Arial" w:cs="Arial"/>
        </w:rPr>
        <w:t>e</w:t>
      </w:r>
      <w:r w:rsidR="00FA2860">
        <w:rPr>
          <w:rFonts w:ascii="Arial" w:hAnsi="Arial" w:cs="Arial"/>
        </w:rPr>
        <w:t xml:space="preserve"> druhé polovině </w:t>
      </w:r>
      <w:r w:rsidR="00B662AC">
        <w:rPr>
          <w:rFonts w:ascii="Arial" w:hAnsi="Arial" w:cs="Arial"/>
        </w:rPr>
        <w:t>prosinc</w:t>
      </w:r>
      <w:r w:rsidR="00FA2860">
        <w:rPr>
          <w:rFonts w:ascii="Arial" w:hAnsi="Arial" w:cs="Arial"/>
        </w:rPr>
        <w:t>e</w:t>
      </w:r>
      <w:r w:rsidR="00B662AC">
        <w:rPr>
          <w:rFonts w:ascii="Arial" w:hAnsi="Arial" w:cs="Arial"/>
        </w:rPr>
        <w:t xml:space="preserve"> roku 2009</w:t>
      </w:r>
      <w:r w:rsidR="00922B2E">
        <w:rPr>
          <w:rFonts w:ascii="Arial" w:hAnsi="Arial" w:cs="Arial"/>
        </w:rPr>
        <w:t xml:space="preserve">, kdy již bylo zřejmé, že byla uzavřena </w:t>
      </w:r>
      <w:proofErr w:type="spellStart"/>
      <w:r w:rsidR="00922B2E">
        <w:rPr>
          <w:rFonts w:ascii="Arial" w:hAnsi="Arial" w:cs="Arial"/>
        </w:rPr>
        <w:t>RS</w:t>
      </w:r>
      <w:proofErr w:type="spellEnd"/>
      <w:r w:rsidR="001302AB">
        <w:rPr>
          <w:rFonts w:ascii="Arial" w:hAnsi="Arial" w:cs="Arial"/>
        </w:rPr>
        <w:t xml:space="preserve"> </w:t>
      </w:r>
      <w:r w:rsidR="00882D0A">
        <w:rPr>
          <w:rFonts w:ascii="Arial" w:hAnsi="Arial" w:cs="Arial"/>
        </w:rPr>
        <w:t xml:space="preserve">(4. </w:t>
      </w:r>
      <w:r w:rsidR="00FA30A0">
        <w:rPr>
          <w:rFonts w:ascii="Arial" w:hAnsi="Arial" w:cs="Arial"/>
        </w:rPr>
        <w:t>prosince</w:t>
      </w:r>
      <w:r w:rsidR="00882D0A">
        <w:rPr>
          <w:rFonts w:ascii="Arial" w:hAnsi="Arial" w:cs="Arial"/>
        </w:rPr>
        <w:t xml:space="preserve"> 2009) </w:t>
      </w:r>
      <w:r w:rsidR="001302AB" w:rsidRPr="00363655">
        <w:rPr>
          <w:rFonts w:ascii="Arial" w:hAnsi="Arial" w:cs="Arial"/>
        </w:rPr>
        <w:t>pro rok</w:t>
      </w:r>
      <w:r w:rsidR="00363655" w:rsidRPr="00363655">
        <w:rPr>
          <w:rFonts w:ascii="Arial" w:hAnsi="Arial" w:cs="Arial"/>
        </w:rPr>
        <w:t xml:space="preserve"> 2010</w:t>
      </w:r>
      <w:r w:rsidR="00922B2E" w:rsidRPr="00363655">
        <w:rPr>
          <w:rFonts w:ascii="Arial" w:hAnsi="Arial" w:cs="Arial"/>
        </w:rPr>
        <w:t>,</w:t>
      </w:r>
      <w:r w:rsidR="00922B2E">
        <w:rPr>
          <w:rFonts w:ascii="Arial" w:hAnsi="Arial" w:cs="Arial"/>
        </w:rPr>
        <w:t xml:space="preserve"> </w:t>
      </w:r>
      <w:r w:rsidR="00922B2E" w:rsidRPr="00C9671B">
        <w:rPr>
          <w:rFonts w:ascii="Arial" w:hAnsi="Arial" w:cs="Arial"/>
        </w:rPr>
        <w:t>uhra</w:t>
      </w:r>
      <w:r w:rsidR="00922B2E">
        <w:rPr>
          <w:rFonts w:ascii="Arial" w:hAnsi="Arial" w:cs="Arial"/>
        </w:rPr>
        <w:t xml:space="preserve">dilo </w:t>
      </w:r>
      <w:r w:rsidR="00B662AC">
        <w:rPr>
          <w:rFonts w:ascii="Arial" w:hAnsi="Arial" w:cs="Arial"/>
        </w:rPr>
        <w:t xml:space="preserve">rámcovému </w:t>
      </w:r>
      <w:r w:rsidR="00B662AC" w:rsidRPr="00C9671B">
        <w:rPr>
          <w:rFonts w:ascii="Arial" w:hAnsi="Arial" w:cs="Arial"/>
        </w:rPr>
        <w:t xml:space="preserve">dodavateli </w:t>
      </w:r>
      <w:r w:rsidR="0071129A">
        <w:rPr>
          <w:rFonts w:ascii="Arial" w:hAnsi="Arial" w:cs="Arial"/>
        </w:rPr>
        <w:t xml:space="preserve">za PHM </w:t>
      </w:r>
      <w:r w:rsidR="00922B2E">
        <w:rPr>
          <w:rFonts w:ascii="Arial" w:hAnsi="Arial" w:cs="Arial"/>
        </w:rPr>
        <w:t xml:space="preserve">jednorázově částku </w:t>
      </w:r>
      <w:r w:rsidR="00922B2E" w:rsidRPr="00C9671B">
        <w:rPr>
          <w:rFonts w:ascii="Arial" w:hAnsi="Arial" w:cs="Arial"/>
        </w:rPr>
        <w:t>11 988 239 Kč vč. DPH</w:t>
      </w:r>
      <w:r w:rsidR="0071129A">
        <w:rPr>
          <w:rFonts w:ascii="Arial" w:hAnsi="Arial" w:cs="Arial"/>
        </w:rPr>
        <w:t xml:space="preserve">, která zahrnovala cenu </w:t>
      </w:r>
      <w:r w:rsidR="00B662AC" w:rsidRPr="00C9671B">
        <w:rPr>
          <w:rFonts w:ascii="Arial" w:hAnsi="Arial" w:cs="Arial"/>
        </w:rPr>
        <w:t>za uskladněn</w:t>
      </w:r>
      <w:r w:rsidR="00B662AC">
        <w:rPr>
          <w:rFonts w:ascii="Arial" w:hAnsi="Arial" w:cs="Arial"/>
        </w:rPr>
        <w:t>í</w:t>
      </w:r>
      <w:r w:rsidR="0071129A">
        <w:rPr>
          <w:rFonts w:ascii="Arial" w:hAnsi="Arial" w:cs="Arial"/>
        </w:rPr>
        <w:t xml:space="preserve"> (</w:t>
      </w:r>
      <w:r w:rsidR="00B662AC" w:rsidRPr="00C9671B">
        <w:rPr>
          <w:rFonts w:ascii="Arial" w:hAnsi="Arial" w:cs="Arial"/>
        </w:rPr>
        <w:t>825</w:t>
      </w:r>
      <w:r w:rsidR="00C23787">
        <w:rPr>
          <w:rFonts w:ascii="Arial" w:hAnsi="Arial" w:cs="Arial"/>
        </w:rPr>
        <w:t> </w:t>
      </w:r>
      <w:r w:rsidR="00B662AC" w:rsidRPr="00C9671B">
        <w:rPr>
          <w:rFonts w:ascii="Arial" w:hAnsi="Arial" w:cs="Arial"/>
        </w:rPr>
        <w:t>350</w:t>
      </w:r>
      <w:r w:rsidR="00C23787">
        <w:rPr>
          <w:rFonts w:ascii="Arial" w:hAnsi="Arial" w:cs="Arial"/>
        </w:rPr>
        <w:t> </w:t>
      </w:r>
      <w:r w:rsidR="00922B2E">
        <w:rPr>
          <w:rFonts w:ascii="Arial" w:hAnsi="Arial" w:cs="Arial"/>
        </w:rPr>
        <w:t xml:space="preserve">Kč </w:t>
      </w:r>
      <w:r w:rsidR="00B662AC" w:rsidRPr="00C9671B">
        <w:rPr>
          <w:rFonts w:ascii="Arial" w:hAnsi="Arial" w:cs="Arial"/>
        </w:rPr>
        <w:t>bez DPH</w:t>
      </w:r>
      <w:r w:rsidR="0071129A">
        <w:rPr>
          <w:rFonts w:ascii="Arial" w:hAnsi="Arial" w:cs="Arial"/>
        </w:rPr>
        <w:t>)</w:t>
      </w:r>
      <w:r w:rsidR="00B662AC">
        <w:rPr>
          <w:rFonts w:ascii="Arial" w:hAnsi="Arial" w:cs="Arial"/>
        </w:rPr>
        <w:t xml:space="preserve">. </w:t>
      </w:r>
      <w:r w:rsidR="00FA2860">
        <w:rPr>
          <w:rFonts w:ascii="Arial" w:hAnsi="Arial" w:cs="Arial"/>
        </w:rPr>
        <w:t>V rozporu s </w:t>
      </w:r>
      <w:proofErr w:type="spellStart"/>
      <w:r w:rsidR="00FA2860">
        <w:rPr>
          <w:rFonts w:ascii="Arial" w:hAnsi="Arial" w:cs="Arial"/>
        </w:rPr>
        <w:t>RS</w:t>
      </w:r>
      <w:proofErr w:type="spellEnd"/>
      <w:r w:rsidR="00FA2860">
        <w:rPr>
          <w:rFonts w:ascii="Arial" w:hAnsi="Arial" w:cs="Arial"/>
        </w:rPr>
        <w:t xml:space="preserve"> byla cena za uskladnění </w:t>
      </w:r>
      <w:r w:rsidR="004A766D">
        <w:rPr>
          <w:rFonts w:ascii="Arial" w:hAnsi="Arial" w:cs="Arial"/>
        </w:rPr>
        <w:t xml:space="preserve">promítnuta </w:t>
      </w:r>
      <w:r w:rsidR="00FA2860">
        <w:rPr>
          <w:rFonts w:ascii="Arial" w:hAnsi="Arial" w:cs="Arial"/>
        </w:rPr>
        <w:t xml:space="preserve">do jednotkové ceny za litr PHM. </w:t>
      </w:r>
    </w:p>
    <w:p w:rsidR="005C3520" w:rsidRDefault="005C3520" w:rsidP="007F427C">
      <w:pPr>
        <w:spacing w:after="0" w:line="240" w:lineRule="auto"/>
        <w:jc w:val="both"/>
        <w:rPr>
          <w:rFonts w:ascii="Arial" w:hAnsi="Arial" w:cs="Arial"/>
        </w:rPr>
      </w:pPr>
    </w:p>
    <w:p w:rsidR="00C47694" w:rsidRDefault="005C3520" w:rsidP="00C47694">
      <w:pPr>
        <w:spacing w:after="0" w:line="240" w:lineRule="auto"/>
        <w:jc w:val="both"/>
        <w:rPr>
          <w:rFonts w:ascii="Arial" w:hAnsi="Arial" w:cs="Arial"/>
        </w:rPr>
      </w:pPr>
      <w:r w:rsidRPr="00C9671B">
        <w:rPr>
          <w:rFonts w:ascii="Arial" w:hAnsi="Arial" w:cs="Arial"/>
        </w:rPr>
        <w:t xml:space="preserve">V roce 2010 </w:t>
      </w:r>
      <w:r w:rsidR="00882D0A">
        <w:rPr>
          <w:rFonts w:ascii="Arial" w:hAnsi="Arial" w:cs="Arial"/>
        </w:rPr>
        <w:t xml:space="preserve">MV </w:t>
      </w:r>
      <w:r w:rsidR="0072654D">
        <w:rPr>
          <w:rFonts w:ascii="Arial" w:hAnsi="Arial" w:cs="Arial"/>
        </w:rPr>
        <w:t>–</w:t>
      </w:r>
      <w:r w:rsidR="00882D0A">
        <w:rPr>
          <w:rFonts w:ascii="Arial" w:hAnsi="Arial" w:cs="Arial"/>
        </w:rPr>
        <w:t xml:space="preserve"> </w:t>
      </w:r>
      <w:r w:rsidR="00FA2860">
        <w:rPr>
          <w:rFonts w:ascii="Arial" w:hAnsi="Arial" w:cs="Arial"/>
        </w:rPr>
        <w:t>Policejní prezidium</w:t>
      </w:r>
      <w:r w:rsidRPr="00C9671B">
        <w:rPr>
          <w:rFonts w:ascii="Arial" w:hAnsi="Arial" w:cs="Arial"/>
        </w:rPr>
        <w:t xml:space="preserve"> oslovilo rámcové dodavatele s dotazem na předkup PHM a jejich možné uskladnění spolu s postupným </w:t>
      </w:r>
      <w:r w:rsidR="00AE14EE">
        <w:rPr>
          <w:rFonts w:ascii="Arial" w:hAnsi="Arial" w:cs="Arial"/>
        </w:rPr>
        <w:t>navážením</w:t>
      </w:r>
      <w:r w:rsidRPr="00C9671B">
        <w:rPr>
          <w:rFonts w:ascii="Arial" w:hAnsi="Arial" w:cs="Arial"/>
        </w:rPr>
        <w:t xml:space="preserve"> do určených </w:t>
      </w:r>
      <w:r>
        <w:rPr>
          <w:rFonts w:ascii="Arial" w:hAnsi="Arial" w:cs="Arial"/>
        </w:rPr>
        <w:t>úložišť</w:t>
      </w:r>
      <w:r w:rsidRPr="00C9671B">
        <w:rPr>
          <w:rFonts w:ascii="Arial" w:hAnsi="Arial" w:cs="Arial"/>
        </w:rPr>
        <w:t>. Kladnou odpověď zaslal jeden dodavatel, který jako jediný předložil cenovou nabídku. Nabídka nesplňovala podmínky uvedené v </w:t>
      </w:r>
      <w:proofErr w:type="spellStart"/>
      <w:r w:rsidRPr="00C9671B">
        <w:rPr>
          <w:rFonts w:ascii="Arial" w:hAnsi="Arial" w:cs="Arial"/>
        </w:rPr>
        <w:t>RS</w:t>
      </w:r>
      <w:proofErr w:type="spellEnd"/>
      <w:r w:rsidRPr="00C9671B">
        <w:rPr>
          <w:rFonts w:ascii="Arial" w:hAnsi="Arial" w:cs="Arial"/>
        </w:rPr>
        <w:t xml:space="preserve"> a neodůvodněně rozšiřovala předmět zakázky, neboť služby skladování PHM nebyly předmětem plnění</w:t>
      </w:r>
      <w:r w:rsidR="00360BD8">
        <w:rPr>
          <w:rFonts w:ascii="Arial" w:hAnsi="Arial" w:cs="Arial"/>
        </w:rPr>
        <w:t>, stejně jako v roce 2009.</w:t>
      </w:r>
      <w:r w:rsidRPr="00C9671B">
        <w:rPr>
          <w:rFonts w:ascii="Arial" w:hAnsi="Arial" w:cs="Arial"/>
        </w:rPr>
        <w:t xml:space="preserve"> </w:t>
      </w:r>
      <w:r w:rsidR="001302AB">
        <w:rPr>
          <w:rFonts w:ascii="Arial" w:hAnsi="Arial" w:cs="Arial"/>
        </w:rPr>
        <w:t xml:space="preserve">MV </w:t>
      </w:r>
      <w:r w:rsidR="0072654D">
        <w:rPr>
          <w:rFonts w:ascii="Arial" w:hAnsi="Arial" w:cs="Arial"/>
        </w:rPr>
        <w:t>–</w:t>
      </w:r>
      <w:r w:rsidR="001302AB">
        <w:rPr>
          <w:rFonts w:ascii="Arial" w:hAnsi="Arial" w:cs="Arial"/>
        </w:rPr>
        <w:t xml:space="preserve"> </w:t>
      </w:r>
      <w:r w:rsidRPr="00C9671B">
        <w:rPr>
          <w:rFonts w:ascii="Arial" w:hAnsi="Arial" w:cs="Arial"/>
        </w:rPr>
        <w:t>P</w:t>
      </w:r>
      <w:r w:rsidR="00360BD8">
        <w:rPr>
          <w:rFonts w:ascii="Arial" w:hAnsi="Arial" w:cs="Arial"/>
        </w:rPr>
        <w:t xml:space="preserve">olicejní </w:t>
      </w:r>
      <w:r w:rsidR="00360BD8">
        <w:rPr>
          <w:rFonts w:ascii="Arial" w:hAnsi="Arial" w:cs="Arial"/>
        </w:rPr>
        <w:lastRenderedPageBreak/>
        <w:t>prezidium</w:t>
      </w:r>
      <w:r w:rsidRPr="00C9671B">
        <w:rPr>
          <w:rFonts w:ascii="Arial" w:hAnsi="Arial" w:cs="Arial"/>
        </w:rPr>
        <w:t xml:space="preserve"> souhlasilo s uzavřením kupní</w:t>
      </w:r>
      <w:r>
        <w:rPr>
          <w:rFonts w:ascii="Arial" w:hAnsi="Arial" w:cs="Arial"/>
        </w:rPr>
        <w:t xml:space="preserve"> </w:t>
      </w:r>
      <w:r w:rsidRPr="00C9671B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</w:t>
      </w:r>
      <w:r w:rsidRPr="00C9671B">
        <w:rPr>
          <w:rFonts w:ascii="Arial" w:hAnsi="Arial" w:cs="Arial"/>
        </w:rPr>
        <w:t xml:space="preserve">a týž den zpracovalo </w:t>
      </w:r>
      <w:r w:rsidR="00AE14EE">
        <w:rPr>
          <w:rFonts w:ascii="Arial" w:hAnsi="Arial" w:cs="Arial"/>
          <w:i/>
        </w:rPr>
        <w:t>ž</w:t>
      </w:r>
      <w:r w:rsidRPr="00E42AA0">
        <w:rPr>
          <w:rFonts w:ascii="Arial" w:hAnsi="Arial" w:cs="Arial"/>
          <w:i/>
        </w:rPr>
        <w:t xml:space="preserve">ádost o uzavření smlouvy na uskladnění PHM </w:t>
      </w:r>
      <w:proofErr w:type="spellStart"/>
      <w:r w:rsidRPr="00E42AA0">
        <w:rPr>
          <w:rFonts w:ascii="Arial" w:hAnsi="Arial" w:cs="Arial"/>
          <w:i/>
        </w:rPr>
        <w:t>vysoutěžených</w:t>
      </w:r>
      <w:proofErr w:type="spellEnd"/>
      <w:r w:rsidRPr="00E42AA0">
        <w:rPr>
          <w:rFonts w:ascii="Arial" w:hAnsi="Arial" w:cs="Arial"/>
          <w:i/>
        </w:rPr>
        <w:t xml:space="preserve"> na základě </w:t>
      </w:r>
      <w:proofErr w:type="spellStart"/>
      <w:r w:rsidRPr="00E42AA0">
        <w:rPr>
          <w:rFonts w:ascii="Arial" w:hAnsi="Arial" w:cs="Arial"/>
          <w:i/>
        </w:rPr>
        <w:t>minitendru</w:t>
      </w:r>
      <w:proofErr w:type="spellEnd"/>
      <w:r w:rsidRPr="00C9671B">
        <w:rPr>
          <w:rFonts w:ascii="Arial" w:hAnsi="Arial" w:cs="Arial"/>
        </w:rPr>
        <w:t xml:space="preserve">. Výzvu k podání nabídky na uskladnění PHM zaslalo třem uchazečům. Obdrželo však pouze jednu nabídku – od </w:t>
      </w:r>
      <w:r w:rsidR="00C47694">
        <w:rPr>
          <w:rFonts w:ascii="Arial" w:hAnsi="Arial" w:cs="Arial"/>
        </w:rPr>
        <w:t>rámcového dodavatele, s nímž byla uzavřena prováděcí smlouva na dodávku PHM</w:t>
      </w:r>
      <w:r w:rsidR="0072654D">
        <w:rPr>
          <w:rFonts w:ascii="Arial" w:hAnsi="Arial" w:cs="Arial"/>
        </w:rPr>
        <w:t xml:space="preserve"> a ve stejný den i smlouva o skladování</w:t>
      </w:r>
      <w:r w:rsidR="00C47694">
        <w:rPr>
          <w:rFonts w:ascii="Arial" w:hAnsi="Arial" w:cs="Arial"/>
        </w:rPr>
        <w:t xml:space="preserve">. Celková cena </w:t>
      </w:r>
      <w:r w:rsidR="0072654D">
        <w:rPr>
          <w:rFonts w:ascii="Arial" w:hAnsi="Arial" w:cs="Arial"/>
        </w:rPr>
        <w:t xml:space="preserve">PHM uhrazená </w:t>
      </w:r>
      <w:r w:rsidR="00853A01">
        <w:rPr>
          <w:rFonts w:ascii="Arial" w:hAnsi="Arial" w:cs="Arial"/>
        </w:rPr>
        <w:t xml:space="preserve">dodavateli </w:t>
      </w:r>
      <w:r w:rsidR="00C47694">
        <w:rPr>
          <w:rFonts w:ascii="Arial" w:hAnsi="Arial" w:cs="Arial"/>
        </w:rPr>
        <w:t>jednorázově činila 12 153 600 Kč vč. DPH</w:t>
      </w:r>
      <w:r w:rsidR="0072654D">
        <w:rPr>
          <w:rFonts w:ascii="Arial" w:hAnsi="Arial" w:cs="Arial"/>
        </w:rPr>
        <w:t>. Č</w:t>
      </w:r>
      <w:r w:rsidR="00C47694">
        <w:rPr>
          <w:rFonts w:ascii="Arial" w:hAnsi="Arial" w:cs="Arial"/>
        </w:rPr>
        <w:t>ástka</w:t>
      </w:r>
      <w:r w:rsidR="00C47694" w:rsidRPr="00A47D57">
        <w:rPr>
          <w:rFonts w:ascii="Arial" w:hAnsi="Arial" w:cs="Arial"/>
        </w:rPr>
        <w:t xml:space="preserve"> </w:t>
      </w:r>
      <w:r w:rsidR="00C47694">
        <w:rPr>
          <w:rFonts w:ascii="Arial" w:hAnsi="Arial" w:cs="Arial"/>
        </w:rPr>
        <w:t xml:space="preserve">za skladování činila </w:t>
      </w:r>
      <w:r w:rsidR="00FA30A0">
        <w:rPr>
          <w:rFonts w:ascii="Arial" w:hAnsi="Arial" w:cs="Arial"/>
        </w:rPr>
        <w:t>celkem 590 447 Kč vč. DPH a </w:t>
      </w:r>
      <w:r w:rsidR="0072654D">
        <w:rPr>
          <w:rFonts w:ascii="Arial" w:hAnsi="Arial" w:cs="Arial"/>
        </w:rPr>
        <w:t xml:space="preserve">byla fakturována v jednotlivých měsících následujícího roku. </w:t>
      </w:r>
    </w:p>
    <w:p w:rsidR="00C47694" w:rsidRPr="00C9671B" w:rsidRDefault="00C47694" w:rsidP="007F427C">
      <w:pPr>
        <w:spacing w:after="0" w:line="240" w:lineRule="auto"/>
        <w:jc w:val="both"/>
        <w:rPr>
          <w:rFonts w:ascii="Arial" w:hAnsi="Arial" w:cs="Arial"/>
        </w:rPr>
      </w:pPr>
    </w:p>
    <w:p w:rsidR="005C3520" w:rsidRDefault="00FF54A3" w:rsidP="007F427C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V </w:t>
      </w:r>
      <w:r w:rsidR="005C3520" w:rsidRPr="00C9671B">
        <w:rPr>
          <w:rFonts w:ascii="Arial" w:hAnsi="Arial" w:cs="Arial"/>
        </w:rPr>
        <w:t xml:space="preserve">roce 2011 oslovilo </w:t>
      </w:r>
      <w:r w:rsidR="009D138C">
        <w:rPr>
          <w:rFonts w:ascii="Arial" w:hAnsi="Arial" w:cs="Arial"/>
        </w:rPr>
        <w:t xml:space="preserve">MV – </w:t>
      </w:r>
      <w:r w:rsidR="00515FA0">
        <w:rPr>
          <w:rFonts w:ascii="Arial" w:hAnsi="Arial" w:cs="Arial"/>
        </w:rPr>
        <w:t>Policejní prezidium rámcové dodavatele</w:t>
      </w:r>
      <w:r w:rsidR="00515FA0" w:rsidRPr="00C9671B">
        <w:rPr>
          <w:rFonts w:ascii="Arial" w:hAnsi="Arial" w:cs="Arial"/>
        </w:rPr>
        <w:t xml:space="preserve"> </w:t>
      </w:r>
      <w:r w:rsidR="00AE14EE">
        <w:rPr>
          <w:rFonts w:ascii="Arial" w:hAnsi="Arial" w:cs="Arial"/>
        </w:rPr>
        <w:t>ve věci</w:t>
      </w:r>
      <w:r w:rsidR="005C3520" w:rsidRPr="00C9671B">
        <w:rPr>
          <w:rFonts w:ascii="Arial" w:hAnsi="Arial" w:cs="Arial"/>
        </w:rPr>
        <w:t xml:space="preserve"> </w:t>
      </w:r>
      <w:r w:rsidR="005C3520" w:rsidRPr="002F070D">
        <w:rPr>
          <w:rFonts w:ascii="Arial" w:hAnsi="Arial" w:cs="Arial"/>
        </w:rPr>
        <w:t>nákup</w:t>
      </w:r>
      <w:r w:rsidR="00AE14EE">
        <w:rPr>
          <w:rFonts w:ascii="Arial" w:hAnsi="Arial" w:cs="Arial"/>
        </w:rPr>
        <w:t>u</w:t>
      </w:r>
      <w:r w:rsidR="005C3520" w:rsidRPr="00C9671B">
        <w:rPr>
          <w:rFonts w:ascii="Arial" w:hAnsi="Arial" w:cs="Arial"/>
        </w:rPr>
        <w:t xml:space="preserve"> PHM a</w:t>
      </w:r>
      <w:r w:rsidR="00AE14EE">
        <w:rPr>
          <w:rFonts w:ascii="Arial" w:hAnsi="Arial" w:cs="Arial"/>
        </w:rPr>
        <w:t> </w:t>
      </w:r>
      <w:r w:rsidR="005C3520" w:rsidRPr="00C9671B">
        <w:rPr>
          <w:rFonts w:ascii="Arial" w:hAnsi="Arial" w:cs="Arial"/>
        </w:rPr>
        <w:t xml:space="preserve">zvlášť </w:t>
      </w:r>
      <w:r w:rsidR="00AE14EE">
        <w:rPr>
          <w:rFonts w:ascii="Arial" w:hAnsi="Arial" w:cs="Arial"/>
        </w:rPr>
        <w:t>ohledně</w:t>
      </w:r>
      <w:r w:rsidR="00AE14EE" w:rsidRPr="00C9671B">
        <w:rPr>
          <w:rFonts w:ascii="Arial" w:hAnsi="Arial" w:cs="Arial"/>
        </w:rPr>
        <w:t xml:space="preserve"> </w:t>
      </w:r>
      <w:r w:rsidR="00515FA0">
        <w:rPr>
          <w:rFonts w:ascii="Arial" w:hAnsi="Arial" w:cs="Arial"/>
        </w:rPr>
        <w:t xml:space="preserve">jejich </w:t>
      </w:r>
      <w:r w:rsidR="005C3520" w:rsidRPr="00C9671B">
        <w:rPr>
          <w:rFonts w:ascii="Arial" w:hAnsi="Arial" w:cs="Arial"/>
        </w:rPr>
        <w:t xml:space="preserve">uskladnění. </w:t>
      </w:r>
      <w:r>
        <w:rPr>
          <w:rFonts w:ascii="Arial" w:hAnsi="Arial" w:cs="Arial"/>
        </w:rPr>
        <w:t>V </w:t>
      </w:r>
      <w:r w:rsidR="005C3520" w:rsidRPr="00C9671B">
        <w:rPr>
          <w:rFonts w:ascii="Arial" w:hAnsi="Arial" w:cs="Arial"/>
        </w:rPr>
        <w:t>návrhu smlouvy o skladování bylo uvedeno, že skladovatel uskladní pouze PHM, které ukladatel objednal a zaplatil u skladovatele</w:t>
      </w:r>
      <w:r w:rsidR="00360BD8">
        <w:rPr>
          <w:rFonts w:ascii="Arial" w:hAnsi="Arial" w:cs="Arial"/>
        </w:rPr>
        <w:t>.</w:t>
      </w:r>
      <w:r w:rsidR="005C3520" w:rsidRPr="00C9671B">
        <w:rPr>
          <w:rFonts w:ascii="Arial" w:hAnsi="Arial" w:cs="Arial"/>
        </w:rPr>
        <w:t xml:space="preserve"> Cenovou nabídku </w:t>
      </w:r>
      <w:r w:rsidR="00360BD8">
        <w:rPr>
          <w:rFonts w:ascii="Arial" w:hAnsi="Arial" w:cs="Arial"/>
        </w:rPr>
        <w:t>jak na dodávku PHM</w:t>
      </w:r>
      <w:r w:rsidR="00AE14EE">
        <w:rPr>
          <w:rFonts w:ascii="Arial" w:hAnsi="Arial" w:cs="Arial"/>
        </w:rPr>
        <w:t>,</w:t>
      </w:r>
      <w:r w:rsidR="00360BD8">
        <w:rPr>
          <w:rFonts w:ascii="Arial" w:hAnsi="Arial" w:cs="Arial"/>
        </w:rPr>
        <w:t xml:space="preserve"> tak později i na uskladnění </w:t>
      </w:r>
      <w:r w:rsidR="005C3520" w:rsidRPr="00C9671B">
        <w:rPr>
          <w:rFonts w:ascii="Arial" w:hAnsi="Arial" w:cs="Arial"/>
        </w:rPr>
        <w:t xml:space="preserve">předložil </w:t>
      </w:r>
      <w:r w:rsidR="00360BD8">
        <w:rPr>
          <w:rFonts w:ascii="Arial" w:hAnsi="Arial" w:cs="Arial"/>
        </w:rPr>
        <w:t>p</w:t>
      </w:r>
      <w:r w:rsidR="005C3520" w:rsidRPr="00C9671B">
        <w:rPr>
          <w:rFonts w:ascii="Arial" w:hAnsi="Arial" w:cs="Arial"/>
        </w:rPr>
        <w:t>ouze jeden dodavatel</w:t>
      </w:r>
      <w:r w:rsidR="00360BD8">
        <w:rPr>
          <w:rFonts w:ascii="Arial" w:hAnsi="Arial" w:cs="Arial"/>
        </w:rPr>
        <w:t xml:space="preserve">, se kterým byly smlouvy uzavřeny ve stejný den. </w:t>
      </w:r>
      <w:r w:rsidR="005C3520" w:rsidRPr="00C9671B">
        <w:rPr>
          <w:rFonts w:ascii="Arial" w:eastAsia="Calibri" w:hAnsi="Arial" w:cs="Arial"/>
        </w:rPr>
        <w:t xml:space="preserve">Celková cena </w:t>
      </w:r>
      <w:r w:rsidR="002F070D">
        <w:rPr>
          <w:rFonts w:ascii="Arial" w:eastAsia="Calibri" w:hAnsi="Arial" w:cs="Arial"/>
        </w:rPr>
        <w:t xml:space="preserve">za </w:t>
      </w:r>
      <w:r w:rsidR="005C3520" w:rsidRPr="00C9671B">
        <w:rPr>
          <w:rFonts w:ascii="Arial" w:eastAsia="Calibri" w:hAnsi="Arial" w:cs="Arial"/>
        </w:rPr>
        <w:t xml:space="preserve">PHM byla fakturována ke dni podpisu kupní smlouvy </w:t>
      </w:r>
      <w:r w:rsidR="002F070D">
        <w:rPr>
          <w:rFonts w:ascii="Arial" w:eastAsia="Calibri" w:hAnsi="Arial" w:cs="Arial"/>
        </w:rPr>
        <w:t>(1. </w:t>
      </w:r>
      <w:r w:rsidR="00FA30A0">
        <w:rPr>
          <w:rFonts w:ascii="Arial" w:eastAsia="Calibri" w:hAnsi="Arial" w:cs="Arial"/>
        </w:rPr>
        <w:t>prosinc</w:t>
      </w:r>
      <w:r w:rsidR="00742D03">
        <w:rPr>
          <w:rFonts w:ascii="Arial" w:eastAsia="Calibri" w:hAnsi="Arial" w:cs="Arial"/>
        </w:rPr>
        <w:t>e</w:t>
      </w:r>
      <w:r w:rsidR="002F070D">
        <w:rPr>
          <w:rFonts w:ascii="Arial" w:eastAsia="Calibri" w:hAnsi="Arial" w:cs="Arial"/>
        </w:rPr>
        <w:t xml:space="preserve"> 2011) </w:t>
      </w:r>
      <w:r w:rsidR="005C3520" w:rsidRPr="00C9671B">
        <w:rPr>
          <w:rFonts w:ascii="Arial" w:eastAsia="Calibri" w:hAnsi="Arial" w:cs="Arial"/>
        </w:rPr>
        <w:t>a činila 13 368 240 Kč vč. DPH</w:t>
      </w:r>
      <w:r w:rsidR="002F070D">
        <w:rPr>
          <w:rFonts w:ascii="Arial" w:eastAsia="Calibri" w:hAnsi="Arial" w:cs="Arial"/>
        </w:rPr>
        <w:t>. Ú</w:t>
      </w:r>
      <w:r w:rsidR="00515FA0">
        <w:rPr>
          <w:rFonts w:ascii="Arial" w:eastAsia="Calibri" w:hAnsi="Arial" w:cs="Arial"/>
        </w:rPr>
        <w:t xml:space="preserve">hrada za uskladnění činila </w:t>
      </w:r>
      <w:r w:rsidR="0072654D">
        <w:rPr>
          <w:rFonts w:ascii="Arial" w:eastAsia="Calibri" w:hAnsi="Arial" w:cs="Arial"/>
        </w:rPr>
        <w:t xml:space="preserve">celkem </w:t>
      </w:r>
      <w:r w:rsidR="00515FA0" w:rsidRPr="00C9671B">
        <w:rPr>
          <w:rFonts w:ascii="Arial" w:hAnsi="Arial" w:cs="Arial"/>
        </w:rPr>
        <w:t>548 930 Kč vč. DPH</w:t>
      </w:r>
      <w:r w:rsidR="00D90247">
        <w:rPr>
          <w:rFonts w:ascii="Arial" w:hAnsi="Arial" w:cs="Arial"/>
        </w:rPr>
        <w:t xml:space="preserve"> </w:t>
      </w:r>
      <w:r w:rsidR="002F070D" w:rsidRPr="0072654D">
        <w:rPr>
          <w:rFonts w:ascii="Arial" w:eastAsia="Calibri" w:hAnsi="Arial" w:cs="Arial"/>
        </w:rPr>
        <w:t>a</w:t>
      </w:r>
      <w:r w:rsidR="00853A01" w:rsidRPr="0072654D">
        <w:rPr>
          <w:rFonts w:ascii="Arial" w:eastAsia="Calibri" w:hAnsi="Arial" w:cs="Arial"/>
        </w:rPr>
        <w:t xml:space="preserve"> </w:t>
      </w:r>
      <w:r w:rsidR="002F070D" w:rsidRPr="0072654D">
        <w:rPr>
          <w:rFonts w:ascii="Arial" w:eastAsia="Calibri" w:hAnsi="Arial" w:cs="Arial"/>
        </w:rPr>
        <w:t>byla fakturována v jednotlivých měsících</w:t>
      </w:r>
      <w:r w:rsidR="00853A01" w:rsidRPr="0072654D">
        <w:rPr>
          <w:rFonts w:ascii="Arial" w:eastAsia="Calibri" w:hAnsi="Arial" w:cs="Arial"/>
        </w:rPr>
        <w:t xml:space="preserve"> následujícího roku.</w:t>
      </w:r>
      <w:r w:rsidR="00C23787">
        <w:rPr>
          <w:rFonts w:ascii="Arial" w:eastAsia="Calibri" w:hAnsi="Arial" w:cs="Arial"/>
        </w:rPr>
        <w:t xml:space="preserve"> </w:t>
      </w:r>
    </w:p>
    <w:p w:rsidR="009D138C" w:rsidRDefault="009D138C" w:rsidP="007F427C">
      <w:pPr>
        <w:spacing w:after="0" w:line="240" w:lineRule="auto"/>
        <w:jc w:val="both"/>
        <w:rPr>
          <w:rFonts w:ascii="Arial" w:eastAsia="Calibri" w:hAnsi="Arial" w:cs="Arial"/>
        </w:rPr>
      </w:pPr>
    </w:p>
    <w:p w:rsidR="005C3520" w:rsidRPr="00C9671B" w:rsidRDefault="009D138C" w:rsidP="007F42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F54A3">
        <w:rPr>
          <w:rFonts w:ascii="Arial" w:hAnsi="Arial" w:cs="Arial"/>
        </w:rPr>
        <w:t>V </w:t>
      </w:r>
      <w:r>
        <w:rPr>
          <w:rFonts w:ascii="Arial" w:hAnsi="Arial" w:cs="Arial"/>
        </w:rPr>
        <w:t>–</w:t>
      </w:r>
      <w:r w:rsidR="005C3520" w:rsidRPr="00C9671B">
        <w:rPr>
          <w:rFonts w:ascii="Arial" w:hAnsi="Arial" w:cs="Arial"/>
        </w:rPr>
        <w:t xml:space="preserve"> </w:t>
      </w:r>
      <w:r w:rsidR="00E35406">
        <w:rPr>
          <w:rFonts w:ascii="Arial" w:hAnsi="Arial" w:cs="Arial"/>
        </w:rPr>
        <w:t>Policejní prezidium</w:t>
      </w:r>
      <w:r w:rsidR="005C3520" w:rsidRPr="00C9671B">
        <w:rPr>
          <w:rFonts w:ascii="Arial" w:hAnsi="Arial" w:cs="Arial"/>
        </w:rPr>
        <w:t xml:space="preserve"> </w:t>
      </w:r>
      <w:r w:rsidR="00AE14EE">
        <w:rPr>
          <w:rFonts w:ascii="Arial" w:hAnsi="Arial" w:cs="Arial"/>
        </w:rPr>
        <w:t>za roky</w:t>
      </w:r>
      <w:r w:rsidR="005C3520" w:rsidRPr="00C9671B">
        <w:rPr>
          <w:rFonts w:ascii="Arial" w:hAnsi="Arial" w:cs="Arial"/>
        </w:rPr>
        <w:t xml:space="preserve"> 2010 a 2011 uhradilo </w:t>
      </w:r>
      <w:r w:rsidR="009954DF">
        <w:rPr>
          <w:rFonts w:ascii="Arial" w:hAnsi="Arial" w:cs="Arial"/>
        </w:rPr>
        <w:t xml:space="preserve">stejnému </w:t>
      </w:r>
      <w:r w:rsidR="005C3520" w:rsidRPr="00C9671B">
        <w:rPr>
          <w:rFonts w:ascii="Arial" w:hAnsi="Arial" w:cs="Arial"/>
        </w:rPr>
        <w:t xml:space="preserve">dodavateli za dodávky PHM celkovou částku ve výši 25 521 840 Kč, tj. včetně spotřební daně a daně z přidané hodnoty. Dodavatel, který byl současně skladovatelem PHM, uložil celý objem PHM v daňovém skladu. Dodavateli daňová povinnost nastávala teprve v případě, kdy došlo k uvolnění PHM do volného oběhu. Celkem </w:t>
      </w:r>
      <w:r>
        <w:rPr>
          <w:rFonts w:ascii="Arial" w:hAnsi="Arial" w:cs="Arial"/>
        </w:rPr>
        <w:t xml:space="preserve">MV – </w:t>
      </w:r>
      <w:r w:rsidR="00E35406">
        <w:rPr>
          <w:rFonts w:ascii="Arial" w:hAnsi="Arial" w:cs="Arial"/>
        </w:rPr>
        <w:t>Policejní prezidium</w:t>
      </w:r>
      <w:r w:rsidR="005C3520" w:rsidRPr="00C9671B">
        <w:rPr>
          <w:rFonts w:ascii="Arial" w:hAnsi="Arial" w:cs="Arial"/>
        </w:rPr>
        <w:t xml:space="preserve"> uhradilo</w:t>
      </w:r>
      <w:r w:rsidR="00165D05">
        <w:rPr>
          <w:rFonts w:ascii="Arial" w:hAnsi="Arial" w:cs="Arial"/>
        </w:rPr>
        <w:t xml:space="preserve"> dodavateli na spotřební dani </w:t>
      </w:r>
      <w:r w:rsidR="00AE14EE">
        <w:rPr>
          <w:rFonts w:ascii="Arial" w:hAnsi="Arial" w:cs="Arial"/>
        </w:rPr>
        <w:t>z</w:t>
      </w:r>
      <w:r w:rsidR="00165D05">
        <w:rPr>
          <w:rFonts w:ascii="Arial" w:hAnsi="Arial" w:cs="Arial"/>
        </w:rPr>
        <w:t> </w:t>
      </w:r>
      <w:r w:rsidR="005C3520" w:rsidRPr="00C9671B">
        <w:rPr>
          <w:rFonts w:ascii="Arial" w:hAnsi="Arial" w:cs="Arial"/>
        </w:rPr>
        <w:t>PHM jednorázově 10 491 000 Kč</w:t>
      </w:r>
      <w:r w:rsidR="00E35406">
        <w:rPr>
          <w:rFonts w:ascii="Arial" w:hAnsi="Arial" w:cs="Arial"/>
        </w:rPr>
        <w:t>.</w:t>
      </w:r>
      <w:r w:rsidR="005C3520" w:rsidRPr="00C9671B">
        <w:rPr>
          <w:rFonts w:ascii="Arial" w:hAnsi="Arial" w:cs="Arial"/>
        </w:rPr>
        <w:t xml:space="preserve"> Tím, že uhradilo částku v celé výši spotřební daně najednou před dodáním sjednaného množství PHM, převedlo finanční prostředky na její úhradu do dispozice skladovatele neopodstatněně dříve, než vznikla povinnost tuto daň uhradit. </w:t>
      </w:r>
    </w:p>
    <w:p w:rsidR="00B714A9" w:rsidRDefault="00B714A9" w:rsidP="007F427C">
      <w:pPr>
        <w:pStyle w:val="ARNORMAL"/>
        <w:jc w:val="both"/>
        <w:rPr>
          <w:rFonts w:cs="Arial"/>
          <w:b/>
          <w:szCs w:val="22"/>
        </w:rPr>
      </w:pPr>
    </w:p>
    <w:p w:rsidR="005C3520" w:rsidRPr="005943F6" w:rsidRDefault="005943F6" w:rsidP="005943F6">
      <w:pPr>
        <w:pStyle w:val="ARNORMAL"/>
        <w:jc w:val="both"/>
        <w:rPr>
          <w:rFonts w:cs="Arial"/>
          <w:b/>
        </w:rPr>
      </w:pPr>
      <w:r w:rsidRPr="00B147C7">
        <w:rPr>
          <w:rFonts w:cs="Arial"/>
          <w:b/>
          <w:szCs w:val="22"/>
        </w:rPr>
        <w:t xml:space="preserve">Výše popsaný postup hodnotí NKÚ jako porušení rozpočtové kázně, protože </w:t>
      </w:r>
      <w:r w:rsidR="005C3520" w:rsidRPr="00B147C7">
        <w:rPr>
          <w:rFonts w:cs="Arial"/>
          <w:b/>
          <w:szCs w:val="22"/>
        </w:rPr>
        <w:t>určené úkoly</w:t>
      </w:r>
      <w:r w:rsidRPr="00B147C7">
        <w:rPr>
          <w:rFonts w:cs="Arial"/>
          <w:b/>
          <w:szCs w:val="22"/>
        </w:rPr>
        <w:t xml:space="preserve"> </w:t>
      </w:r>
      <w:r w:rsidR="00D90247" w:rsidRPr="00B147C7">
        <w:rPr>
          <w:rFonts w:cs="Arial"/>
          <w:b/>
          <w:szCs w:val="22"/>
        </w:rPr>
        <w:t xml:space="preserve">MV </w:t>
      </w:r>
      <w:r w:rsidR="00FF54A3">
        <w:rPr>
          <w:rFonts w:cs="Arial"/>
          <w:b/>
          <w:szCs w:val="22"/>
        </w:rPr>
        <w:t>v </w:t>
      </w:r>
      <w:r w:rsidRPr="00B147C7">
        <w:rPr>
          <w:rFonts w:cs="Arial"/>
          <w:b/>
          <w:szCs w:val="22"/>
        </w:rPr>
        <w:t>uveden</w:t>
      </w:r>
      <w:r w:rsidR="00A026B8">
        <w:rPr>
          <w:rFonts w:cs="Arial"/>
          <w:b/>
          <w:szCs w:val="22"/>
        </w:rPr>
        <w:t>ých</w:t>
      </w:r>
      <w:r w:rsidRPr="00B147C7">
        <w:rPr>
          <w:rFonts w:cs="Arial"/>
          <w:b/>
          <w:szCs w:val="22"/>
        </w:rPr>
        <w:t xml:space="preserve"> případ</w:t>
      </w:r>
      <w:r w:rsidR="00A026B8">
        <w:rPr>
          <w:rFonts w:cs="Arial"/>
          <w:b/>
          <w:szCs w:val="22"/>
        </w:rPr>
        <w:t>ech</w:t>
      </w:r>
      <w:r w:rsidRPr="00B147C7">
        <w:rPr>
          <w:rFonts w:cs="Arial"/>
          <w:b/>
          <w:szCs w:val="22"/>
        </w:rPr>
        <w:t xml:space="preserve"> </w:t>
      </w:r>
      <w:r w:rsidR="009849D8" w:rsidRPr="00B147C7">
        <w:rPr>
          <w:rFonts w:cs="Arial"/>
          <w:b/>
          <w:szCs w:val="22"/>
        </w:rPr>
        <w:t>ne</w:t>
      </w:r>
      <w:r w:rsidRPr="00B147C7">
        <w:rPr>
          <w:rFonts w:cs="Arial"/>
          <w:b/>
          <w:szCs w:val="22"/>
        </w:rPr>
        <w:t>pln</w:t>
      </w:r>
      <w:r w:rsidR="009849D8" w:rsidRPr="00B147C7">
        <w:rPr>
          <w:rFonts w:cs="Arial"/>
          <w:b/>
          <w:szCs w:val="22"/>
        </w:rPr>
        <w:t>ilo</w:t>
      </w:r>
      <w:r w:rsidRPr="00B147C7">
        <w:rPr>
          <w:rFonts w:cs="Arial"/>
          <w:b/>
          <w:szCs w:val="22"/>
        </w:rPr>
        <w:t xml:space="preserve"> </w:t>
      </w:r>
      <w:r w:rsidR="005C3520" w:rsidRPr="00B147C7">
        <w:rPr>
          <w:rFonts w:cs="Arial"/>
          <w:b/>
          <w:szCs w:val="22"/>
        </w:rPr>
        <w:t>nejhospodárnějším způsobem</w:t>
      </w:r>
      <w:r w:rsidRPr="00B147C7">
        <w:rPr>
          <w:rFonts w:cs="Arial"/>
          <w:b/>
          <w:szCs w:val="22"/>
        </w:rPr>
        <w:t>, jak všem orga</w:t>
      </w:r>
      <w:r w:rsidR="00B147C7" w:rsidRPr="00B147C7">
        <w:rPr>
          <w:rFonts w:cs="Arial"/>
          <w:b/>
          <w:szCs w:val="22"/>
        </w:rPr>
        <w:t>n</w:t>
      </w:r>
      <w:r w:rsidRPr="00B147C7">
        <w:rPr>
          <w:rFonts w:cs="Arial"/>
          <w:b/>
          <w:szCs w:val="22"/>
        </w:rPr>
        <w:t>izačním složkám státu ukládá zákon o rozpočtových pravidlech.</w:t>
      </w:r>
      <w:r w:rsidR="00C23787">
        <w:rPr>
          <w:rFonts w:cs="Arial"/>
          <w:b/>
          <w:szCs w:val="22"/>
        </w:rPr>
        <w:t xml:space="preserve"> </w:t>
      </w:r>
    </w:p>
    <w:p w:rsidR="009D138C" w:rsidRPr="0022756A" w:rsidRDefault="009D138C" w:rsidP="009D138C">
      <w:pPr>
        <w:spacing w:after="0" w:line="240" w:lineRule="auto"/>
        <w:jc w:val="both"/>
        <w:rPr>
          <w:rFonts w:ascii="Arial" w:eastAsia="Calibri" w:hAnsi="Arial" w:cs="Arial"/>
        </w:rPr>
      </w:pPr>
    </w:p>
    <w:p w:rsidR="009D138C" w:rsidRPr="0022756A" w:rsidRDefault="009D138C" w:rsidP="009D138C">
      <w:pPr>
        <w:spacing w:after="0" w:line="240" w:lineRule="auto"/>
        <w:jc w:val="both"/>
        <w:rPr>
          <w:rFonts w:ascii="Arial" w:eastAsia="Calibri" w:hAnsi="Arial" w:cs="Arial"/>
        </w:rPr>
      </w:pPr>
      <w:r w:rsidRPr="009D138C">
        <w:rPr>
          <w:rFonts w:ascii="Arial" w:hAnsi="Arial" w:cs="Arial"/>
        </w:rPr>
        <w:t>Zadavatel do zadávacích podmínek přiložil návrh smlouvy o skladování pro rok 2011, který neumožňoval přístup všem dodavatelům a byl NKÚ posouzen jako diskriminační</w:t>
      </w:r>
      <w:r w:rsidR="00A026B8">
        <w:rPr>
          <w:rFonts w:ascii="Arial" w:hAnsi="Arial" w:cs="Arial"/>
        </w:rPr>
        <w:t xml:space="preserve"> ve smyslu zákona č. </w:t>
      </w:r>
      <w:r w:rsidR="00103983">
        <w:rPr>
          <w:rFonts w:ascii="Arial" w:hAnsi="Arial" w:cs="Arial"/>
        </w:rPr>
        <w:t>137/2006 Sb</w:t>
      </w:r>
      <w:r w:rsidRPr="009D138C">
        <w:rPr>
          <w:rFonts w:ascii="Arial" w:hAnsi="Arial" w:cs="Arial"/>
        </w:rPr>
        <w:t>.</w:t>
      </w:r>
    </w:p>
    <w:p w:rsidR="002D0A6E" w:rsidRDefault="002D0A6E" w:rsidP="001302AB">
      <w:pPr>
        <w:spacing w:after="0" w:line="240" w:lineRule="auto"/>
        <w:jc w:val="both"/>
        <w:rPr>
          <w:rFonts w:ascii="Arial" w:hAnsi="Arial" w:cs="Arial"/>
          <w:b/>
        </w:rPr>
      </w:pPr>
    </w:p>
    <w:p w:rsidR="001302AB" w:rsidRDefault="00D90247" w:rsidP="001302A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bCs/>
        </w:rPr>
        <w:t>omodita xerog</w:t>
      </w:r>
      <w:r w:rsidRPr="00DB6743">
        <w:rPr>
          <w:rFonts w:ascii="Arial" w:hAnsi="Arial" w:cs="Arial"/>
          <w:b/>
          <w:bCs/>
        </w:rPr>
        <w:t>rafický papír</w:t>
      </w:r>
    </w:p>
    <w:p w:rsidR="002D0A6E" w:rsidRDefault="002D0A6E" w:rsidP="00CA27D6">
      <w:pPr>
        <w:spacing w:after="0" w:line="240" w:lineRule="auto"/>
        <w:jc w:val="both"/>
        <w:rPr>
          <w:rFonts w:ascii="Arial" w:hAnsi="Arial" w:cs="Arial"/>
        </w:rPr>
      </w:pPr>
    </w:p>
    <w:p w:rsidR="00CA27D6" w:rsidRPr="00D71802" w:rsidRDefault="00D71802" w:rsidP="00CA27D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Kontrolou</w:t>
      </w:r>
      <w:r w:rsidR="00D90247">
        <w:rPr>
          <w:rFonts w:ascii="Arial" w:hAnsi="Arial" w:cs="Arial"/>
        </w:rPr>
        <w:t xml:space="preserve"> </w:t>
      </w:r>
      <w:r w:rsidR="00CA27D6">
        <w:rPr>
          <w:rFonts w:ascii="Arial" w:hAnsi="Arial" w:cs="Arial"/>
        </w:rPr>
        <w:t xml:space="preserve">byla zjištěna </w:t>
      </w:r>
      <w:r>
        <w:rPr>
          <w:rFonts w:ascii="Arial" w:hAnsi="Arial" w:cs="Arial"/>
        </w:rPr>
        <w:t xml:space="preserve">především </w:t>
      </w:r>
      <w:r w:rsidR="00CA27D6">
        <w:rPr>
          <w:rFonts w:ascii="Arial" w:hAnsi="Arial" w:cs="Arial"/>
        </w:rPr>
        <w:t>nepřesnost odhadů předpokládaného počtu k</w:t>
      </w:r>
      <w:r w:rsidR="00E138F8">
        <w:rPr>
          <w:rFonts w:ascii="Arial" w:hAnsi="Arial" w:cs="Arial"/>
        </w:rPr>
        <w:t>u</w:t>
      </w:r>
      <w:r w:rsidR="00CA27D6">
        <w:rPr>
          <w:rFonts w:ascii="Arial" w:hAnsi="Arial" w:cs="Arial"/>
        </w:rPr>
        <w:t>s</w:t>
      </w:r>
      <w:r w:rsidR="00E138F8">
        <w:rPr>
          <w:rFonts w:ascii="Arial" w:hAnsi="Arial" w:cs="Arial"/>
        </w:rPr>
        <w:t>ů</w:t>
      </w:r>
      <w:r w:rsidR="00CA27D6">
        <w:rPr>
          <w:rFonts w:ascii="Arial" w:hAnsi="Arial" w:cs="Arial"/>
        </w:rPr>
        <w:t xml:space="preserve"> jednotlivých položek, </w:t>
      </w:r>
      <w:r w:rsidR="00F85C94">
        <w:rPr>
          <w:rFonts w:ascii="Arial" w:hAnsi="Arial" w:cs="Arial"/>
        </w:rPr>
        <w:t xml:space="preserve">a to </w:t>
      </w:r>
      <w:r w:rsidR="00CA27D6">
        <w:rPr>
          <w:rFonts w:ascii="Arial" w:hAnsi="Arial" w:cs="Arial"/>
        </w:rPr>
        <w:t xml:space="preserve">vzhledem </w:t>
      </w:r>
      <w:r w:rsidR="00FF54A3">
        <w:rPr>
          <w:rFonts w:ascii="Arial" w:hAnsi="Arial" w:cs="Arial"/>
        </w:rPr>
        <w:t>k </w:t>
      </w:r>
      <w:r w:rsidR="00CA27D6">
        <w:rPr>
          <w:rFonts w:ascii="Arial" w:hAnsi="Arial" w:cs="Arial"/>
        </w:rPr>
        <w:t xml:space="preserve">vykázaným </w:t>
      </w:r>
      <w:r w:rsidRPr="00685883">
        <w:rPr>
          <w:rFonts w:ascii="Arial" w:hAnsi="Arial" w:cs="Arial"/>
        </w:rPr>
        <w:t>skutečným</w:t>
      </w:r>
      <w:r>
        <w:rPr>
          <w:rFonts w:ascii="Arial" w:hAnsi="Arial" w:cs="Arial"/>
        </w:rPr>
        <w:t xml:space="preserve"> </w:t>
      </w:r>
      <w:r w:rsidR="00CA27D6">
        <w:rPr>
          <w:rFonts w:ascii="Arial" w:hAnsi="Arial" w:cs="Arial"/>
        </w:rPr>
        <w:t>nákupům</w:t>
      </w:r>
      <w:r w:rsidR="001302AB">
        <w:rPr>
          <w:rFonts w:ascii="Arial" w:hAnsi="Arial" w:cs="Arial"/>
        </w:rPr>
        <w:t xml:space="preserve">. </w:t>
      </w:r>
      <w:r w:rsidR="00685883">
        <w:rPr>
          <w:rFonts w:ascii="Arial" w:hAnsi="Arial" w:cs="Arial"/>
        </w:rPr>
        <w:t xml:space="preserve">Například v roce 2010 přesahovala nepřesnost odhadů u tří ze sedmi nejpočetnějších položek komodity xerografický papír úroveň 70 %. </w:t>
      </w:r>
      <w:r w:rsidR="00CA27D6">
        <w:rPr>
          <w:rFonts w:ascii="Arial" w:hAnsi="Arial" w:cs="Arial"/>
        </w:rPr>
        <w:t>Tato nepřesnost</w:t>
      </w:r>
      <w:r w:rsidR="00685883">
        <w:rPr>
          <w:rFonts w:ascii="Arial" w:hAnsi="Arial" w:cs="Arial"/>
        </w:rPr>
        <w:t xml:space="preserve"> </w:t>
      </w:r>
      <w:r w:rsidR="00F85C94">
        <w:rPr>
          <w:rFonts w:ascii="Arial" w:hAnsi="Arial" w:cs="Arial"/>
        </w:rPr>
        <w:t>(</w:t>
      </w:r>
      <w:r w:rsidR="00685883">
        <w:rPr>
          <w:rFonts w:ascii="Arial" w:hAnsi="Arial" w:cs="Arial"/>
        </w:rPr>
        <w:t>obdobně jako u komodity PHM</w:t>
      </w:r>
      <w:r w:rsidR="00F85C94">
        <w:rPr>
          <w:rFonts w:ascii="Arial" w:hAnsi="Arial" w:cs="Arial"/>
        </w:rPr>
        <w:t>)</w:t>
      </w:r>
      <w:r w:rsidR="00CA27D6">
        <w:rPr>
          <w:rFonts w:ascii="Arial" w:hAnsi="Arial" w:cs="Arial"/>
        </w:rPr>
        <w:t xml:space="preserve"> </w:t>
      </w:r>
      <w:r w:rsidR="00CA27D6" w:rsidRPr="00685883">
        <w:rPr>
          <w:rFonts w:ascii="Arial" w:hAnsi="Arial" w:cs="Arial"/>
        </w:rPr>
        <w:t>ovliv</w:t>
      </w:r>
      <w:r w:rsidR="00685883" w:rsidRPr="00685883">
        <w:rPr>
          <w:rFonts w:ascii="Arial" w:hAnsi="Arial" w:cs="Arial"/>
        </w:rPr>
        <w:t>nila</w:t>
      </w:r>
      <w:r w:rsidR="00CA27D6">
        <w:rPr>
          <w:rFonts w:ascii="Arial" w:hAnsi="Arial" w:cs="Arial"/>
        </w:rPr>
        <w:t xml:space="preserve"> ekonomickou</w:t>
      </w:r>
      <w:r w:rsidR="00E471B7">
        <w:rPr>
          <w:rFonts w:ascii="Arial" w:hAnsi="Arial" w:cs="Arial"/>
        </w:rPr>
        <w:t xml:space="preserve"> výhodnost realizovaných nákupů a její vliv </w:t>
      </w:r>
      <w:r w:rsidR="00E138F8">
        <w:rPr>
          <w:rFonts w:ascii="Arial" w:hAnsi="Arial" w:cs="Arial"/>
        </w:rPr>
        <w:t>je významnější v případě výběru dodavatele dle pořadí v </w:t>
      </w:r>
      <w:proofErr w:type="spellStart"/>
      <w:r w:rsidR="00E138F8">
        <w:rPr>
          <w:rFonts w:ascii="Arial" w:hAnsi="Arial" w:cs="Arial"/>
        </w:rPr>
        <w:t>RS</w:t>
      </w:r>
      <w:proofErr w:type="spellEnd"/>
      <w:r w:rsidR="00E138F8">
        <w:rPr>
          <w:rFonts w:ascii="Arial" w:hAnsi="Arial" w:cs="Arial"/>
        </w:rPr>
        <w:t xml:space="preserve">. </w:t>
      </w:r>
    </w:p>
    <w:p w:rsidR="00CA27D6" w:rsidRDefault="00CA27D6" w:rsidP="00CA27D6">
      <w:pPr>
        <w:spacing w:after="0" w:line="240" w:lineRule="auto"/>
        <w:jc w:val="both"/>
        <w:rPr>
          <w:rFonts w:ascii="Arial" w:hAnsi="Arial" w:cs="Arial"/>
        </w:rPr>
      </w:pPr>
    </w:p>
    <w:p w:rsidR="00BE1C91" w:rsidRDefault="00CA27D6" w:rsidP="00CA27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Kontrolou postupu centrálního zadavatele byly zjištěny nedostatky spočívající v nedodržování časového harmonogramu zadávacích řízení, což následně mělo vliv na uzavření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 xml:space="preserve"> až po 1. </w:t>
      </w:r>
      <w:r w:rsidR="00165D05">
        <w:rPr>
          <w:rFonts w:ascii="Arial" w:hAnsi="Arial" w:cs="Arial"/>
        </w:rPr>
        <w:t>lednu</w:t>
      </w:r>
      <w:r>
        <w:rPr>
          <w:rFonts w:ascii="Arial" w:hAnsi="Arial" w:cs="Arial"/>
        </w:rPr>
        <w:t xml:space="preserve"> kalendářního roku, ve kterém u</w:t>
      </w:r>
      <w:r w:rsidR="00D71802">
        <w:rPr>
          <w:rFonts w:ascii="Arial" w:hAnsi="Arial" w:cs="Arial"/>
        </w:rPr>
        <w:t>ž měl být plněn předmět smlouvy</w:t>
      </w:r>
      <w:r w:rsidR="00BE1C91">
        <w:rPr>
          <w:rFonts w:ascii="Arial" w:hAnsi="Arial" w:cs="Arial"/>
        </w:rPr>
        <w:t xml:space="preserve">. </w:t>
      </w:r>
    </w:p>
    <w:p w:rsidR="00BE1C91" w:rsidRDefault="00BE1C91" w:rsidP="00CA27D6">
      <w:pPr>
        <w:spacing w:after="0" w:line="240" w:lineRule="auto"/>
        <w:jc w:val="both"/>
        <w:rPr>
          <w:rFonts w:ascii="Arial" w:hAnsi="Arial" w:cs="Arial"/>
        </w:rPr>
      </w:pPr>
    </w:p>
    <w:p w:rsidR="00CA27D6" w:rsidRDefault="00CA27D6" w:rsidP="00CA27D6">
      <w:pPr>
        <w:spacing w:after="0" w:line="240" w:lineRule="auto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Kontrolou bylo</w:t>
      </w:r>
      <w:r w:rsidR="00BE1C91">
        <w:rPr>
          <w:rFonts w:ascii="Arial" w:hAnsi="Arial" w:cs="Arial"/>
          <w:spacing w:val="-4"/>
        </w:rPr>
        <w:t xml:space="preserve"> dále </w:t>
      </w:r>
      <w:r>
        <w:rPr>
          <w:rFonts w:ascii="Arial" w:hAnsi="Arial" w:cs="Arial"/>
          <w:spacing w:val="-4"/>
        </w:rPr>
        <w:t>zjištěno,</w:t>
      </w:r>
      <w:r w:rsidR="00F44D9C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>že</w:t>
      </w:r>
      <w:r w:rsidR="00F44D9C">
        <w:rPr>
          <w:rFonts w:ascii="Arial" w:hAnsi="Arial" w:cs="Arial"/>
          <w:spacing w:val="-4"/>
        </w:rPr>
        <w:t xml:space="preserve"> </w:t>
      </w:r>
      <w:r w:rsidR="00165D05">
        <w:rPr>
          <w:rFonts w:ascii="Arial" w:hAnsi="Arial" w:cs="Arial"/>
          <w:spacing w:val="-4"/>
        </w:rPr>
        <w:t>MV –</w:t>
      </w:r>
      <w:r w:rsidR="00E471B7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Policejní prezidium i Zařízení služeb </w:t>
      </w:r>
      <w:r w:rsidR="00F85C94">
        <w:rPr>
          <w:rFonts w:ascii="Arial" w:hAnsi="Arial" w:cs="Arial"/>
          <w:spacing w:val="-4"/>
        </w:rPr>
        <w:t xml:space="preserve">nevyloučily </w:t>
      </w:r>
      <w:r>
        <w:rPr>
          <w:rFonts w:ascii="Arial" w:hAnsi="Arial" w:cs="Arial"/>
          <w:spacing w:val="-4"/>
        </w:rPr>
        <w:t>z výběrového řízení uchazeče, který nabídl jednotkovou</w:t>
      </w:r>
      <w:r w:rsidR="00C110D9">
        <w:rPr>
          <w:rFonts w:ascii="Arial" w:hAnsi="Arial" w:cs="Arial"/>
          <w:spacing w:val="-4"/>
        </w:rPr>
        <w:t xml:space="preserve"> cenu vyšší, než připouštěla </w:t>
      </w:r>
      <w:proofErr w:type="spellStart"/>
      <w:r w:rsidR="00C110D9">
        <w:rPr>
          <w:rFonts w:ascii="Arial" w:hAnsi="Arial" w:cs="Arial"/>
          <w:spacing w:val="-4"/>
        </w:rPr>
        <w:t>RS</w:t>
      </w:r>
      <w:proofErr w:type="spellEnd"/>
      <w:r w:rsidR="00F85C94">
        <w:rPr>
          <w:rFonts w:ascii="Arial" w:hAnsi="Arial" w:cs="Arial"/>
          <w:spacing w:val="-4"/>
        </w:rPr>
        <w:t>,</w:t>
      </w:r>
      <w:r w:rsidR="00880F9C">
        <w:rPr>
          <w:rFonts w:ascii="Arial" w:hAnsi="Arial" w:cs="Arial"/>
          <w:spacing w:val="-4"/>
        </w:rPr>
        <w:t xml:space="preserve"> a</w:t>
      </w:r>
      <w:r w:rsidR="001F0E0B">
        <w:rPr>
          <w:rFonts w:ascii="Arial" w:hAnsi="Arial" w:cs="Arial"/>
          <w:spacing w:val="-4"/>
        </w:rPr>
        <w:t> </w:t>
      </w:r>
      <w:r w:rsidR="00880F9C">
        <w:rPr>
          <w:rFonts w:ascii="Arial" w:hAnsi="Arial" w:cs="Arial"/>
          <w:spacing w:val="-4"/>
        </w:rPr>
        <w:t>uzavřel</w:t>
      </w:r>
      <w:r w:rsidR="00F85C94">
        <w:rPr>
          <w:rFonts w:ascii="Arial" w:hAnsi="Arial" w:cs="Arial"/>
          <w:spacing w:val="-4"/>
        </w:rPr>
        <w:t>y</w:t>
      </w:r>
      <w:r w:rsidR="00880F9C">
        <w:rPr>
          <w:rFonts w:ascii="Arial" w:hAnsi="Arial" w:cs="Arial"/>
          <w:spacing w:val="-4"/>
        </w:rPr>
        <w:t xml:space="preserve"> </w:t>
      </w:r>
      <w:r w:rsidR="00FF54A3">
        <w:rPr>
          <w:rFonts w:ascii="Arial" w:hAnsi="Arial" w:cs="Arial"/>
          <w:spacing w:val="-4"/>
        </w:rPr>
        <w:t>s </w:t>
      </w:r>
      <w:r w:rsidR="00880F9C">
        <w:rPr>
          <w:rFonts w:ascii="Arial" w:hAnsi="Arial" w:cs="Arial"/>
          <w:spacing w:val="-4"/>
        </w:rPr>
        <w:t>ním</w:t>
      </w:r>
      <w:r>
        <w:rPr>
          <w:rFonts w:ascii="Arial" w:hAnsi="Arial" w:cs="Arial"/>
          <w:spacing w:val="-4"/>
        </w:rPr>
        <w:t xml:space="preserve"> </w:t>
      </w:r>
      <w:r w:rsidR="00103983">
        <w:rPr>
          <w:rFonts w:ascii="Arial" w:hAnsi="Arial" w:cs="Arial"/>
          <w:spacing w:val="-4"/>
        </w:rPr>
        <w:t xml:space="preserve">prováděcí </w:t>
      </w:r>
      <w:r>
        <w:rPr>
          <w:rFonts w:ascii="Arial" w:hAnsi="Arial" w:cs="Arial"/>
          <w:spacing w:val="-4"/>
        </w:rPr>
        <w:t>kupní smlouvu</w:t>
      </w:r>
      <w:r w:rsidR="00880F9C">
        <w:rPr>
          <w:rFonts w:ascii="Arial" w:hAnsi="Arial" w:cs="Arial"/>
          <w:spacing w:val="-4"/>
        </w:rPr>
        <w:t xml:space="preserve">. V daném případě </w:t>
      </w:r>
      <w:r w:rsidR="00F44D9C">
        <w:rPr>
          <w:rFonts w:ascii="Arial" w:hAnsi="Arial" w:cs="Arial"/>
          <w:spacing w:val="-4"/>
        </w:rPr>
        <w:t>postupoval</w:t>
      </w:r>
      <w:r w:rsidR="00F85C94">
        <w:rPr>
          <w:rFonts w:ascii="Arial" w:hAnsi="Arial" w:cs="Arial"/>
          <w:spacing w:val="-4"/>
        </w:rPr>
        <w:t>y</w:t>
      </w:r>
      <w:r w:rsidR="00F44D9C">
        <w:rPr>
          <w:rFonts w:ascii="Arial" w:hAnsi="Arial" w:cs="Arial"/>
          <w:spacing w:val="-4"/>
        </w:rPr>
        <w:t xml:space="preserve"> v rozporu se </w:t>
      </w:r>
      <w:r w:rsidR="00F44D9C">
        <w:rPr>
          <w:rFonts w:ascii="Arial" w:hAnsi="Arial" w:cs="Arial"/>
          <w:bCs/>
        </w:rPr>
        <w:t>zákonem č.</w:t>
      </w:r>
      <w:r w:rsidR="00C23787">
        <w:rPr>
          <w:rFonts w:ascii="Arial" w:hAnsi="Arial" w:cs="Arial"/>
          <w:bCs/>
        </w:rPr>
        <w:t> </w:t>
      </w:r>
      <w:r w:rsidR="00F44D9C">
        <w:rPr>
          <w:rFonts w:ascii="Arial" w:hAnsi="Arial" w:cs="Arial"/>
          <w:bCs/>
        </w:rPr>
        <w:t>137/2006</w:t>
      </w:r>
      <w:r w:rsidR="00C23787">
        <w:rPr>
          <w:rFonts w:ascii="Arial" w:hAnsi="Arial" w:cs="Arial"/>
          <w:bCs/>
        </w:rPr>
        <w:t> </w:t>
      </w:r>
      <w:r w:rsidR="00F44D9C">
        <w:rPr>
          <w:rFonts w:ascii="Arial" w:hAnsi="Arial" w:cs="Arial"/>
          <w:bCs/>
        </w:rPr>
        <w:t>Sb.</w:t>
      </w:r>
      <w:r w:rsidR="00F44D9C">
        <w:rPr>
          <w:rStyle w:val="Znakapoznpodarou"/>
          <w:rFonts w:ascii="Arial" w:hAnsi="Arial" w:cs="Arial"/>
          <w:bCs/>
        </w:rPr>
        <w:footnoteReference w:id="7"/>
      </w:r>
      <w:r>
        <w:rPr>
          <w:rFonts w:ascii="Arial" w:hAnsi="Arial" w:cs="Arial"/>
          <w:spacing w:val="-4"/>
        </w:rPr>
        <w:t xml:space="preserve">. </w:t>
      </w:r>
    </w:p>
    <w:p w:rsidR="00126E5A" w:rsidRDefault="00126E5A" w:rsidP="00CA27D6">
      <w:pPr>
        <w:spacing w:after="0" w:line="240" w:lineRule="auto"/>
        <w:jc w:val="both"/>
        <w:rPr>
          <w:rFonts w:ascii="Arial" w:hAnsi="Arial" w:cs="Arial"/>
          <w:spacing w:val="-4"/>
        </w:rPr>
      </w:pPr>
    </w:p>
    <w:p w:rsidR="005A4BCF" w:rsidRDefault="005A4BCF" w:rsidP="005A4BCF">
      <w:pPr>
        <w:spacing w:after="0" w:line="240" w:lineRule="auto"/>
        <w:jc w:val="both"/>
        <w:rPr>
          <w:rFonts w:ascii="Arial" w:hAnsi="Arial" w:cs="Arial"/>
        </w:rPr>
      </w:pPr>
      <w:r w:rsidRPr="003A7082">
        <w:rPr>
          <w:rFonts w:ascii="Arial" w:hAnsi="Arial" w:cs="Arial"/>
        </w:rPr>
        <w:lastRenderedPageBreak/>
        <w:t xml:space="preserve">Pro orientaci a ilustraci obtížnosti jednoznačného vyhodnocení přínosu </w:t>
      </w:r>
      <w:proofErr w:type="spellStart"/>
      <w:r w:rsidRPr="003A7082">
        <w:rPr>
          <w:rFonts w:ascii="Arial" w:hAnsi="Arial" w:cs="Arial"/>
        </w:rPr>
        <w:t>C</w:t>
      </w:r>
      <w:r w:rsidR="00880F9C" w:rsidRPr="003A7082">
        <w:rPr>
          <w:rFonts w:ascii="Arial" w:hAnsi="Arial" w:cs="Arial"/>
        </w:rPr>
        <w:t>N</w:t>
      </w:r>
      <w:proofErr w:type="spellEnd"/>
      <w:r w:rsidR="00880F9C" w:rsidRPr="003A7082">
        <w:rPr>
          <w:rFonts w:ascii="Arial" w:hAnsi="Arial" w:cs="Arial"/>
        </w:rPr>
        <w:t>/C</w:t>
      </w:r>
      <w:r w:rsidRPr="003A7082">
        <w:rPr>
          <w:rFonts w:ascii="Arial" w:hAnsi="Arial" w:cs="Arial"/>
        </w:rPr>
        <w:t xml:space="preserve">Z jsou v následující tabulce </w:t>
      </w:r>
      <w:r w:rsidR="00F85C94">
        <w:rPr>
          <w:rFonts w:ascii="Arial" w:hAnsi="Arial" w:cs="Arial"/>
        </w:rPr>
        <w:t>(</w:t>
      </w:r>
      <w:r w:rsidR="002D0A6E" w:rsidRPr="003A7082">
        <w:rPr>
          <w:rFonts w:ascii="Arial" w:hAnsi="Arial" w:cs="Arial"/>
        </w:rPr>
        <w:t>č. 3</w:t>
      </w:r>
      <w:r w:rsidR="00F85C94">
        <w:rPr>
          <w:rFonts w:ascii="Arial" w:hAnsi="Arial" w:cs="Arial"/>
        </w:rPr>
        <w:t>)</w:t>
      </w:r>
      <w:r w:rsidR="00685883" w:rsidRPr="003A7082">
        <w:rPr>
          <w:rFonts w:ascii="Arial" w:hAnsi="Arial" w:cs="Arial"/>
        </w:rPr>
        <w:t xml:space="preserve"> </w:t>
      </w:r>
      <w:r w:rsidRPr="003A7082">
        <w:rPr>
          <w:rFonts w:ascii="Arial" w:hAnsi="Arial" w:cs="Arial"/>
        </w:rPr>
        <w:t xml:space="preserve">uvedeny údaje z kontrol provedených NKÚ ve srovnatelném období u </w:t>
      </w:r>
      <w:r w:rsidR="00BE1C91" w:rsidRPr="003A7082">
        <w:rPr>
          <w:rFonts w:ascii="Arial" w:hAnsi="Arial" w:cs="Arial"/>
        </w:rPr>
        <w:t>některých ministerst</w:t>
      </w:r>
      <w:r w:rsidR="002D0A6E" w:rsidRPr="003A7082">
        <w:rPr>
          <w:rFonts w:ascii="Arial" w:hAnsi="Arial" w:cs="Arial"/>
        </w:rPr>
        <w:t>e</w:t>
      </w:r>
      <w:r w:rsidR="00BE1C91" w:rsidRPr="003A7082">
        <w:rPr>
          <w:rFonts w:ascii="Arial" w:hAnsi="Arial" w:cs="Arial"/>
        </w:rPr>
        <w:t>v (</w:t>
      </w:r>
      <w:r w:rsidR="00685883" w:rsidRPr="003A7082">
        <w:rPr>
          <w:rFonts w:ascii="Arial" w:hAnsi="Arial" w:cs="Arial"/>
        </w:rPr>
        <w:t xml:space="preserve">standardizovaná </w:t>
      </w:r>
      <w:r w:rsidRPr="003A7082">
        <w:rPr>
          <w:rFonts w:ascii="Arial" w:hAnsi="Arial" w:cs="Arial"/>
        </w:rPr>
        <w:t>komodit</w:t>
      </w:r>
      <w:r w:rsidR="00BE1C91" w:rsidRPr="003A7082">
        <w:rPr>
          <w:rFonts w:ascii="Arial" w:hAnsi="Arial" w:cs="Arial"/>
        </w:rPr>
        <w:t>a</w:t>
      </w:r>
      <w:r w:rsidRPr="003A7082">
        <w:rPr>
          <w:rFonts w:ascii="Arial" w:hAnsi="Arial" w:cs="Arial"/>
        </w:rPr>
        <w:t xml:space="preserve"> xerografický papír</w:t>
      </w:r>
      <w:r w:rsidR="003A7082">
        <w:rPr>
          <w:rFonts w:ascii="Arial" w:hAnsi="Arial" w:cs="Arial"/>
        </w:rPr>
        <w:t xml:space="preserve"> </w:t>
      </w:r>
      <w:r w:rsidR="00F85C94">
        <w:rPr>
          <w:rFonts w:ascii="Arial" w:hAnsi="Arial" w:cs="Arial"/>
        </w:rPr>
        <w:t xml:space="preserve">– </w:t>
      </w:r>
      <w:r w:rsidR="003A7082">
        <w:rPr>
          <w:rFonts w:ascii="Arial" w:hAnsi="Arial" w:cs="Arial"/>
        </w:rPr>
        <w:t>cena za jedno balení</w:t>
      </w:r>
      <w:r w:rsidR="00F85C94">
        <w:rPr>
          <w:rFonts w:ascii="Arial" w:hAnsi="Arial" w:cs="Arial"/>
        </w:rPr>
        <w:t>,</w:t>
      </w:r>
      <w:r w:rsidR="003A7082">
        <w:rPr>
          <w:rFonts w:ascii="Arial" w:hAnsi="Arial" w:cs="Arial"/>
        </w:rPr>
        <w:t xml:space="preserve"> tj. 500 ks</w:t>
      </w:r>
      <w:r w:rsidR="00BE1C91" w:rsidRPr="003A7082">
        <w:rPr>
          <w:rFonts w:ascii="Arial" w:hAnsi="Arial" w:cs="Arial"/>
        </w:rPr>
        <w:t>)</w:t>
      </w:r>
      <w:r w:rsidRPr="003A7082">
        <w:rPr>
          <w:rFonts w:ascii="Arial" w:hAnsi="Arial" w:cs="Arial"/>
        </w:rPr>
        <w:t xml:space="preserve">. </w:t>
      </w:r>
    </w:p>
    <w:p w:rsidR="00B1308D" w:rsidRPr="003A7082" w:rsidRDefault="00B1308D" w:rsidP="005A4BCF">
      <w:pPr>
        <w:spacing w:after="0" w:line="240" w:lineRule="auto"/>
        <w:jc w:val="both"/>
        <w:rPr>
          <w:rFonts w:ascii="Arial" w:hAnsi="Arial" w:cs="Arial"/>
        </w:rPr>
      </w:pPr>
    </w:p>
    <w:p w:rsidR="005A4BCF" w:rsidRPr="003A7082" w:rsidRDefault="006D4E6A" w:rsidP="00B1308D">
      <w:pPr>
        <w:tabs>
          <w:tab w:val="right" w:pos="9072"/>
        </w:tabs>
        <w:spacing w:after="10" w:line="240" w:lineRule="auto"/>
        <w:jc w:val="both"/>
        <w:rPr>
          <w:rFonts w:ascii="Arial" w:hAnsi="Arial" w:cs="Arial"/>
        </w:rPr>
      </w:pPr>
      <w:r w:rsidRPr="00C23787">
        <w:rPr>
          <w:rFonts w:ascii="Arial" w:hAnsi="Arial" w:cs="Arial"/>
          <w:b/>
        </w:rPr>
        <w:t>Tabulka č. 3</w:t>
      </w:r>
      <w:r w:rsidRPr="00C23787">
        <w:rPr>
          <w:rFonts w:ascii="Arial" w:hAnsi="Arial" w:cs="Arial"/>
          <w:b/>
        </w:rPr>
        <w:tab/>
      </w:r>
      <w:r w:rsidRPr="0022756A">
        <w:rPr>
          <w:rFonts w:ascii="Arial" w:hAnsi="Arial" w:cs="Arial"/>
          <w:b/>
        </w:rPr>
        <w:t>(jednotková cena v Kč)</w:t>
      </w:r>
    </w:p>
    <w:tbl>
      <w:tblPr>
        <w:tblStyle w:val="Mkatabulky"/>
        <w:tblW w:w="9103" w:type="dxa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851"/>
        <w:gridCol w:w="850"/>
        <w:gridCol w:w="851"/>
        <w:gridCol w:w="850"/>
        <w:gridCol w:w="851"/>
        <w:gridCol w:w="881"/>
      </w:tblGrid>
      <w:tr w:rsidR="006D4E6A" w:rsidTr="0022756A">
        <w:trPr>
          <w:trHeight w:val="454"/>
        </w:trPr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:rsidR="006D4E6A" w:rsidRPr="00C23787" w:rsidRDefault="006D4E6A" w:rsidP="006D4E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3787">
              <w:rPr>
                <w:rFonts w:ascii="Arial" w:hAnsi="Arial" w:cs="Arial"/>
                <w:b/>
                <w:sz w:val="18"/>
                <w:szCs w:val="18"/>
              </w:rPr>
              <w:t>Období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6D4E6A" w:rsidRPr="0022756A" w:rsidRDefault="006D4E6A" w:rsidP="002275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3787">
              <w:rPr>
                <w:rFonts w:ascii="Arial" w:hAnsi="Arial" w:cs="Arial"/>
                <w:b/>
                <w:sz w:val="18"/>
                <w:szCs w:val="18"/>
              </w:rPr>
              <w:t>KA 12/29</w:t>
            </w:r>
          </w:p>
          <w:p w:rsidR="006D4E6A" w:rsidRPr="006D4E6A" w:rsidRDefault="006D4E6A" w:rsidP="00B55270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C23787">
              <w:rPr>
                <w:rFonts w:ascii="Arial" w:hAnsi="Arial" w:cs="Arial"/>
                <w:b/>
                <w:sz w:val="18"/>
                <w:szCs w:val="18"/>
              </w:rPr>
              <w:t>Xerografický papír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3787">
              <w:rPr>
                <w:rFonts w:ascii="Arial" w:hAnsi="Arial" w:cs="Arial"/>
                <w:b/>
                <w:sz w:val="18"/>
                <w:szCs w:val="18"/>
              </w:rPr>
              <w:t>A4</w:t>
            </w:r>
            <w:proofErr w:type="spellEnd"/>
          </w:p>
        </w:tc>
        <w:tc>
          <w:tcPr>
            <w:tcW w:w="2552" w:type="dxa"/>
            <w:gridSpan w:val="3"/>
            <w:shd w:val="clear" w:color="auto" w:fill="DBE5F1" w:themeFill="accent1" w:themeFillTint="33"/>
            <w:vAlign w:val="center"/>
          </w:tcPr>
          <w:p w:rsidR="00B1308D" w:rsidRPr="00C23787" w:rsidRDefault="00B1308D" w:rsidP="00B1308D">
            <w:pPr>
              <w:jc w:val="center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C2378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K</w:t>
            </w:r>
            <w:r w:rsidR="00AC3A9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</w:t>
            </w:r>
            <w:r w:rsidRPr="00C2378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11/34</w:t>
            </w:r>
            <w:r w:rsidR="00AC3A9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*</w:t>
            </w:r>
          </w:p>
          <w:p w:rsidR="006D4E6A" w:rsidRPr="006D4E6A" w:rsidRDefault="00B1308D" w:rsidP="00B1308D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C2378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Xerografický papír </w:t>
            </w:r>
            <w:proofErr w:type="spellStart"/>
            <w:r w:rsidRPr="00C2378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A4</w:t>
            </w:r>
            <w:proofErr w:type="spellEnd"/>
          </w:p>
        </w:tc>
        <w:tc>
          <w:tcPr>
            <w:tcW w:w="2582" w:type="dxa"/>
            <w:gridSpan w:val="3"/>
            <w:shd w:val="clear" w:color="auto" w:fill="DBE5F1" w:themeFill="accent1" w:themeFillTint="33"/>
            <w:vAlign w:val="center"/>
          </w:tcPr>
          <w:p w:rsidR="00B1308D" w:rsidRPr="00C23787" w:rsidRDefault="00B1308D" w:rsidP="00B1308D">
            <w:pPr>
              <w:jc w:val="center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C2378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K</w:t>
            </w:r>
            <w:r w:rsidR="00AC3A9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</w:t>
            </w:r>
            <w:r w:rsidRPr="00C2378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12/32</w:t>
            </w:r>
            <w:r w:rsidR="00AC3A9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*</w:t>
            </w:r>
          </w:p>
          <w:p w:rsidR="006D4E6A" w:rsidRPr="006D4E6A" w:rsidRDefault="00B1308D" w:rsidP="00B1308D">
            <w:pPr>
              <w:tabs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C2378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Xerografický papír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C2378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A4</w:t>
            </w:r>
            <w:proofErr w:type="spellEnd"/>
          </w:p>
        </w:tc>
      </w:tr>
      <w:tr w:rsidR="00B1308D" w:rsidTr="00AC3A90">
        <w:trPr>
          <w:trHeight w:val="283"/>
        </w:trPr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:rsidR="00B1308D" w:rsidRPr="00C23787" w:rsidRDefault="00B1308D" w:rsidP="00B1308D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B1308D" w:rsidRPr="00C23787" w:rsidRDefault="00B1308D" w:rsidP="00AC3A90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23787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1308D" w:rsidRPr="00C23787" w:rsidRDefault="00B1308D" w:rsidP="00AC3A90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23787">
              <w:rPr>
                <w:rFonts w:ascii="Arial" w:hAnsi="Arial" w:cs="Arial"/>
                <w:sz w:val="18"/>
                <w:szCs w:val="18"/>
              </w:rPr>
              <w:t>MK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1308D" w:rsidRPr="00C23787" w:rsidRDefault="00B1308D" w:rsidP="00AC3A90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23787">
              <w:rPr>
                <w:rFonts w:ascii="Arial" w:hAnsi="Arial" w:cs="Arial"/>
                <w:sz w:val="18"/>
                <w:szCs w:val="18"/>
              </w:rPr>
              <w:t>MS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1308D" w:rsidRPr="00C23787" w:rsidRDefault="00B1308D" w:rsidP="00AC3A90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C23787">
              <w:rPr>
                <w:rFonts w:ascii="Arial" w:hAnsi="Arial" w:cs="Arial"/>
                <w:sz w:val="18"/>
                <w:szCs w:val="18"/>
              </w:rPr>
              <w:t>MZ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1308D" w:rsidRPr="00C23787" w:rsidRDefault="00B1308D" w:rsidP="00AC3A90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C23787">
              <w:rPr>
                <w:rFonts w:ascii="Arial" w:hAnsi="Arial" w:cs="Arial"/>
                <w:sz w:val="18"/>
                <w:szCs w:val="18"/>
              </w:rPr>
              <w:t>MPO</w:t>
            </w:r>
            <w:proofErr w:type="spellEnd"/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1308D" w:rsidRPr="00C23787" w:rsidRDefault="00B1308D" w:rsidP="00AC3A90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23787">
              <w:rPr>
                <w:rFonts w:ascii="Arial" w:hAnsi="Arial" w:cs="Arial"/>
                <w:sz w:val="18"/>
                <w:szCs w:val="18"/>
              </w:rPr>
              <w:t>MMR</w:t>
            </w:r>
          </w:p>
        </w:tc>
        <w:tc>
          <w:tcPr>
            <w:tcW w:w="881" w:type="dxa"/>
            <w:shd w:val="clear" w:color="auto" w:fill="DBE5F1" w:themeFill="accent1" w:themeFillTint="33"/>
            <w:vAlign w:val="center"/>
          </w:tcPr>
          <w:p w:rsidR="00B1308D" w:rsidRPr="00C23787" w:rsidRDefault="00B1308D" w:rsidP="00AC3A90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23787">
              <w:rPr>
                <w:rFonts w:ascii="Arial" w:hAnsi="Arial" w:cs="Arial"/>
                <w:sz w:val="18"/>
                <w:szCs w:val="18"/>
              </w:rPr>
              <w:t>MŽP</w:t>
            </w:r>
          </w:p>
        </w:tc>
      </w:tr>
      <w:tr w:rsidR="00B1308D" w:rsidTr="00B1308D">
        <w:trPr>
          <w:trHeight w:val="283"/>
        </w:trPr>
        <w:tc>
          <w:tcPr>
            <w:tcW w:w="1843" w:type="dxa"/>
            <w:vAlign w:val="center"/>
          </w:tcPr>
          <w:p w:rsidR="00B1308D" w:rsidRPr="00C23787" w:rsidRDefault="00B1308D" w:rsidP="00B130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787">
              <w:rPr>
                <w:rFonts w:ascii="Arial" w:hAnsi="Arial" w:cs="Arial"/>
                <w:sz w:val="18"/>
                <w:szCs w:val="18"/>
              </w:rPr>
              <w:t>2008–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C2378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6" w:type="dxa"/>
            <w:vAlign w:val="center"/>
          </w:tcPr>
          <w:p w:rsidR="00B1308D" w:rsidRPr="00C23787" w:rsidRDefault="00B1308D" w:rsidP="00B130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787"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  <w:tc>
          <w:tcPr>
            <w:tcW w:w="851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0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1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0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1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81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B1308D" w:rsidTr="00B1308D">
        <w:trPr>
          <w:trHeight w:val="283"/>
        </w:trPr>
        <w:tc>
          <w:tcPr>
            <w:tcW w:w="1843" w:type="dxa"/>
            <w:vAlign w:val="center"/>
          </w:tcPr>
          <w:p w:rsidR="00B1308D" w:rsidRPr="00C23787" w:rsidRDefault="00B1308D" w:rsidP="00B130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787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126" w:type="dxa"/>
            <w:vAlign w:val="center"/>
          </w:tcPr>
          <w:p w:rsidR="00B1308D" w:rsidRPr="00C23787" w:rsidRDefault="00B1308D" w:rsidP="00B130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787">
              <w:rPr>
                <w:rFonts w:ascii="Arial" w:hAnsi="Arial" w:cs="Arial"/>
                <w:sz w:val="18"/>
                <w:szCs w:val="18"/>
              </w:rPr>
              <w:t>62,9</w:t>
            </w:r>
          </w:p>
        </w:tc>
        <w:tc>
          <w:tcPr>
            <w:tcW w:w="851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0,88</w:t>
            </w:r>
          </w:p>
        </w:tc>
        <w:tc>
          <w:tcPr>
            <w:tcW w:w="850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67,80</w:t>
            </w:r>
          </w:p>
        </w:tc>
        <w:tc>
          <w:tcPr>
            <w:tcW w:w="851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132,90</w:t>
            </w:r>
          </w:p>
        </w:tc>
        <w:tc>
          <w:tcPr>
            <w:tcW w:w="850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1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81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B1308D" w:rsidTr="00B1308D">
        <w:trPr>
          <w:trHeight w:val="283"/>
        </w:trPr>
        <w:tc>
          <w:tcPr>
            <w:tcW w:w="1843" w:type="dxa"/>
            <w:vAlign w:val="center"/>
          </w:tcPr>
          <w:p w:rsidR="00B1308D" w:rsidRPr="00C23787" w:rsidRDefault="00B1308D" w:rsidP="00B130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787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126" w:type="dxa"/>
            <w:vAlign w:val="center"/>
          </w:tcPr>
          <w:p w:rsidR="00B1308D" w:rsidRPr="00C23787" w:rsidRDefault="00B1308D" w:rsidP="00B130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787"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851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64,64</w:t>
            </w:r>
          </w:p>
        </w:tc>
        <w:tc>
          <w:tcPr>
            <w:tcW w:w="850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62,28</w:t>
            </w:r>
          </w:p>
        </w:tc>
        <w:tc>
          <w:tcPr>
            <w:tcW w:w="851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100,15</w:t>
            </w:r>
          </w:p>
        </w:tc>
        <w:tc>
          <w:tcPr>
            <w:tcW w:w="850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63,29</w:t>
            </w:r>
          </w:p>
        </w:tc>
        <w:tc>
          <w:tcPr>
            <w:tcW w:w="851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106,14</w:t>
            </w:r>
          </w:p>
        </w:tc>
        <w:tc>
          <w:tcPr>
            <w:tcW w:w="881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66,97</w:t>
            </w:r>
          </w:p>
        </w:tc>
      </w:tr>
      <w:tr w:rsidR="00B1308D" w:rsidTr="00B1308D">
        <w:trPr>
          <w:trHeight w:val="283"/>
        </w:trPr>
        <w:tc>
          <w:tcPr>
            <w:tcW w:w="1843" w:type="dxa"/>
            <w:vAlign w:val="center"/>
          </w:tcPr>
          <w:p w:rsidR="00B1308D" w:rsidRPr="00C23787" w:rsidRDefault="00B1308D" w:rsidP="00B130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787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126" w:type="dxa"/>
            <w:vAlign w:val="center"/>
          </w:tcPr>
          <w:p w:rsidR="00B1308D" w:rsidRPr="00C23787" w:rsidRDefault="00B1308D" w:rsidP="00B130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787">
              <w:rPr>
                <w:rFonts w:ascii="Arial" w:hAnsi="Arial" w:cs="Arial"/>
                <w:sz w:val="18"/>
                <w:szCs w:val="18"/>
              </w:rPr>
              <w:t>61,8</w:t>
            </w:r>
          </w:p>
        </w:tc>
        <w:tc>
          <w:tcPr>
            <w:tcW w:w="851" w:type="dxa"/>
            <w:vAlign w:val="center"/>
          </w:tcPr>
          <w:p w:rsidR="00B1308D" w:rsidRPr="00B1308D" w:rsidRDefault="00B1308D" w:rsidP="00B1308D">
            <w:pPr>
              <w:jc w:val="right"/>
              <w:rPr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0" w:type="dxa"/>
            <w:vAlign w:val="center"/>
          </w:tcPr>
          <w:p w:rsidR="00B1308D" w:rsidRPr="00B1308D" w:rsidRDefault="00B1308D" w:rsidP="00B1308D">
            <w:pPr>
              <w:jc w:val="right"/>
              <w:rPr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1" w:type="dxa"/>
            <w:vAlign w:val="center"/>
          </w:tcPr>
          <w:p w:rsidR="00B1308D" w:rsidRPr="00B1308D" w:rsidRDefault="00B1308D" w:rsidP="00B1308D">
            <w:pPr>
              <w:jc w:val="right"/>
              <w:rPr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0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851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96,21</w:t>
            </w:r>
          </w:p>
        </w:tc>
        <w:tc>
          <w:tcPr>
            <w:tcW w:w="881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64,56</w:t>
            </w:r>
          </w:p>
        </w:tc>
      </w:tr>
      <w:tr w:rsidR="00B1308D" w:rsidTr="00B1308D">
        <w:trPr>
          <w:trHeight w:val="283"/>
        </w:trPr>
        <w:tc>
          <w:tcPr>
            <w:tcW w:w="1843" w:type="dxa"/>
            <w:vAlign w:val="center"/>
          </w:tcPr>
          <w:p w:rsidR="00B1308D" w:rsidRPr="00C23787" w:rsidRDefault="00B1308D" w:rsidP="00B130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787">
              <w:rPr>
                <w:rFonts w:ascii="Arial" w:hAnsi="Arial" w:cs="Arial"/>
                <w:sz w:val="18"/>
                <w:szCs w:val="18"/>
              </w:rPr>
              <w:t>2013–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C2378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26" w:type="dxa"/>
            <w:vAlign w:val="center"/>
          </w:tcPr>
          <w:p w:rsidR="00B1308D" w:rsidRPr="00C23787" w:rsidRDefault="00B1308D" w:rsidP="00B130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787">
              <w:rPr>
                <w:rFonts w:ascii="Arial" w:hAnsi="Arial" w:cs="Arial"/>
                <w:sz w:val="18"/>
                <w:szCs w:val="18"/>
              </w:rPr>
              <w:t>71,0</w:t>
            </w:r>
          </w:p>
        </w:tc>
        <w:tc>
          <w:tcPr>
            <w:tcW w:w="851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0" w:type="dxa"/>
            <w:vAlign w:val="center"/>
          </w:tcPr>
          <w:p w:rsidR="00B1308D" w:rsidRPr="00B1308D" w:rsidRDefault="00B1308D" w:rsidP="00B1308D">
            <w:pPr>
              <w:tabs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1" w:type="dxa"/>
            <w:vAlign w:val="center"/>
          </w:tcPr>
          <w:p w:rsidR="00B1308D" w:rsidRPr="00B1308D" w:rsidRDefault="00B1308D" w:rsidP="00B1308D">
            <w:pPr>
              <w:jc w:val="right"/>
              <w:rPr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0" w:type="dxa"/>
            <w:vAlign w:val="center"/>
          </w:tcPr>
          <w:p w:rsidR="00B1308D" w:rsidRPr="00B1308D" w:rsidRDefault="00B1308D" w:rsidP="00B1308D">
            <w:pPr>
              <w:jc w:val="right"/>
              <w:rPr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51" w:type="dxa"/>
            <w:vAlign w:val="center"/>
          </w:tcPr>
          <w:p w:rsidR="00B1308D" w:rsidRPr="00B1308D" w:rsidRDefault="00B1308D" w:rsidP="00B1308D">
            <w:pPr>
              <w:jc w:val="right"/>
              <w:rPr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881" w:type="dxa"/>
            <w:vAlign w:val="center"/>
          </w:tcPr>
          <w:p w:rsidR="00B1308D" w:rsidRPr="00B1308D" w:rsidRDefault="00B1308D" w:rsidP="00B1308D">
            <w:pPr>
              <w:jc w:val="right"/>
              <w:rPr>
                <w:sz w:val="18"/>
                <w:szCs w:val="18"/>
              </w:rPr>
            </w:pPr>
            <w:r w:rsidRPr="00B1308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</w:tbl>
    <w:p w:rsidR="00685883" w:rsidRPr="00C23787" w:rsidRDefault="005A4BCF" w:rsidP="00C2378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23787">
        <w:rPr>
          <w:rFonts w:ascii="Arial" w:hAnsi="Arial" w:cs="Arial"/>
          <w:b/>
          <w:sz w:val="18"/>
          <w:szCs w:val="18"/>
        </w:rPr>
        <w:t>Zdroj</w:t>
      </w:r>
      <w:r w:rsidR="00880F9C" w:rsidRPr="00C23787">
        <w:rPr>
          <w:rFonts w:ascii="Arial" w:hAnsi="Arial" w:cs="Arial"/>
          <w:b/>
          <w:sz w:val="18"/>
          <w:szCs w:val="18"/>
        </w:rPr>
        <w:t>:</w:t>
      </w:r>
      <w:r w:rsidR="00C2378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85883" w:rsidRPr="00C23787">
        <w:rPr>
          <w:rFonts w:ascii="Arial" w:hAnsi="Arial" w:cs="Arial"/>
          <w:sz w:val="18"/>
          <w:szCs w:val="18"/>
        </w:rPr>
        <w:t>MKS</w:t>
      </w:r>
      <w:proofErr w:type="spellEnd"/>
      <w:r w:rsidR="00685883" w:rsidRPr="00C23787">
        <w:rPr>
          <w:rFonts w:ascii="Arial" w:hAnsi="Arial" w:cs="Arial"/>
          <w:sz w:val="18"/>
          <w:szCs w:val="18"/>
        </w:rPr>
        <w:t xml:space="preserve"> MV</w:t>
      </w:r>
      <w:r w:rsidR="00B05F15" w:rsidRPr="00C23787">
        <w:rPr>
          <w:rFonts w:ascii="Arial" w:hAnsi="Arial" w:cs="Arial"/>
          <w:sz w:val="18"/>
          <w:szCs w:val="18"/>
        </w:rPr>
        <w:t>.</w:t>
      </w:r>
    </w:p>
    <w:p w:rsidR="00880F9C" w:rsidRPr="00C23787" w:rsidRDefault="00F85C94" w:rsidP="0022756A">
      <w:pPr>
        <w:spacing w:after="0" w:line="240" w:lineRule="auto"/>
        <w:ind w:left="130" w:hanging="130"/>
        <w:rPr>
          <w:rFonts w:ascii="Arial" w:hAnsi="Arial" w:cs="Arial"/>
          <w:sz w:val="18"/>
          <w:szCs w:val="18"/>
        </w:rPr>
      </w:pPr>
      <w:r w:rsidRPr="0022756A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="00685883" w:rsidRPr="00C23787">
        <w:rPr>
          <w:rFonts w:ascii="Arial" w:hAnsi="Arial" w:cs="Arial"/>
          <w:sz w:val="18"/>
          <w:szCs w:val="18"/>
        </w:rPr>
        <w:t>K</w:t>
      </w:r>
      <w:r w:rsidR="00880F9C" w:rsidRPr="00C23787">
        <w:rPr>
          <w:rFonts w:ascii="Arial" w:hAnsi="Arial" w:cs="Arial"/>
          <w:sz w:val="18"/>
          <w:szCs w:val="18"/>
        </w:rPr>
        <w:t>ontrolní závěr</w:t>
      </w:r>
      <w:r w:rsidR="00B806CA" w:rsidRPr="00C23787">
        <w:rPr>
          <w:rFonts w:ascii="Arial" w:hAnsi="Arial" w:cs="Arial"/>
          <w:sz w:val="18"/>
          <w:szCs w:val="18"/>
        </w:rPr>
        <w:t xml:space="preserve"> z kontrolní akce</w:t>
      </w:r>
      <w:r w:rsidR="00685883" w:rsidRPr="00C23787">
        <w:rPr>
          <w:rFonts w:ascii="Arial" w:hAnsi="Arial" w:cs="Arial"/>
          <w:sz w:val="18"/>
          <w:szCs w:val="18"/>
        </w:rPr>
        <w:t xml:space="preserve"> </w:t>
      </w:r>
      <w:r w:rsidR="00B05F15" w:rsidRPr="00C23787">
        <w:rPr>
          <w:rFonts w:ascii="Arial" w:hAnsi="Arial" w:cs="Arial"/>
          <w:sz w:val="18"/>
          <w:szCs w:val="18"/>
        </w:rPr>
        <w:t xml:space="preserve">č. </w:t>
      </w:r>
      <w:r w:rsidR="00685883" w:rsidRPr="00C23787">
        <w:rPr>
          <w:rFonts w:ascii="Arial" w:hAnsi="Arial" w:cs="Arial"/>
          <w:sz w:val="18"/>
          <w:szCs w:val="18"/>
        </w:rPr>
        <w:t xml:space="preserve">11/34 </w:t>
      </w:r>
      <w:r w:rsidR="00B806CA" w:rsidRPr="00C23787">
        <w:rPr>
          <w:rFonts w:ascii="Arial" w:hAnsi="Arial" w:cs="Arial"/>
          <w:sz w:val="18"/>
          <w:szCs w:val="18"/>
        </w:rPr>
        <w:t xml:space="preserve">byl </w:t>
      </w:r>
      <w:r w:rsidR="00930E3E" w:rsidRPr="00C23787">
        <w:rPr>
          <w:rFonts w:ascii="Arial" w:hAnsi="Arial" w:cs="Arial"/>
          <w:sz w:val="18"/>
          <w:szCs w:val="18"/>
        </w:rPr>
        <w:t xml:space="preserve">zveřejněn </w:t>
      </w:r>
      <w:r w:rsidR="00B806CA" w:rsidRPr="00C23787">
        <w:rPr>
          <w:rFonts w:ascii="Arial" w:hAnsi="Arial" w:cs="Arial"/>
          <w:sz w:val="18"/>
          <w:szCs w:val="18"/>
        </w:rPr>
        <w:t xml:space="preserve">v částce 3/2012 </w:t>
      </w:r>
      <w:r w:rsidR="00930E3E" w:rsidRPr="0022756A">
        <w:rPr>
          <w:rFonts w:ascii="Arial" w:hAnsi="Arial" w:cs="Arial"/>
          <w:i/>
          <w:sz w:val="18"/>
          <w:szCs w:val="18"/>
        </w:rPr>
        <w:t xml:space="preserve">Věstníku </w:t>
      </w:r>
      <w:r w:rsidR="00B806CA" w:rsidRPr="0022756A">
        <w:rPr>
          <w:rFonts w:ascii="Arial" w:hAnsi="Arial" w:cs="Arial"/>
          <w:i/>
          <w:sz w:val="18"/>
          <w:szCs w:val="18"/>
        </w:rPr>
        <w:t>NKÚ</w:t>
      </w:r>
      <w:r w:rsidR="00B806CA" w:rsidRPr="00C23787">
        <w:rPr>
          <w:rFonts w:ascii="Arial" w:hAnsi="Arial" w:cs="Arial"/>
          <w:sz w:val="18"/>
          <w:szCs w:val="18"/>
        </w:rPr>
        <w:t xml:space="preserve"> </w:t>
      </w:r>
      <w:r w:rsidR="00685883" w:rsidRPr="00C23787">
        <w:rPr>
          <w:rFonts w:ascii="Arial" w:hAnsi="Arial" w:cs="Arial"/>
          <w:sz w:val="18"/>
          <w:szCs w:val="18"/>
        </w:rPr>
        <w:t xml:space="preserve">a </w:t>
      </w:r>
      <w:r w:rsidR="00B806CA" w:rsidRPr="00C23787">
        <w:rPr>
          <w:rFonts w:ascii="Arial" w:hAnsi="Arial" w:cs="Arial"/>
          <w:sz w:val="18"/>
          <w:szCs w:val="18"/>
        </w:rPr>
        <w:t xml:space="preserve">kontrolní závěr z kontrolní akce č. </w:t>
      </w:r>
      <w:r w:rsidR="00685883" w:rsidRPr="00C23787">
        <w:rPr>
          <w:rFonts w:ascii="Arial" w:hAnsi="Arial" w:cs="Arial"/>
          <w:sz w:val="18"/>
          <w:szCs w:val="18"/>
        </w:rPr>
        <w:t>1</w:t>
      </w:r>
      <w:r w:rsidR="003104C9" w:rsidRPr="00C23787">
        <w:rPr>
          <w:rFonts w:ascii="Arial" w:hAnsi="Arial" w:cs="Arial"/>
          <w:sz w:val="18"/>
          <w:szCs w:val="18"/>
        </w:rPr>
        <w:t>2</w:t>
      </w:r>
      <w:r w:rsidR="00685883" w:rsidRPr="00C23787">
        <w:rPr>
          <w:rFonts w:ascii="Arial" w:hAnsi="Arial" w:cs="Arial"/>
          <w:sz w:val="18"/>
          <w:szCs w:val="18"/>
        </w:rPr>
        <w:t>/32</w:t>
      </w:r>
      <w:r w:rsidR="00DE0073" w:rsidRPr="00C23787">
        <w:rPr>
          <w:rFonts w:ascii="Arial" w:hAnsi="Arial" w:cs="Arial"/>
          <w:sz w:val="18"/>
          <w:szCs w:val="18"/>
        </w:rPr>
        <w:t xml:space="preserve"> byl zveřejněn </w:t>
      </w:r>
      <w:r w:rsidR="00FF54A3">
        <w:rPr>
          <w:rFonts w:ascii="Arial" w:hAnsi="Arial" w:cs="Arial"/>
          <w:sz w:val="18"/>
          <w:szCs w:val="18"/>
        </w:rPr>
        <w:t>v </w:t>
      </w:r>
      <w:r w:rsidR="00DE0073" w:rsidRPr="00C23787">
        <w:rPr>
          <w:rFonts w:ascii="Arial" w:hAnsi="Arial" w:cs="Arial"/>
          <w:sz w:val="18"/>
          <w:szCs w:val="18"/>
        </w:rPr>
        <w:t xml:space="preserve">částce 3/2013 </w:t>
      </w:r>
      <w:r w:rsidR="00DE0073" w:rsidRPr="0022756A">
        <w:rPr>
          <w:rFonts w:ascii="Arial" w:hAnsi="Arial" w:cs="Arial"/>
          <w:i/>
          <w:sz w:val="18"/>
          <w:szCs w:val="18"/>
        </w:rPr>
        <w:t>Věstníku NKÚ</w:t>
      </w:r>
      <w:r w:rsidR="00DE0073" w:rsidRPr="00C23787">
        <w:rPr>
          <w:rFonts w:ascii="Arial" w:hAnsi="Arial" w:cs="Arial"/>
          <w:sz w:val="18"/>
          <w:szCs w:val="18"/>
        </w:rPr>
        <w:t>.</w:t>
      </w:r>
    </w:p>
    <w:p w:rsidR="00C0351C" w:rsidRPr="00C0351C" w:rsidRDefault="00F85C94" w:rsidP="0022756A">
      <w:pPr>
        <w:spacing w:after="0" w:line="240" w:lineRule="auto"/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Zkratky</w:t>
      </w:r>
      <w:r w:rsidRPr="0022756A">
        <w:rPr>
          <w:rFonts w:ascii="Arial" w:hAnsi="Arial" w:cs="Arial"/>
          <w:b/>
          <w:bCs/>
          <w:sz w:val="18"/>
          <w:szCs w:val="18"/>
        </w:rPr>
        <w:t xml:space="preserve">: </w:t>
      </w:r>
      <w:r w:rsidRPr="00F85C94">
        <w:rPr>
          <w:rFonts w:ascii="Arial" w:hAnsi="Arial" w:cs="Arial"/>
          <w:bCs/>
          <w:sz w:val="18"/>
          <w:szCs w:val="18"/>
        </w:rPr>
        <w:tab/>
      </w:r>
      <w:r w:rsidR="00BB09E0" w:rsidRPr="00C0351C">
        <w:rPr>
          <w:rFonts w:ascii="Arial" w:hAnsi="Arial" w:cs="Arial"/>
          <w:bCs/>
          <w:sz w:val="18"/>
          <w:szCs w:val="18"/>
        </w:rPr>
        <w:t xml:space="preserve">KA – kontrolní akce, </w:t>
      </w:r>
      <w:r w:rsidRPr="0022756A">
        <w:rPr>
          <w:rFonts w:ascii="Arial" w:hAnsi="Arial" w:cs="Arial"/>
          <w:bCs/>
          <w:sz w:val="18"/>
          <w:szCs w:val="18"/>
        </w:rPr>
        <w:t>MK</w:t>
      </w:r>
      <w:r w:rsidRPr="0022756A">
        <w:rPr>
          <w:rFonts w:ascii="Arial" w:hAnsi="Arial" w:cs="Arial"/>
          <w:sz w:val="18"/>
          <w:szCs w:val="18"/>
        </w:rPr>
        <w:t xml:space="preserve"> – Ministerstvo kultury, </w:t>
      </w:r>
      <w:r w:rsidR="00C0351C" w:rsidRPr="00C0351C">
        <w:rPr>
          <w:rFonts w:ascii="Arial" w:hAnsi="Arial" w:cs="Arial"/>
          <w:sz w:val="18"/>
          <w:szCs w:val="18"/>
        </w:rPr>
        <w:t xml:space="preserve">MMR – Ministerstvo pro místní rozvoj, </w:t>
      </w:r>
    </w:p>
    <w:p w:rsidR="00C0351C" w:rsidRDefault="00C0351C" w:rsidP="0022756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spellStart"/>
      <w:r w:rsidRPr="00C0351C">
        <w:rPr>
          <w:rFonts w:ascii="Arial" w:hAnsi="Arial" w:cs="Arial"/>
          <w:sz w:val="18"/>
          <w:szCs w:val="18"/>
        </w:rPr>
        <w:t>MPO</w:t>
      </w:r>
      <w:proofErr w:type="spellEnd"/>
      <w:r w:rsidRPr="00C0351C">
        <w:rPr>
          <w:rFonts w:ascii="Arial" w:hAnsi="Arial" w:cs="Arial"/>
          <w:sz w:val="18"/>
          <w:szCs w:val="18"/>
        </w:rPr>
        <w:t xml:space="preserve"> – Ministerstvo průmyslu a obchodu</w:t>
      </w:r>
      <w:r w:rsidRPr="00E85797">
        <w:rPr>
          <w:rFonts w:ascii="Arial" w:hAnsi="Arial" w:cs="Arial"/>
          <w:sz w:val="18"/>
          <w:szCs w:val="18"/>
        </w:rPr>
        <w:t xml:space="preserve">, </w:t>
      </w:r>
      <w:r w:rsidR="00F85C94" w:rsidRPr="0022756A">
        <w:rPr>
          <w:rFonts w:ascii="Arial" w:hAnsi="Arial" w:cs="Arial"/>
          <w:sz w:val="18"/>
          <w:szCs w:val="18"/>
        </w:rPr>
        <w:t xml:space="preserve">MS – Ministerstvo spravedlnosti, </w:t>
      </w:r>
    </w:p>
    <w:p w:rsidR="00843794" w:rsidRPr="0022756A" w:rsidRDefault="00F85C94" w:rsidP="0022756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spellStart"/>
      <w:r w:rsidRPr="0022756A">
        <w:rPr>
          <w:rFonts w:ascii="Arial" w:hAnsi="Arial" w:cs="Arial"/>
          <w:sz w:val="18"/>
          <w:szCs w:val="18"/>
        </w:rPr>
        <w:t>MZ</w:t>
      </w:r>
      <w:proofErr w:type="spellEnd"/>
      <w:r w:rsidRPr="0022756A">
        <w:rPr>
          <w:rFonts w:ascii="Arial" w:hAnsi="Arial" w:cs="Arial"/>
          <w:sz w:val="18"/>
          <w:szCs w:val="18"/>
        </w:rPr>
        <w:t xml:space="preserve"> – Ministerstvo </w:t>
      </w:r>
      <w:r w:rsidR="00224AAE" w:rsidRPr="00C0351C">
        <w:rPr>
          <w:rFonts w:ascii="Arial" w:hAnsi="Arial" w:cs="Arial"/>
          <w:sz w:val="18"/>
          <w:szCs w:val="18"/>
        </w:rPr>
        <w:t>zdravotnictv</w:t>
      </w:r>
      <w:r w:rsidR="00C0351C" w:rsidRPr="00C0351C">
        <w:rPr>
          <w:rFonts w:ascii="Arial" w:hAnsi="Arial" w:cs="Arial"/>
          <w:sz w:val="18"/>
          <w:szCs w:val="18"/>
        </w:rPr>
        <w:t xml:space="preserve">í, </w:t>
      </w:r>
      <w:r w:rsidRPr="0022756A">
        <w:rPr>
          <w:rFonts w:ascii="Arial" w:hAnsi="Arial" w:cs="Arial"/>
          <w:sz w:val="18"/>
          <w:szCs w:val="18"/>
        </w:rPr>
        <w:t>MŽP – Ministerstvo životního prostředí.</w:t>
      </w:r>
    </w:p>
    <w:p w:rsidR="00224AAE" w:rsidRPr="0022756A" w:rsidRDefault="00224AAE" w:rsidP="00B147C7">
      <w:pPr>
        <w:spacing w:after="0" w:line="240" w:lineRule="auto"/>
        <w:jc w:val="both"/>
        <w:rPr>
          <w:rFonts w:ascii="Arial" w:hAnsi="Arial" w:cs="Arial"/>
        </w:rPr>
      </w:pPr>
    </w:p>
    <w:p w:rsidR="00BE1C91" w:rsidRDefault="00B147C7" w:rsidP="00B147C7">
      <w:pPr>
        <w:spacing w:after="0" w:line="240" w:lineRule="auto"/>
        <w:jc w:val="both"/>
        <w:rPr>
          <w:rFonts w:ascii="Arial" w:hAnsi="Arial" w:cs="Arial"/>
        </w:rPr>
      </w:pPr>
      <w:r w:rsidRPr="00880F9C">
        <w:rPr>
          <w:rFonts w:ascii="Arial" w:hAnsi="Arial" w:cs="Arial"/>
          <w:b/>
        </w:rPr>
        <w:t>Komodita elektrická energie</w:t>
      </w:r>
      <w:r>
        <w:rPr>
          <w:rFonts w:ascii="Arial" w:hAnsi="Arial" w:cs="Arial"/>
        </w:rPr>
        <w:t xml:space="preserve"> </w:t>
      </w:r>
    </w:p>
    <w:p w:rsidR="002D0A6E" w:rsidRDefault="002D0A6E" w:rsidP="00B147C7">
      <w:pPr>
        <w:spacing w:after="0" w:line="240" w:lineRule="auto"/>
        <w:jc w:val="both"/>
        <w:rPr>
          <w:rFonts w:ascii="Arial" w:hAnsi="Arial" w:cs="Arial"/>
        </w:rPr>
      </w:pPr>
    </w:p>
    <w:p w:rsidR="000868B0" w:rsidRDefault="00BE1C91" w:rsidP="000868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komodita </w:t>
      </w:r>
      <w:r w:rsidR="00B147C7">
        <w:rPr>
          <w:rFonts w:ascii="Arial" w:hAnsi="Arial" w:cs="Arial"/>
        </w:rPr>
        <w:t xml:space="preserve">byla do </w:t>
      </w:r>
      <w:proofErr w:type="spellStart"/>
      <w:r w:rsidR="00B147C7">
        <w:rPr>
          <w:rFonts w:ascii="Arial" w:hAnsi="Arial" w:cs="Arial"/>
        </w:rPr>
        <w:t>C</w:t>
      </w:r>
      <w:r w:rsidR="00C110D9">
        <w:rPr>
          <w:rFonts w:ascii="Arial" w:hAnsi="Arial" w:cs="Arial"/>
        </w:rPr>
        <w:t>N</w:t>
      </w:r>
      <w:proofErr w:type="spellEnd"/>
      <w:r w:rsidR="00B147C7">
        <w:rPr>
          <w:rFonts w:ascii="Arial" w:hAnsi="Arial" w:cs="Arial"/>
        </w:rPr>
        <w:t xml:space="preserve"> zařazena v roce 2010. MV </w:t>
      </w:r>
      <w:r>
        <w:rPr>
          <w:rFonts w:ascii="Arial" w:hAnsi="Arial" w:cs="Arial"/>
        </w:rPr>
        <w:t xml:space="preserve">odhadovalo </w:t>
      </w:r>
      <w:r w:rsidR="00B147C7">
        <w:rPr>
          <w:rFonts w:ascii="Arial" w:hAnsi="Arial" w:cs="Arial"/>
        </w:rPr>
        <w:t xml:space="preserve">úspory u nákupu prostřednictvím komoditní burzy ve výši 15 až 35 %. </w:t>
      </w:r>
      <w:r w:rsidR="000868B0">
        <w:rPr>
          <w:rFonts w:ascii="Arial" w:hAnsi="Arial" w:cs="Arial"/>
        </w:rPr>
        <w:t xml:space="preserve">MV nakupovalo komoditu „silová elektřina v rámci sdružených služeb dodávky elektřiny“, tj. včetně její dodávky odběrateli. </w:t>
      </w:r>
    </w:p>
    <w:p w:rsidR="00B147C7" w:rsidRDefault="00BE1C91" w:rsidP="00B147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nákupu na komoditní burze je nezbytné využít služeb tzv. „dohodce“, který funguje jako burzovní zprostředkovatel.</w:t>
      </w:r>
    </w:p>
    <w:p w:rsidR="00B147C7" w:rsidRDefault="00B147C7" w:rsidP="00B147C7">
      <w:pPr>
        <w:spacing w:after="0" w:line="240" w:lineRule="auto"/>
        <w:jc w:val="both"/>
        <w:rPr>
          <w:rFonts w:ascii="Arial" w:hAnsi="Arial" w:cs="Arial"/>
        </w:rPr>
      </w:pPr>
    </w:p>
    <w:p w:rsidR="00B147C7" w:rsidRDefault="00B147C7" w:rsidP="00B147C7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Pro každého veřejného zadavatele vystavila burza po provedení obchodu tzv. závěrkový list, </w:t>
      </w:r>
      <w:r>
        <w:rPr>
          <w:rFonts w:ascii="Arial" w:hAnsi="Arial" w:cs="Arial"/>
        </w:rPr>
        <w:t xml:space="preserve">tedy smlouvu o sdružených službách dodávky elektřiny </w:t>
      </w:r>
      <w:r w:rsidR="00224AAE">
        <w:rPr>
          <w:rFonts w:ascii="Arial" w:hAnsi="Arial" w:cs="Arial"/>
        </w:rPr>
        <w:t xml:space="preserve">uzavřenou </w:t>
      </w:r>
      <w:r>
        <w:rPr>
          <w:rFonts w:ascii="Arial" w:hAnsi="Arial" w:cs="Arial"/>
        </w:rPr>
        <w:t xml:space="preserve">mezi </w:t>
      </w:r>
      <w:r w:rsidR="00224AAE">
        <w:rPr>
          <w:rFonts w:ascii="Arial" w:hAnsi="Arial" w:cs="Arial"/>
          <w:lang w:eastAsia="cs-CZ"/>
        </w:rPr>
        <w:t>zadavatelem</w:t>
      </w:r>
      <w:r w:rsidR="00224AAE">
        <w:rPr>
          <w:rFonts w:ascii="Arial" w:hAnsi="Arial" w:cs="Arial"/>
        </w:rPr>
        <w:t xml:space="preserve"> </w:t>
      </w:r>
      <w:r w:rsidR="001C373B">
        <w:rPr>
          <w:rFonts w:ascii="Arial" w:hAnsi="Arial" w:cs="Arial"/>
        </w:rPr>
        <w:t>a</w:t>
      </w:r>
      <w:r w:rsidR="00224AA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držitelem licence na obchod s elektřinou. </w:t>
      </w:r>
      <w:r>
        <w:rPr>
          <w:rFonts w:ascii="Arial" w:hAnsi="Arial" w:cs="Arial"/>
          <w:lang w:eastAsia="cs-CZ"/>
        </w:rPr>
        <w:t>Po ukončení aukce na nákup elektřiny v nízké i</w:t>
      </w:r>
      <w:r w:rsidR="00224AAE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 xml:space="preserve">vysoké hladině napětí provedlo </w:t>
      </w:r>
      <w:r w:rsidR="00224AAE">
        <w:rPr>
          <w:rFonts w:ascii="Arial" w:hAnsi="Arial" w:cs="Arial"/>
          <w:lang w:eastAsia="cs-CZ"/>
        </w:rPr>
        <w:t xml:space="preserve">MV </w:t>
      </w:r>
      <w:r>
        <w:rPr>
          <w:rFonts w:ascii="Arial" w:hAnsi="Arial" w:cs="Arial"/>
          <w:lang w:eastAsia="cs-CZ"/>
        </w:rPr>
        <w:t>rozúčtování burzovních poplatků mezi veřejné zadavatele.</w:t>
      </w:r>
    </w:p>
    <w:p w:rsidR="00B147C7" w:rsidRDefault="00B147C7" w:rsidP="00B147C7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147C7" w:rsidRDefault="000A674E" w:rsidP="00B147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Výpočty provedené v průběhu kontroly NKÚ u dvou odběrných míst MV – Policejního prezidia a dvou odběrných míst u Zařízení služeb </w:t>
      </w:r>
      <w:r w:rsidR="00B147C7" w:rsidRPr="000A674E">
        <w:rPr>
          <w:rFonts w:ascii="Arial" w:hAnsi="Arial" w:cs="Arial"/>
        </w:rPr>
        <w:t>vedou k závěru,</w:t>
      </w:r>
      <w:r w:rsidR="00B147C7">
        <w:rPr>
          <w:rFonts w:ascii="Arial" w:hAnsi="Arial" w:cs="Arial"/>
        </w:rPr>
        <w:t xml:space="preserve"> že v případě přechodu na centrální nákup elektrické energie u odběrných míst dosáhlo </w:t>
      </w:r>
      <w:r>
        <w:rPr>
          <w:rFonts w:ascii="Arial" w:hAnsi="Arial" w:cs="Arial"/>
        </w:rPr>
        <w:t xml:space="preserve">MV – </w:t>
      </w:r>
      <w:r w:rsidR="00265D8A">
        <w:rPr>
          <w:rFonts w:ascii="Arial" w:hAnsi="Arial" w:cs="Arial"/>
        </w:rPr>
        <w:t>Policejní prezidium i </w:t>
      </w:r>
      <w:r w:rsidR="00B147C7">
        <w:rPr>
          <w:rFonts w:ascii="Arial" w:hAnsi="Arial" w:cs="Arial"/>
        </w:rPr>
        <w:t xml:space="preserve">Zařízení služeb příznivější jednotkové ceny za </w:t>
      </w:r>
      <w:proofErr w:type="spellStart"/>
      <w:r w:rsidR="00B147C7">
        <w:rPr>
          <w:rFonts w:ascii="Arial" w:hAnsi="Arial" w:cs="Arial"/>
        </w:rPr>
        <w:t>MWh</w:t>
      </w:r>
      <w:proofErr w:type="spellEnd"/>
      <w:r w:rsidR="00B147C7">
        <w:rPr>
          <w:rFonts w:ascii="Arial" w:hAnsi="Arial" w:cs="Arial"/>
        </w:rPr>
        <w:t xml:space="preserve"> než při nákupu elektrické energie mimo </w:t>
      </w:r>
      <w:proofErr w:type="spellStart"/>
      <w:r w:rsidR="00B147C7">
        <w:rPr>
          <w:rFonts w:ascii="Arial" w:hAnsi="Arial" w:cs="Arial"/>
        </w:rPr>
        <w:t>C</w:t>
      </w:r>
      <w:r w:rsidR="009337AA">
        <w:rPr>
          <w:rFonts w:ascii="Arial" w:hAnsi="Arial" w:cs="Arial"/>
        </w:rPr>
        <w:t>N</w:t>
      </w:r>
      <w:proofErr w:type="spellEnd"/>
      <w:r w:rsidR="00B147C7">
        <w:rPr>
          <w:rFonts w:ascii="Arial" w:hAnsi="Arial" w:cs="Arial"/>
        </w:rPr>
        <w:t>.</w:t>
      </w:r>
      <w:r w:rsidR="00A81C74">
        <w:rPr>
          <w:rFonts w:ascii="Arial" w:hAnsi="Arial" w:cs="Arial"/>
        </w:rPr>
        <w:t xml:space="preserve"> Úspory se pohybovaly v rozmezí </w:t>
      </w:r>
      <w:r w:rsidR="00A81C74" w:rsidRPr="00A64BDF">
        <w:rPr>
          <w:rFonts w:ascii="Arial" w:hAnsi="Arial" w:cs="Arial"/>
        </w:rPr>
        <w:t xml:space="preserve">13,62 % </w:t>
      </w:r>
      <w:r w:rsidR="00A81C74">
        <w:rPr>
          <w:rFonts w:ascii="Arial" w:hAnsi="Arial" w:cs="Arial"/>
        </w:rPr>
        <w:t>až 23,96 %.</w:t>
      </w:r>
    </w:p>
    <w:p w:rsidR="002D0A6E" w:rsidRDefault="002D0A6E" w:rsidP="00B147C7">
      <w:pPr>
        <w:spacing w:after="0" w:line="240" w:lineRule="auto"/>
        <w:jc w:val="both"/>
        <w:rPr>
          <w:rFonts w:ascii="Arial" w:hAnsi="Arial" w:cs="Arial"/>
        </w:rPr>
      </w:pPr>
    </w:p>
    <w:p w:rsidR="001367D6" w:rsidRDefault="000E22B1" w:rsidP="0022756A">
      <w:pPr>
        <w:pStyle w:val="Nadpis2"/>
        <w:keepLines w:val="0"/>
        <w:numPr>
          <w:ilvl w:val="0"/>
          <w:numId w:val="12"/>
        </w:numPr>
        <w:spacing w:before="0"/>
        <w:ind w:left="284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Řídící</w:t>
      </w:r>
      <w:r w:rsidR="001367D6" w:rsidRPr="00EB7483">
        <w:rPr>
          <w:rFonts w:ascii="Arial" w:hAnsi="Arial" w:cs="Arial"/>
          <w:color w:val="auto"/>
          <w:sz w:val="22"/>
          <w:szCs w:val="22"/>
        </w:rPr>
        <w:t xml:space="preserve"> kontrol</w:t>
      </w:r>
      <w:r w:rsidR="001367D6">
        <w:rPr>
          <w:rFonts w:ascii="Arial" w:hAnsi="Arial" w:cs="Arial"/>
          <w:color w:val="auto"/>
          <w:sz w:val="22"/>
          <w:szCs w:val="22"/>
        </w:rPr>
        <w:t>a</w:t>
      </w:r>
    </w:p>
    <w:p w:rsidR="0002485D" w:rsidRDefault="0002485D" w:rsidP="0002485D">
      <w:pPr>
        <w:spacing w:after="0" w:line="240" w:lineRule="auto"/>
        <w:jc w:val="both"/>
        <w:rPr>
          <w:rFonts w:ascii="Arial" w:hAnsi="Arial" w:cs="Arial"/>
        </w:rPr>
      </w:pPr>
    </w:p>
    <w:p w:rsidR="00857447" w:rsidRPr="0002485D" w:rsidRDefault="00653A9E" w:rsidP="0002485D">
      <w:pPr>
        <w:spacing w:after="0" w:line="240" w:lineRule="auto"/>
        <w:jc w:val="both"/>
        <w:rPr>
          <w:rFonts w:ascii="Arial" w:hAnsi="Arial" w:cs="Arial"/>
        </w:rPr>
      </w:pPr>
      <w:r w:rsidRPr="0002485D">
        <w:rPr>
          <w:rFonts w:ascii="Arial" w:hAnsi="Arial" w:cs="Arial"/>
        </w:rPr>
        <w:t xml:space="preserve">Podle zákona č. 320/2001 Sb. má </w:t>
      </w:r>
      <w:r w:rsidR="00DF12D3" w:rsidRPr="0002485D">
        <w:rPr>
          <w:rFonts w:ascii="Arial" w:hAnsi="Arial" w:cs="Arial"/>
        </w:rPr>
        <w:t xml:space="preserve">být </w:t>
      </w:r>
      <w:r w:rsidR="0002485D" w:rsidRPr="0002485D">
        <w:rPr>
          <w:rFonts w:ascii="Arial" w:hAnsi="Arial" w:cs="Arial"/>
        </w:rPr>
        <w:t xml:space="preserve">vnitřní kontrolní systém </w:t>
      </w:r>
      <w:r w:rsidR="00DF12D3" w:rsidRPr="0002485D">
        <w:rPr>
          <w:rFonts w:ascii="Arial" w:hAnsi="Arial" w:cs="Arial"/>
        </w:rPr>
        <w:t xml:space="preserve">především způsobilý </w:t>
      </w:r>
      <w:r w:rsidRPr="0002485D">
        <w:rPr>
          <w:rFonts w:ascii="Arial" w:hAnsi="Arial" w:cs="Arial"/>
        </w:rPr>
        <w:t xml:space="preserve">včas zjišťovat, vyhodnocovat a minimalizovat provozní, finanční, právní a jiná rizika vznikající v souvislosti </w:t>
      </w:r>
      <w:r w:rsidR="00FF54A3">
        <w:rPr>
          <w:rFonts w:ascii="Arial" w:hAnsi="Arial" w:cs="Arial"/>
        </w:rPr>
        <w:t>s </w:t>
      </w:r>
      <w:r w:rsidRPr="0002485D">
        <w:rPr>
          <w:rFonts w:ascii="Arial" w:hAnsi="Arial" w:cs="Arial"/>
        </w:rPr>
        <w:t xml:space="preserve">plněním schválených záměrů a cílů </w:t>
      </w:r>
      <w:r w:rsidR="00DF12D3" w:rsidRPr="0002485D">
        <w:rPr>
          <w:rFonts w:ascii="Arial" w:hAnsi="Arial" w:cs="Arial"/>
        </w:rPr>
        <w:t>orgánů veřejné správy.</w:t>
      </w:r>
      <w:r w:rsidR="00C23787">
        <w:rPr>
          <w:rFonts w:ascii="Arial" w:hAnsi="Arial" w:cs="Arial"/>
        </w:rPr>
        <w:t xml:space="preserve"> </w:t>
      </w:r>
      <w:r w:rsidR="00DF12D3" w:rsidRPr="0002485D">
        <w:rPr>
          <w:rFonts w:ascii="Arial" w:hAnsi="Arial" w:cs="Arial"/>
        </w:rPr>
        <w:t xml:space="preserve">V rámci tohoto systému je nezbytné zajistit i fungování předběžné </w:t>
      </w:r>
      <w:r w:rsidR="000E22B1">
        <w:rPr>
          <w:rFonts w:ascii="Arial" w:hAnsi="Arial" w:cs="Arial"/>
        </w:rPr>
        <w:t>řídící</w:t>
      </w:r>
      <w:r w:rsidR="00DF12D3" w:rsidRPr="0002485D">
        <w:rPr>
          <w:rFonts w:ascii="Arial" w:hAnsi="Arial" w:cs="Arial"/>
        </w:rPr>
        <w:t xml:space="preserve"> kontroly.</w:t>
      </w:r>
    </w:p>
    <w:p w:rsidR="0002485D" w:rsidRDefault="0002485D" w:rsidP="0002485D">
      <w:pPr>
        <w:spacing w:after="0" w:line="240" w:lineRule="auto"/>
        <w:jc w:val="both"/>
        <w:rPr>
          <w:rFonts w:ascii="Arial" w:hAnsi="Arial" w:cs="Arial"/>
        </w:rPr>
      </w:pPr>
    </w:p>
    <w:p w:rsidR="00DF12D3" w:rsidRPr="0002485D" w:rsidRDefault="00CE21B4" w:rsidP="000248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kontrolní akce NKÚ zjistil</w:t>
      </w:r>
      <w:r w:rsidR="00DF12D3" w:rsidRPr="0002485D">
        <w:rPr>
          <w:rFonts w:ascii="Arial" w:hAnsi="Arial" w:cs="Arial"/>
        </w:rPr>
        <w:t xml:space="preserve">, </w:t>
      </w:r>
      <w:r w:rsidR="0002485D">
        <w:rPr>
          <w:rFonts w:ascii="Arial" w:hAnsi="Arial" w:cs="Arial"/>
        </w:rPr>
        <w:t>že MV jako centrální zadavatel neprováděl</w:t>
      </w:r>
      <w:r>
        <w:rPr>
          <w:rFonts w:ascii="Arial" w:hAnsi="Arial" w:cs="Arial"/>
        </w:rPr>
        <w:t>o</w:t>
      </w:r>
      <w:r w:rsidR="0002485D">
        <w:rPr>
          <w:rFonts w:ascii="Arial" w:hAnsi="Arial" w:cs="Arial"/>
        </w:rPr>
        <w:t xml:space="preserve"> předběžnou </w:t>
      </w:r>
      <w:r w:rsidR="000E22B1">
        <w:rPr>
          <w:rFonts w:ascii="Arial" w:hAnsi="Arial" w:cs="Arial"/>
        </w:rPr>
        <w:t>řídící</w:t>
      </w:r>
      <w:r w:rsidR="00C36CC5">
        <w:rPr>
          <w:rFonts w:ascii="Arial" w:hAnsi="Arial" w:cs="Arial"/>
        </w:rPr>
        <w:t xml:space="preserve"> kontrolu před uzavřením </w:t>
      </w:r>
      <w:r w:rsidR="003104C9">
        <w:rPr>
          <w:rFonts w:ascii="Arial" w:hAnsi="Arial" w:cs="Arial"/>
        </w:rPr>
        <w:t xml:space="preserve">kontrolovaných </w:t>
      </w:r>
      <w:r w:rsidR="00C36CC5">
        <w:rPr>
          <w:rFonts w:ascii="Arial" w:hAnsi="Arial" w:cs="Arial"/>
        </w:rPr>
        <w:t>rámcových smluv.</w:t>
      </w:r>
    </w:p>
    <w:p w:rsidR="0002485D" w:rsidRDefault="0002485D" w:rsidP="0002485D">
      <w:pPr>
        <w:spacing w:after="0" w:line="240" w:lineRule="auto"/>
        <w:jc w:val="both"/>
        <w:rPr>
          <w:rFonts w:ascii="Arial" w:hAnsi="Arial" w:cs="Arial"/>
        </w:rPr>
      </w:pPr>
    </w:p>
    <w:p w:rsidR="001367D6" w:rsidRDefault="00126E5A" w:rsidP="002D0A6E">
      <w:pPr>
        <w:spacing w:after="0" w:line="240" w:lineRule="auto"/>
        <w:jc w:val="both"/>
        <w:rPr>
          <w:rFonts w:ascii="Arial" w:hAnsi="Arial" w:cs="Arial"/>
        </w:rPr>
      </w:pPr>
      <w:r w:rsidRPr="0002485D">
        <w:rPr>
          <w:rFonts w:ascii="Arial" w:hAnsi="Arial" w:cs="Arial"/>
        </w:rPr>
        <w:t>NKÚ na rozdíl od MV</w:t>
      </w:r>
      <w:r w:rsidR="00DD3AEA" w:rsidRPr="0002485D">
        <w:rPr>
          <w:rFonts w:ascii="Arial" w:hAnsi="Arial" w:cs="Arial"/>
        </w:rPr>
        <w:t xml:space="preserve"> zastává názor, že i centrální zadavatel </w:t>
      </w:r>
      <w:r w:rsidRPr="0002485D">
        <w:rPr>
          <w:rFonts w:ascii="Arial" w:hAnsi="Arial" w:cs="Arial"/>
        </w:rPr>
        <w:t xml:space="preserve">musí </w:t>
      </w:r>
      <w:r w:rsidR="00AE4045" w:rsidRPr="0002485D">
        <w:rPr>
          <w:rFonts w:ascii="Arial" w:hAnsi="Arial" w:cs="Arial"/>
        </w:rPr>
        <w:t xml:space="preserve">ve vztahu k zadávacímu řízení </w:t>
      </w:r>
      <w:r w:rsidR="00DD3AEA" w:rsidRPr="0002485D">
        <w:rPr>
          <w:rFonts w:ascii="Arial" w:hAnsi="Arial" w:cs="Arial"/>
        </w:rPr>
        <w:t xml:space="preserve">zajistit </w:t>
      </w:r>
      <w:r w:rsidR="001367D6" w:rsidRPr="0002485D">
        <w:rPr>
          <w:rFonts w:ascii="Arial" w:hAnsi="Arial" w:cs="Arial"/>
        </w:rPr>
        <w:t>předběžnou řídící kontrolu</w:t>
      </w:r>
      <w:r w:rsidRPr="0002485D">
        <w:rPr>
          <w:rFonts w:ascii="Arial" w:hAnsi="Arial" w:cs="Arial"/>
        </w:rPr>
        <w:t xml:space="preserve"> </w:t>
      </w:r>
      <w:r w:rsidR="00CE21B4">
        <w:rPr>
          <w:rFonts w:ascii="Arial" w:hAnsi="Arial" w:cs="Arial"/>
        </w:rPr>
        <w:t xml:space="preserve">již </w:t>
      </w:r>
      <w:r w:rsidR="00CE21B4" w:rsidRPr="0002485D">
        <w:rPr>
          <w:rFonts w:ascii="Arial" w:hAnsi="Arial" w:cs="Arial"/>
        </w:rPr>
        <w:t xml:space="preserve">před uzavřením </w:t>
      </w:r>
      <w:proofErr w:type="spellStart"/>
      <w:r w:rsidR="00CE21B4" w:rsidRPr="0002485D">
        <w:rPr>
          <w:rFonts w:ascii="Arial" w:hAnsi="Arial" w:cs="Arial"/>
        </w:rPr>
        <w:t>RS</w:t>
      </w:r>
      <w:proofErr w:type="spellEnd"/>
      <w:r w:rsidR="00CE21B4">
        <w:rPr>
          <w:rFonts w:ascii="Arial" w:hAnsi="Arial" w:cs="Arial"/>
        </w:rPr>
        <w:t>,</w:t>
      </w:r>
      <w:r w:rsidR="00CE21B4" w:rsidRPr="0002485D">
        <w:rPr>
          <w:rFonts w:ascii="Arial" w:hAnsi="Arial" w:cs="Arial"/>
        </w:rPr>
        <w:t xml:space="preserve"> </w:t>
      </w:r>
      <w:r w:rsidRPr="0002485D">
        <w:rPr>
          <w:rFonts w:ascii="Arial" w:hAnsi="Arial" w:cs="Arial"/>
        </w:rPr>
        <w:t>a</w:t>
      </w:r>
      <w:r w:rsidR="00DD3AEA" w:rsidRPr="0002485D">
        <w:rPr>
          <w:rFonts w:ascii="Arial" w:hAnsi="Arial" w:cs="Arial"/>
        </w:rPr>
        <w:t xml:space="preserve"> </w:t>
      </w:r>
      <w:r w:rsidRPr="0002485D">
        <w:rPr>
          <w:rFonts w:ascii="Arial" w:hAnsi="Arial" w:cs="Arial"/>
        </w:rPr>
        <w:t xml:space="preserve">nikoli pouze </w:t>
      </w:r>
      <w:r w:rsidR="001C373B">
        <w:rPr>
          <w:rFonts w:ascii="Arial" w:hAnsi="Arial" w:cs="Arial"/>
        </w:rPr>
        <w:t xml:space="preserve">až </w:t>
      </w:r>
      <w:r w:rsidRPr="0002485D">
        <w:rPr>
          <w:rFonts w:ascii="Arial" w:hAnsi="Arial" w:cs="Arial"/>
        </w:rPr>
        <w:t xml:space="preserve">před uzavřením prováděcích smluv. U MV jako správce kapitoly státního rozpočtu a </w:t>
      </w:r>
      <w:r w:rsidR="00B83B59">
        <w:rPr>
          <w:rFonts w:ascii="Arial" w:hAnsi="Arial" w:cs="Arial"/>
        </w:rPr>
        <w:t xml:space="preserve">jako </w:t>
      </w:r>
      <w:r w:rsidRPr="0002485D">
        <w:rPr>
          <w:rFonts w:ascii="Arial" w:hAnsi="Arial" w:cs="Arial"/>
        </w:rPr>
        <w:lastRenderedPageBreak/>
        <w:t xml:space="preserve">samostatné účetní jednotky je třeba v obou fázích </w:t>
      </w:r>
      <w:r w:rsidR="00B83B59">
        <w:rPr>
          <w:rFonts w:ascii="Arial" w:hAnsi="Arial" w:cs="Arial"/>
        </w:rPr>
        <w:t xml:space="preserve">nákupu </w:t>
      </w:r>
      <w:r w:rsidRPr="0002485D">
        <w:rPr>
          <w:rFonts w:ascii="Arial" w:hAnsi="Arial" w:cs="Arial"/>
        </w:rPr>
        <w:t xml:space="preserve">předběžnou </w:t>
      </w:r>
      <w:r w:rsidR="000E22B1">
        <w:rPr>
          <w:rFonts w:ascii="Arial" w:hAnsi="Arial" w:cs="Arial"/>
        </w:rPr>
        <w:t>řídící</w:t>
      </w:r>
      <w:r w:rsidRPr="0002485D">
        <w:rPr>
          <w:rFonts w:ascii="Arial" w:hAnsi="Arial" w:cs="Arial"/>
        </w:rPr>
        <w:t xml:space="preserve"> kontrolu zajistit, aby </w:t>
      </w:r>
      <w:r w:rsidR="00DD3AEA" w:rsidRPr="0002485D">
        <w:rPr>
          <w:rFonts w:ascii="Arial" w:hAnsi="Arial" w:cs="Arial"/>
        </w:rPr>
        <w:t>byl</w:t>
      </w:r>
      <w:r w:rsidR="001C373B">
        <w:rPr>
          <w:rFonts w:ascii="Arial" w:hAnsi="Arial" w:cs="Arial"/>
        </w:rPr>
        <w:t>y</w:t>
      </w:r>
      <w:r w:rsidR="00DD3AEA" w:rsidRPr="0002485D">
        <w:rPr>
          <w:rFonts w:ascii="Arial" w:hAnsi="Arial" w:cs="Arial"/>
        </w:rPr>
        <w:t xml:space="preserve"> dodržen</w:t>
      </w:r>
      <w:r w:rsidR="001C373B">
        <w:rPr>
          <w:rFonts w:ascii="Arial" w:hAnsi="Arial" w:cs="Arial"/>
        </w:rPr>
        <w:t>y požadavky</w:t>
      </w:r>
      <w:r w:rsidR="00DD3AEA" w:rsidRPr="0002485D">
        <w:rPr>
          <w:rFonts w:ascii="Arial" w:hAnsi="Arial" w:cs="Arial"/>
        </w:rPr>
        <w:t xml:space="preserve"> zákona </w:t>
      </w:r>
      <w:r w:rsidR="009337AA" w:rsidRPr="0002485D">
        <w:rPr>
          <w:rFonts w:ascii="Arial" w:hAnsi="Arial" w:cs="Arial"/>
        </w:rPr>
        <w:t>o finanční kontrole</w:t>
      </w:r>
      <w:r w:rsidR="00DF12D3" w:rsidRPr="0002485D">
        <w:rPr>
          <w:rFonts w:ascii="Arial" w:hAnsi="Arial" w:cs="Arial"/>
        </w:rPr>
        <w:t xml:space="preserve">. </w:t>
      </w:r>
    </w:p>
    <w:p w:rsidR="000868B0" w:rsidRDefault="000868B0" w:rsidP="002D0A6E">
      <w:pPr>
        <w:spacing w:after="0" w:line="240" w:lineRule="auto"/>
        <w:jc w:val="both"/>
        <w:rPr>
          <w:rFonts w:ascii="Arial" w:hAnsi="Arial" w:cs="Arial"/>
        </w:rPr>
      </w:pPr>
    </w:p>
    <w:p w:rsidR="000868B0" w:rsidRPr="0022756A" w:rsidRDefault="000868B0" w:rsidP="000868B0">
      <w:pPr>
        <w:spacing w:after="0" w:line="240" w:lineRule="auto"/>
        <w:jc w:val="both"/>
        <w:rPr>
          <w:rFonts w:ascii="Arial" w:hAnsi="Arial" w:cs="Arial"/>
        </w:rPr>
      </w:pPr>
      <w:r w:rsidRPr="0040430C">
        <w:rPr>
          <w:rFonts w:ascii="Arial" w:hAnsi="Arial" w:cs="Arial"/>
        </w:rPr>
        <w:t>Skutečnost, že předběžn</w:t>
      </w:r>
      <w:r>
        <w:rPr>
          <w:rFonts w:ascii="Arial" w:hAnsi="Arial" w:cs="Arial"/>
        </w:rPr>
        <w:t>á</w:t>
      </w:r>
      <w:r w:rsidRPr="0040430C">
        <w:rPr>
          <w:rFonts w:ascii="Arial" w:hAnsi="Arial" w:cs="Arial"/>
        </w:rPr>
        <w:t xml:space="preserve"> </w:t>
      </w:r>
      <w:r w:rsidR="000E22B1">
        <w:rPr>
          <w:rFonts w:ascii="Arial" w:hAnsi="Arial" w:cs="Arial"/>
        </w:rPr>
        <w:t>řídící</w:t>
      </w:r>
      <w:r>
        <w:rPr>
          <w:rFonts w:ascii="Arial" w:hAnsi="Arial" w:cs="Arial"/>
        </w:rPr>
        <w:t xml:space="preserve"> </w:t>
      </w:r>
      <w:r w:rsidRPr="0040430C">
        <w:rPr>
          <w:rFonts w:ascii="Arial" w:hAnsi="Arial" w:cs="Arial"/>
        </w:rPr>
        <w:t>kontrol</w:t>
      </w:r>
      <w:r>
        <w:rPr>
          <w:rFonts w:ascii="Arial" w:hAnsi="Arial" w:cs="Arial"/>
        </w:rPr>
        <w:t>a</w:t>
      </w:r>
      <w:r w:rsidRPr="0040430C">
        <w:rPr>
          <w:rFonts w:ascii="Arial" w:hAnsi="Arial" w:cs="Arial"/>
        </w:rPr>
        <w:t xml:space="preserve"> před vznikem závazku </w:t>
      </w:r>
      <w:r w:rsidR="00CE21B4">
        <w:rPr>
          <w:rFonts w:ascii="Arial" w:hAnsi="Arial" w:cs="Arial"/>
        </w:rPr>
        <w:t xml:space="preserve">nebyla </w:t>
      </w:r>
      <w:r w:rsidRPr="0040430C">
        <w:rPr>
          <w:rFonts w:ascii="Arial" w:hAnsi="Arial" w:cs="Arial"/>
        </w:rPr>
        <w:t xml:space="preserve">v kontrolovaných případech </w:t>
      </w:r>
      <w:r>
        <w:rPr>
          <w:rFonts w:ascii="Arial" w:hAnsi="Arial" w:cs="Arial"/>
        </w:rPr>
        <w:t>provedena</w:t>
      </w:r>
      <w:r w:rsidRPr="0040430C">
        <w:rPr>
          <w:rFonts w:ascii="Arial" w:hAnsi="Arial" w:cs="Arial"/>
        </w:rPr>
        <w:t xml:space="preserve">, znamená, že vnitřní kontrolní systém </w:t>
      </w:r>
      <w:r>
        <w:rPr>
          <w:rFonts w:ascii="Arial" w:hAnsi="Arial" w:cs="Arial"/>
        </w:rPr>
        <w:t xml:space="preserve">v této oblasti </w:t>
      </w:r>
      <w:r w:rsidRPr="0040430C">
        <w:rPr>
          <w:rFonts w:ascii="Arial" w:hAnsi="Arial" w:cs="Arial"/>
        </w:rPr>
        <w:t>nevytváří podmínky pro hospodárný, efektivní a účelný výkon veřejné správy a nemůže</w:t>
      </w:r>
      <w:r>
        <w:rPr>
          <w:rFonts w:ascii="Arial" w:hAnsi="Arial" w:cs="Arial"/>
        </w:rPr>
        <w:t xml:space="preserve"> účinně plnit svou funkci.</w:t>
      </w:r>
      <w:r w:rsidR="00C23787">
        <w:rPr>
          <w:rFonts w:ascii="Arial" w:hAnsi="Arial" w:cs="Arial"/>
        </w:rPr>
        <w:t xml:space="preserve"> </w:t>
      </w:r>
    </w:p>
    <w:p w:rsidR="002D0A6E" w:rsidRPr="006315B0" w:rsidRDefault="002D0A6E" w:rsidP="002D0A6E">
      <w:pPr>
        <w:spacing w:after="0" w:line="240" w:lineRule="auto"/>
        <w:jc w:val="both"/>
        <w:rPr>
          <w:rFonts w:ascii="Arial" w:hAnsi="Arial" w:cs="Arial"/>
        </w:rPr>
      </w:pPr>
    </w:p>
    <w:p w:rsidR="001367D6" w:rsidRPr="00DF12D3" w:rsidRDefault="001367D6" w:rsidP="00DF12D3">
      <w:pPr>
        <w:pStyle w:val="Odstavecseseznamem"/>
        <w:keepNext/>
        <w:spacing w:after="0" w:line="240" w:lineRule="auto"/>
        <w:ind w:left="0"/>
        <w:contextualSpacing w:val="0"/>
        <w:jc w:val="both"/>
        <w:outlineLvl w:val="3"/>
        <w:rPr>
          <w:rFonts w:ascii="Arial" w:hAnsi="Arial" w:cs="Arial"/>
        </w:rPr>
      </w:pPr>
      <w:r w:rsidRPr="00DF12D3">
        <w:rPr>
          <w:rFonts w:ascii="Arial" w:hAnsi="Arial" w:cs="Arial"/>
        </w:rPr>
        <w:t xml:space="preserve">Při kontrole </w:t>
      </w:r>
      <w:r w:rsidR="00001070" w:rsidRPr="00DF12D3">
        <w:rPr>
          <w:rFonts w:ascii="Arial" w:hAnsi="Arial" w:cs="Arial"/>
        </w:rPr>
        <w:t>postupu veřejných zadavatelů</w:t>
      </w:r>
      <w:r w:rsidR="00587EB9">
        <w:rPr>
          <w:rFonts w:ascii="Arial" w:hAnsi="Arial" w:cs="Arial"/>
        </w:rPr>
        <w:t xml:space="preserve"> </w:t>
      </w:r>
      <w:r w:rsidR="002157C5">
        <w:rPr>
          <w:rFonts w:ascii="Arial" w:hAnsi="Arial" w:cs="Arial"/>
        </w:rPr>
        <w:t xml:space="preserve">při výkonu </w:t>
      </w:r>
      <w:r w:rsidR="000E22B1">
        <w:rPr>
          <w:rFonts w:ascii="Arial" w:hAnsi="Arial" w:cs="Arial"/>
        </w:rPr>
        <w:t>řídící</w:t>
      </w:r>
      <w:r w:rsidR="002157C5">
        <w:rPr>
          <w:rFonts w:ascii="Arial" w:hAnsi="Arial" w:cs="Arial"/>
        </w:rPr>
        <w:t xml:space="preserve"> kontroly po </w:t>
      </w:r>
      <w:r w:rsidR="000868B0">
        <w:rPr>
          <w:rFonts w:ascii="Arial" w:hAnsi="Arial" w:cs="Arial"/>
        </w:rPr>
        <w:t xml:space="preserve">vzniku závazku </w:t>
      </w:r>
      <w:r w:rsidRPr="00DF12D3">
        <w:rPr>
          <w:rFonts w:ascii="Arial" w:hAnsi="Arial" w:cs="Arial"/>
        </w:rPr>
        <w:t>byl</w:t>
      </w:r>
      <w:r w:rsidR="003A5674" w:rsidRPr="00DF12D3">
        <w:rPr>
          <w:rFonts w:ascii="Arial" w:hAnsi="Arial" w:cs="Arial"/>
        </w:rPr>
        <w:t>y</w:t>
      </w:r>
      <w:r w:rsidRPr="00DF12D3">
        <w:rPr>
          <w:rFonts w:ascii="Arial" w:hAnsi="Arial" w:cs="Arial"/>
        </w:rPr>
        <w:t xml:space="preserve"> zjištěn</w:t>
      </w:r>
      <w:r w:rsidR="003A5674" w:rsidRPr="00DF12D3">
        <w:rPr>
          <w:rFonts w:ascii="Arial" w:hAnsi="Arial" w:cs="Arial"/>
        </w:rPr>
        <w:t>y např. tyto nedostatky</w:t>
      </w:r>
      <w:r w:rsidRPr="00DF12D3">
        <w:rPr>
          <w:rFonts w:ascii="Arial" w:hAnsi="Arial" w:cs="Arial"/>
        </w:rPr>
        <w:t>:</w:t>
      </w:r>
    </w:p>
    <w:p w:rsidR="009269BA" w:rsidRPr="00973536" w:rsidRDefault="009269BA" w:rsidP="002642E7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73536">
        <w:rPr>
          <w:rFonts w:ascii="Arial" w:hAnsi="Arial" w:cs="Arial"/>
          <w:lang w:eastAsia="cs-CZ"/>
        </w:rPr>
        <w:t xml:space="preserve">nebyly </w:t>
      </w:r>
      <w:r w:rsidRPr="00973536">
        <w:rPr>
          <w:rFonts w:ascii="Arial" w:hAnsi="Arial" w:cs="Arial"/>
          <w:bCs/>
        </w:rPr>
        <w:t xml:space="preserve">dodrženy schvalovací postupy a </w:t>
      </w:r>
      <w:r w:rsidR="00097E0B" w:rsidRPr="00973536">
        <w:rPr>
          <w:rFonts w:ascii="Arial" w:hAnsi="Arial" w:cs="Arial"/>
          <w:lang w:eastAsia="cs-CZ"/>
        </w:rPr>
        <w:t xml:space="preserve">před vznikem závazku nebyla prováděna </w:t>
      </w:r>
      <w:r w:rsidRPr="00973536">
        <w:rPr>
          <w:rFonts w:ascii="Arial" w:hAnsi="Arial" w:cs="Arial"/>
          <w:lang w:eastAsia="cs-CZ"/>
        </w:rPr>
        <w:t xml:space="preserve">předběžná </w:t>
      </w:r>
      <w:r w:rsidR="000E22B1">
        <w:rPr>
          <w:rFonts w:ascii="Arial" w:hAnsi="Arial" w:cs="Arial"/>
          <w:lang w:eastAsia="cs-CZ"/>
        </w:rPr>
        <w:t>řídící</w:t>
      </w:r>
      <w:r w:rsidRPr="00973536">
        <w:rPr>
          <w:rFonts w:ascii="Arial" w:hAnsi="Arial" w:cs="Arial"/>
          <w:lang w:eastAsia="cs-CZ"/>
        </w:rPr>
        <w:t xml:space="preserve"> kontrola</w:t>
      </w:r>
      <w:r w:rsidR="00973536">
        <w:rPr>
          <w:rFonts w:ascii="Arial" w:hAnsi="Arial" w:cs="Arial"/>
          <w:lang w:eastAsia="cs-CZ"/>
        </w:rPr>
        <w:t>;</w:t>
      </w:r>
      <w:r w:rsidRPr="00973536">
        <w:rPr>
          <w:rFonts w:ascii="Arial" w:hAnsi="Arial" w:cs="Arial"/>
          <w:lang w:eastAsia="cs-CZ"/>
        </w:rPr>
        <w:t xml:space="preserve"> </w:t>
      </w:r>
    </w:p>
    <w:p w:rsidR="009269BA" w:rsidRPr="00973536" w:rsidRDefault="009269BA" w:rsidP="002642E7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87419">
        <w:rPr>
          <w:rFonts w:ascii="Arial" w:hAnsi="Arial" w:cs="Arial"/>
          <w:color w:val="000000"/>
        </w:rPr>
        <w:t xml:space="preserve">kupní smlouva byla uzavřena na částku vyšší, než na jakou byla provedena předběžná </w:t>
      </w:r>
      <w:r w:rsidR="000E22B1">
        <w:rPr>
          <w:rFonts w:ascii="Arial" w:hAnsi="Arial" w:cs="Arial"/>
          <w:color w:val="000000"/>
        </w:rPr>
        <w:t>řídící</w:t>
      </w:r>
      <w:r w:rsidRPr="00D87419">
        <w:rPr>
          <w:rFonts w:ascii="Arial" w:hAnsi="Arial" w:cs="Arial"/>
          <w:color w:val="000000"/>
        </w:rPr>
        <w:t xml:space="preserve"> kontrola</w:t>
      </w:r>
      <w:r w:rsidR="00973536">
        <w:rPr>
          <w:rFonts w:ascii="Arial" w:hAnsi="Arial" w:cs="Arial"/>
          <w:color w:val="000000"/>
        </w:rPr>
        <w:t>;</w:t>
      </w:r>
    </w:p>
    <w:p w:rsidR="001367D6" w:rsidRPr="00973536" w:rsidRDefault="003A5674" w:rsidP="002642E7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87419">
        <w:rPr>
          <w:rFonts w:ascii="Arial" w:hAnsi="Arial" w:cs="Arial"/>
        </w:rPr>
        <w:t>doklady ověřila osoba, která disponovala oprávněním pouze pro funkci příkazce operace</w:t>
      </w:r>
      <w:r w:rsidR="00CE21B4">
        <w:rPr>
          <w:rFonts w:ascii="Arial" w:hAnsi="Arial" w:cs="Arial"/>
        </w:rPr>
        <w:t>,</w:t>
      </w:r>
      <w:r w:rsidR="001C373B">
        <w:rPr>
          <w:rFonts w:ascii="Arial" w:hAnsi="Arial" w:cs="Arial"/>
        </w:rPr>
        <w:t xml:space="preserve"> a nikoliv pro funkci správce rozpočtu</w:t>
      </w:r>
      <w:r w:rsidR="00973536">
        <w:rPr>
          <w:rFonts w:ascii="Arial" w:hAnsi="Arial" w:cs="Arial"/>
        </w:rPr>
        <w:t>;</w:t>
      </w:r>
    </w:p>
    <w:p w:rsidR="009269BA" w:rsidRPr="00973536" w:rsidRDefault="009269BA" w:rsidP="002642E7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973536">
        <w:rPr>
          <w:rFonts w:ascii="Arial" w:hAnsi="Arial" w:cs="Arial"/>
          <w:bCs/>
        </w:rPr>
        <w:t xml:space="preserve">ve výzvách k podání nabídky </w:t>
      </w:r>
      <w:r w:rsidR="00E64A95" w:rsidRPr="00973536">
        <w:rPr>
          <w:rFonts w:ascii="Arial" w:hAnsi="Arial" w:cs="Arial"/>
          <w:bCs/>
        </w:rPr>
        <w:t xml:space="preserve">nebyl </w:t>
      </w:r>
      <w:r w:rsidRPr="00973536">
        <w:rPr>
          <w:rFonts w:ascii="Arial" w:hAnsi="Arial" w:cs="Arial"/>
          <w:bCs/>
        </w:rPr>
        <w:t>požadavek na rozpis jednotkov</w:t>
      </w:r>
      <w:r w:rsidR="00CE21B4">
        <w:rPr>
          <w:rFonts w:ascii="Arial" w:hAnsi="Arial" w:cs="Arial"/>
          <w:bCs/>
        </w:rPr>
        <w:t>ých</w:t>
      </w:r>
      <w:r w:rsidRPr="00973536">
        <w:rPr>
          <w:rFonts w:ascii="Arial" w:hAnsi="Arial" w:cs="Arial"/>
          <w:bCs/>
        </w:rPr>
        <w:t xml:space="preserve"> cen PHM a</w:t>
      </w:r>
      <w:r w:rsidR="00857447">
        <w:rPr>
          <w:rFonts w:ascii="Arial" w:hAnsi="Arial" w:cs="Arial"/>
          <w:bCs/>
        </w:rPr>
        <w:t> </w:t>
      </w:r>
      <w:r w:rsidRPr="00973536">
        <w:rPr>
          <w:rFonts w:ascii="Arial" w:hAnsi="Arial" w:cs="Arial"/>
          <w:bCs/>
        </w:rPr>
        <w:t xml:space="preserve">následně tento rozpis nebyl </w:t>
      </w:r>
      <w:r w:rsidR="00E64A95" w:rsidRPr="00973536">
        <w:rPr>
          <w:rFonts w:ascii="Arial" w:hAnsi="Arial" w:cs="Arial"/>
          <w:bCs/>
        </w:rPr>
        <w:t xml:space="preserve">ani </w:t>
      </w:r>
      <w:r w:rsidR="00587EB9">
        <w:rPr>
          <w:rFonts w:ascii="Arial" w:hAnsi="Arial" w:cs="Arial"/>
          <w:bCs/>
        </w:rPr>
        <w:t>součástí podaných nabídek;</w:t>
      </w:r>
      <w:r w:rsidRPr="00973536">
        <w:rPr>
          <w:rFonts w:ascii="Arial" w:hAnsi="Arial" w:cs="Arial"/>
          <w:color w:val="000000"/>
        </w:rPr>
        <w:t xml:space="preserve"> </w:t>
      </w:r>
      <w:r w:rsidR="00587EB9">
        <w:rPr>
          <w:rFonts w:ascii="Arial" w:hAnsi="Arial" w:cs="Arial"/>
          <w:color w:val="000000"/>
        </w:rPr>
        <w:t xml:space="preserve">v rámci předběžné kontroly </w:t>
      </w:r>
      <w:r w:rsidR="00E64A95" w:rsidRPr="00973536">
        <w:rPr>
          <w:rFonts w:ascii="Arial" w:hAnsi="Arial" w:cs="Arial"/>
          <w:color w:val="000000"/>
        </w:rPr>
        <w:t>nebylo možn</w:t>
      </w:r>
      <w:r w:rsidR="00CE21B4">
        <w:rPr>
          <w:rFonts w:ascii="Arial" w:hAnsi="Arial" w:cs="Arial"/>
          <w:color w:val="000000"/>
        </w:rPr>
        <w:t>é</w:t>
      </w:r>
      <w:r w:rsidR="00973536">
        <w:rPr>
          <w:rFonts w:ascii="Arial" w:hAnsi="Arial" w:cs="Arial"/>
          <w:color w:val="000000"/>
        </w:rPr>
        <w:t xml:space="preserve"> </w:t>
      </w:r>
      <w:r w:rsidRPr="00973536">
        <w:rPr>
          <w:rFonts w:ascii="Arial" w:hAnsi="Arial" w:cs="Arial"/>
          <w:color w:val="000000"/>
        </w:rPr>
        <w:t>ověři</w:t>
      </w:r>
      <w:r w:rsidR="00E64A95" w:rsidRPr="00973536">
        <w:rPr>
          <w:rFonts w:ascii="Arial" w:hAnsi="Arial" w:cs="Arial"/>
          <w:color w:val="000000"/>
        </w:rPr>
        <w:t>t</w:t>
      </w:r>
      <w:r w:rsidRPr="00973536">
        <w:rPr>
          <w:rFonts w:ascii="Arial" w:hAnsi="Arial" w:cs="Arial"/>
          <w:color w:val="000000"/>
        </w:rPr>
        <w:t>, zda nedošlo k neoprávn</w:t>
      </w:r>
      <w:r w:rsidR="00973536">
        <w:rPr>
          <w:rFonts w:ascii="Arial" w:hAnsi="Arial" w:cs="Arial"/>
          <w:color w:val="000000"/>
        </w:rPr>
        <w:t>ěnému navýšení ceny za litr PHM;</w:t>
      </w:r>
    </w:p>
    <w:p w:rsidR="009269BA" w:rsidRPr="00D87419" w:rsidRDefault="009269BA" w:rsidP="002642E7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87419">
        <w:rPr>
          <w:rFonts w:ascii="Arial" w:hAnsi="Arial" w:cs="Arial"/>
          <w:bCs/>
        </w:rPr>
        <w:t>jednotkov</w:t>
      </w:r>
      <w:r w:rsidR="000868B0">
        <w:rPr>
          <w:rFonts w:ascii="Arial" w:hAnsi="Arial" w:cs="Arial"/>
          <w:bCs/>
        </w:rPr>
        <w:t>é</w:t>
      </w:r>
      <w:r w:rsidRPr="00D87419">
        <w:rPr>
          <w:rFonts w:ascii="Arial" w:hAnsi="Arial" w:cs="Arial"/>
          <w:bCs/>
        </w:rPr>
        <w:t xml:space="preserve"> cen</w:t>
      </w:r>
      <w:r w:rsidR="000868B0">
        <w:rPr>
          <w:rFonts w:ascii="Arial" w:hAnsi="Arial" w:cs="Arial"/>
          <w:bCs/>
        </w:rPr>
        <w:t>y</w:t>
      </w:r>
      <w:r w:rsidRPr="00D87419">
        <w:rPr>
          <w:rFonts w:ascii="Arial" w:hAnsi="Arial" w:cs="Arial"/>
          <w:bCs/>
        </w:rPr>
        <w:t xml:space="preserve"> z</w:t>
      </w:r>
      <w:r w:rsidR="000868B0">
        <w:rPr>
          <w:rFonts w:ascii="Arial" w:hAnsi="Arial" w:cs="Arial"/>
          <w:bCs/>
        </w:rPr>
        <w:t> </w:t>
      </w:r>
      <w:proofErr w:type="spellStart"/>
      <w:r w:rsidRPr="00D87419">
        <w:rPr>
          <w:rFonts w:ascii="Arial" w:hAnsi="Arial" w:cs="Arial"/>
          <w:bCs/>
        </w:rPr>
        <w:t>RS</w:t>
      </w:r>
      <w:proofErr w:type="spellEnd"/>
      <w:r w:rsidR="000868B0">
        <w:rPr>
          <w:rFonts w:ascii="Arial" w:hAnsi="Arial" w:cs="Arial"/>
          <w:bCs/>
        </w:rPr>
        <w:t xml:space="preserve"> byly překračovány;</w:t>
      </w:r>
    </w:p>
    <w:p w:rsidR="001367D6" w:rsidRPr="00973536" w:rsidRDefault="00973536" w:rsidP="002642E7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73536">
        <w:rPr>
          <w:rFonts w:ascii="Arial" w:hAnsi="Arial" w:cs="Arial"/>
        </w:rPr>
        <w:t>o</w:t>
      </w:r>
      <w:r w:rsidR="003A5674" w:rsidRPr="00973536">
        <w:rPr>
          <w:rFonts w:ascii="Arial" w:hAnsi="Arial" w:cs="Arial"/>
        </w:rPr>
        <w:t>perace nebyla dolože</w:t>
      </w:r>
      <w:r>
        <w:rPr>
          <w:rFonts w:ascii="Arial" w:hAnsi="Arial" w:cs="Arial"/>
        </w:rPr>
        <w:t>na správnými a úplnými podklady;</w:t>
      </w:r>
      <w:r w:rsidR="003A5674" w:rsidRPr="00973536">
        <w:rPr>
          <w:rFonts w:ascii="Arial" w:hAnsi="Arial" w:cs="Arial"/>
        </w:rPr>
        <w:t xml:space="preserve"> </w:t>
      </w:r>
    </w:p>
    <w:p w:rsidR="001367D6" w:rsidRPr="00C36CC5" w:rsidRDefault="00E141DE" w:rsidP="002642E7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36CC5">
        <w:rPr>
          <w:rFonts w:ascii="Arial" w:hAnsi="Arial" w:cs="Arial"/>
        </w:rPr>
        <w:t>p</w:t>
      </w:r>
      <w:r w:rsidR="001367D6" w:rsidRPr="00C36CC5">
        <w:rPr>
          <w:rFonts w:ascii="Arial" w:hAnsi="Arial" w:cs="Arial"/>
        </w:rPr>
        <w:t xml:space="preserve">říkazce operace </w:t>
      </w:r>
      <w:r w:rsidR="00587EB9" w:rsidRPr="00C36CC5">
        <w:rPr>
          <w:rFonts w:ascii="Arial" w:hAnsi="Arial" w:cs="Arial"/>
        </w:rPr>
        <w:t>překračoval své oprávnění</w:t>
      </w:r>
      <w:r w:rsidR="00C36CC5" w:rsidRPr="00C36CC5">
        <w:rPr>
          <w:rFonts w:ascii="Arial" w:hAnsi="Arial" w:cs="Arial"/>
        </w:rPr>
        <w:t>, když po</w:t>
      </w:r>
      <w:r w:rsidR="001367D6" w:rsidRPr="00C36CC5">
        <w:rPr>
          <w:rFonts w:ascii="Arial" w:hAnsi="Arial" w:cs="Arial"/>
        </w:rPr>
        <w:t xml:space="preserve">depisoval finanční </w:t>
      </w:r>
      <w:r w:rsidR="002F585F" w:rsidRPr="00C61EC6">
        <w:rPr>
          <w:rFonts w:ascii="Arial" w:hAnsi="Arial" w:cs="Arial"/>
        </w:rPr>
        <w:t xml:space="preserve">krytí </w:t>
      </w:r>
      <w:r w:rsidR="00C36CC5" w:rsidRPr="00C36CC5">
        <w:rPr>
          <w:rFonts w:ascii="Arial" w:hAnsi="Arial" w:cs="Arial"/>
        </w:rPr>
        <w:t xml:space="preserve">nad rámec </w:t>
      </w:r>
      <w:r w:rsidR="001367D6" w:rsidRPr="00C36CC5">
        <w:rPr>
          <w:rFonts w:ascii="Arial" w:hAnsi="Arial" w:cs="Arial"/>
        </w:rPr>
        <w:t>limitu</w:t>
      </w:r>
      <w:r w:rsidR="00973536" w:rsidRPr="00C36CC5">
        <w:rPr>
          <w:rFonts w:ascii="Arial" w:hAnsi="Arial" w:cs="Arial"/>
        </w:rPr>
        <w:t>;</w:t>
      </w:r>
      <w:r w:rsidR="001367D6" w:rsidRPr="00C36CC5">
        <w:rPr>
          <w:rFonts w:ascii="Arial" w:hAnsi="Arial" w:cs="Arial"/>
        </w:rPr>
        <w:t xml:space="preserve"> </w:t>
      </w:r>
    </w:p>
    <w:p w:rsidR="001367D6" w:rsidRPr="00C36CC5" w:rsidRDefault="00E141DE" w:rsidP="002642E7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36CC5">
        <w:rPr>
          <w:rFonts w:ascii="Arial" w:hAnsi="Arial" w:cs="Arial"/>
        </w:rPr>
        <w:t>ú</w:t>
      </w:r>
      <w:r w:rsidR="001367D6" w:rsidRPr="00C36CC5">
        <w:rPr>
          <w:rFonts w:ascii="Arial" w:hAnsi="Arial" w:cs="Arial"/>
        </w:rPr>
        <w:t>hrada předmětu plnění</w:t>
      </w:r>
      <w:r w:rsidR="00745070" w:rsidRPr="00C36CC5">
        <w:rPr>
          <w:rFonts w:ascii="Arial" w:hAnsi="Arial" w:cs="Arial"/>
        </w:rPr>
        <w:t xml:space="preserve"> </w:t>
      </w:r>
      <w:r w:rsidR="000868B0">
        <w:rPr>
          <w:rFonts w:ascii="Arial" w:hAnsi="Arial" w:cs="Arial"/>
        </w:rPr>
        <w:t xml:space="preserve">proběhla </w:t>
      </w:r>
      <w:r w:rsidR="00745070" w:rsidRPr="00C36CC5">
        <w:rPr>
          <w:rFonts w:ascii="Arial" w:hAnsi="Arial" w:cs="Arial"/>
        </w:rPr>
        <w:t>bez odsouhlasení</w:t>
      </w:r>
      <w:r w:rsidR="002157C5">
        <w:rPr>
          <w:rFonts w:ascii="Arial" w:hAnsi="Arial" w:cs="Arial"/>
        </w:rPr>
        <w:t xml:space="preserve"> objemu a kompletnosti služeb a </w:t>
      </w:r>
      <w:r w:rsidR="00745070" w:rsidRPr="00C36CC5">
        <w:rPr>
          <w:rFonts w:ascii="Arial" w:hAnsi="Arial" w:cs="Arial"/>
        </w:rPr>
        <w:t xml:space="preserve">převzetí </w:t>
      </w:r>
      <w:r w:rsidRPr="00C36CC5">
        <w:rPr>
          <w:rFonts w:ascii="Arial" w:hAnsi="Arial" w:cs="Arial"/>
        </w:rPr>
        <w:t>P</w:t>
      </w:r>
      <w:r w:rsidR="00745070" w:rsidRPr="00C36CC5">
        <w:rPr>
          <w:rFonts w:ascii="Arial" w:hAnsi="Arial" w:cs="Arial"/>
        </w:rPr>
        <w:t>HM do vlastních úložišť</w:t>
      </w:r>
      <w:r w:rsidR="00973536" w:rsidRPr="00C36CC5">
        <w:rPr>
          <w:rFonts w:ascii="Arial" w:hAnsi="Arial" w:cs="Arial"/>
        </w:rPr>
        <w:t>;</w:t>
      </w:r>
    </w:p>
    <w:p w:rsidR="001367D6" w:rsidRPr="00B83B59" w:rsidRDefault="000868B0" w:rsidP="00B83B59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 </w:t>
      </w:r>
      <w:r w:rsidR="00CE21B4">
        <w:rPr>
          <w:rFonts w:ascii="Arial" w:hAnsi="Arial" w:cs="Arial"/>
        </w:rPr>
        <w:t>neodůvodněně rozšířen</w:t>
      </w:r>
      <w:r w:rsidR="001367D6" w:rsidRPr="00973536">
        <w:rPr>
          <w:rFonts w:ascii="Arial" w:hAnsi="Arial" w:cs="Arial"/>
        </w:rPr>
        <w:t xml:space="preserve"> předmět kupní smlouvy</w:t>
      </w:r>
      <w:r w:rsidR="00E141DE" w:rsidRPr="00B83B59">
        <w:rPr>
          <w:rFonts w:ascii="Arial" w:hAnsi="Arial" w:cs="Arial"/>
        </w:rPr>
        <w:t>.</w:t>
      </w:r>
    </w:p>
    <w:p w:rsidR="00E141DE" w:rsidRDefault="00E141DE" w:rsidP="007F427C">
      <w:pPr>
        <w:spacing w:after="0" w:line="240" w:lineRule="auto"/>
        <w:ind w:hanging="426"/>
        <w:jc w:val="both"/>
        <w:rPr>
          <w:rFonts w:ascii="Arial" w:hAnsi="Arial" w:cs="Arial"/>
        </w:rPr>
      </w:pPr>
    </w:p>
    <w:p w:rsidR="00E141DE" w:rsidRPr="00745070" w:rsidRDefault="00E141DE" w:rsidP="007F427C">
      <w:pPr>
        <w:spacing w:after="0" w:line="240" w:lineRule="auto"/>
        <w:ind w:hanging="426"/>
        <w:jc w:val="both"/>
        <w:rPr>
          <w:rFonts w:ascii="Arial" w:hAnsi="Arial" w:cs="Arial"/>
        </w:rPr>
      </w:pPr>
    </w:p>
    <w:bookmarkEnd w:id="0"/>
    <w:p w:rsidR="000B46D7" w:rsidRPr="002D0A6E" w:rsidRDefault="002D0A6E" w:rsidP="002D0A6E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FA3A86" w:rsidRPr="002D0A6E">
        <w:rPr>
          <w:rFonts w:ascii="Arial" w:hAnsi="Arial" w:cs="Arial"/>
          <w:b/>
          <w:sz w:val="24"/>
          <w:szCs w:val="24"/>
        </w:rPr>
        <w:t>Shrnutí a v</w:t>
      </w:r>
      <w:r w:rsidR="00743EF0" w:rsidRPr="002D0A6E">
        <w:rPr>
          <w:rFonts w:ascii="Arial" w:hAnsi="Arial" w:cs="Arial"/>
          <w:b/>
          <w:sz w:val="24"/>
          <w:szCs w:val="24"/>
        </w:rPr>
        <w:t>yhodnocení</w:t>
      </w:r>
    </w:p>
    <w:p w:rsidR="00A96012" w:rsidRDefault="00A96012" w:rsidP="007F42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6012" w:rsidRDefault="00A96012" w:rsidP="00122438">
      <w:pPr>
        <w:spacing w:after="0" w:line="240" w:lineRule="auto"/>
        <w:jc w:val="both"/>
        <w:rPr>
          <w:rFonts w:ascii="Arial" w:hAnsi="Arial" w:cs="Arial"/>
        </w:rPr>
      </w:pPr>
      <w:r w:rsidRPr="00A96012">
        <w:rPr>
          <w:rFonts w:ascii="Arial" w:hAnsi="Arial" w:cs="Arial"/>
        </w:rPr>
        <w:t>Centrální nákup</w:t>
      </w:r>
      <w:r>
        <w:rPr>
          <w:rFonts w:ascii="Arial" w:hAnsi="Arial" w:cs="Arial"/>
        </w:rPr>
        <w:t xml:space="preserve"> formou pilotního projektu zahájilo MV v roce 2008, tj. </w:t>
      </w:r>
      <w:r w:rsidR="00C04756">
        <w:rPr>
          <w:rFonts w:ascii="Arial" w:hAnsi="Arial" w:cs="Arial"/>
        </w:rPr>
        <w:t xml:space="preserve">přibližně </w:t>
      </w:r>
      <w:r w:rsidR="00CE21B4">
        <w:rPr>
          <w:rFonts w:ascii="Arial" w:hAnsi="Arial" w:cs="Arial"/>
        </w:rPr>
        <w:t>o </w:t>
      </w:r>
      <w:r w:rsidR="00587EB9">
        <w:rPr>
          <w:rFonts w:ascii="Arial" w:hAnsi="Arial" w:cs="Arial"/>
        </w:rPr>
        <w:t xml:space="preserve">čtyři </w:t>
      </w:r>
      <w:r>
        <w:rPr>
          <w:rFonts w:ascii="Arial" w:hAnsi="Arial" w:cs="Arial"/>
        </w:rPr>
        <w:t xml:space="preserve">roky </w:t>
      </w:r>
      <w:r w:rsidR="00CE21B4">
        <w:rPr>
          <w:rFonts w:ascii="Arial" w:hAnsi="Arial" w:cs="Arial"/>
        </w:rPr>
        <w:t>dříve</w:t>
      </w:r>
      <w:r>
        <w:rPr>
          <w:rFonts w:ascii="Arial" w:hAnsi="Arial" w:cs="Arial"/>
        </w:rPr>
        <w:t xml:space="preserve">, než vláda uložila </w:t>
      </w:r>
      <w:r w:rsidR="00C04756">
        <w:rPr>
          <w:rFonts w:ascii="Arial" w:hAnsi="Arial" w:cs="Arial"/>
        </w:rPr>
        <w:t>č</w:t>
      </w:r>
      <w:r w:rsidR="00C04756" w:rsidRPr="00C04756">
        <w:rPr>
          <w:rFonts w:ascii="Arial" w:hAnsi="Arial" w:cs="Arial"/>
        </w:rPr>
        <w:t>lenům vlády a vedoucím ostatních ústředních orgánů státní správy</w:t>
      </w:r>
      <w:r w:rsidR="00C047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zavést centralizované zadávání</w:t>
      </w:r>
      <w:r w:rsidR="00C04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04756">
        <w:rPr>
          <w:rFonts w:ascii="Arial" w:hAnsi="Arial" w:cs="Arial"/>
        </w:rPr>
        <w:t>Hlavním cílem projektu bylo zefektivn</w:t>
      </w:r>
      <w:r w:rsidR="00CE21B4">
        <w:rPr>
          <w:rFonts w:ascii="Arial" w:hAnsi="Arial" w:cs="Arial"/>
        </w:rPr>
        <w:t>ění</w:t>
      </w:r>
      <w:r w:rsidRPr="00C04756">
        <w:rPr>
          <w:rFonts w:ascii="Arial" w:hAnsi="Arial" w:cs="Arial"/>
        </w:rPr>
        <w:t xml:space="preserve"> a</w:t>
      </w:r>
      <w:r w:rsidR="00CE21B4">
        <w:rPr>
          <w:rFonts w:ascii="Arial" w:hAnsi="Arial" w:cs="Arial"/>
        </w:rPr>
        <w:t> </w:t>
      </w:r>
      <w:r w:rsidRPr="00C04756">
        <w:rPr>
          <w:rFonts w:ascii="Arial" w:hAnsi="Arial" w:cs="Arial"/>
        </w:rPr>
        <w:t>zjednoduš</w:t>
      </w:r>
      <w:r w:rsidR="00CE21B4">
        <w:rPr>
          <w:rFonts w:ascii="Arial" w:hAnsi="Arial" w:cs="Arial"/>
        </w:rPr>
        <w:t>ení</w:t>
      </w:r>
      <w:r w:rsidRPr="00C04756">
        <w:rPr>
          <w:rFonts w:ascii="Arial" w:hAnsi="Arial" w:cs="Arial"/>
        </w:rPr>
        <w:t xml:space="preserve"> systém</w:t>
      </w:r>
      <w:r w:rsidR="00CE21B4">
        <w:rPr>
          <w:rFonts w:ascii="Arial" w:hAnsi="Arial" w:cs="Arial"/>
        </w:rPr>
        <w:t>u</w:t>
      </w:r>
      <w:r w:rsidRPr="00C04756">
        <w:rPr>
          <w:rFonts w:ascii="Arial" w:hAnsi="Arial" w:cs="Arial"/>
        </w:rPr>
        <w:t xml:space="preserve"> nákupů</w:t>
      </w:r>
      <w:r w:rsidR="00C04756" w:rsidRPr="00C04756">
        <w:rPr>
          <w:rFonts w:ascii="Arial" w:hAnsi="Arial" w:cs="Arial"/>
        </w:rPr>
        <w:t xml:space="preserve"> včetně dosažení úspor.</w:t>
      </w:r>
    </w:p>
    <w:p w:rsidR="00C04756" w:rsidRDefault="00C04756" w:rsidP="00122438">
      <w:pPr>
        <w:spacing w:after="0" w:line="240" w:lineRule="auto"/>
        <w:jc w:val="both"/>
        <w:rPr>
          <w:rFonts w:ascii="Arial" w:hAnsi="Arial" w:cs="Arial"/>
        </w:rPr>
      </w:pPr>
    </w:p>
    <w:p w:rsidR="00A96012" w:rsidRDefault="00A96012" w:rsidP="001224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Předpokládaný objem nákupů od roku 2008 do roku 2011 </w:t>
      </w:r>
      <w:r w:rsidR="00652621">
        <w:rPr>
          <w:rFonts w:ascii="Arial" w:hAnsi="Arial" w:cs="Arial"/>
        </w:rPr>
        <w:t>měl činit cca 2 mld. Kč</w:t>
      </w:r>
      <w:r w:rsidR="00257529">
        <w:rPr>
          <w:rFonts w:ascii="Arial" w:hAnsi="Arial" w:cs="Arial"/>
        </w:rPr>
        <w:t>. V</w:t>
      </w:r>
      <w:r w:rsidR="00587EB9">
        <w:rPr>
          <w:rFonts w:ascii="Arial" w:hAnsi="Arial" w:cs="Arial"/>
        </w:rPr>
        <w:t> rámci těchto nákupů měla být dosažena</w:t>
      </w:r>
      <w:r w:rsidR="00652621">
        <w:rPr>
          <w:rFonts w:ascii="Arial" w:hAnsi="Arial" w:cs="Arial"/>
        </w:rPr>
        <w:t xml:space="preserve"> úspor</w:t>
      </w:r>
      <w:r w:rsidR="00587EB9">
        <w:rPr>
          <w:rFonts w:ascii="Arial" w:hAnsi="Arial" w:cs="Arial"/>
        </w:rPr>
        <w:t>a</w:t>
      </w:r>
      <w:r w:rsidR="00652621">
        <w:rPr>
          <w:rFonts w:ascii="Arial" w:hAnsi="Arial" w:cs="Arial"/>
        </w:rPr>
        <w:t xml:space="preserve"> ve výši 170 </w:t>
      </w:r>
      <w:r w:rsidR="00257529">
        <w:rPr>
          <w:rFonts w:ascii="Arial" w:hAnsi="Arial" w:cs="Arial"/>
        </w:rPr>
        <w:t>mil. Kč a</w:t>
      </w:r>
      <w:r w:rsidR="007613E3">
        <w:rPr>
          <w:rFonts w:ascii="Arial" w:hAnsi="Arial" w:cs="Arial"/>
        </w:rPr>
        <w:t xml:space="preserve"> </w:t>
      </w:r>
      <w:r w:rsidR="00257529">
        <w:rPr>
          <w:rFonts w:ascii="Arial" w:hAnsi="Arial" w:cs="Arial"/>
        </w:rPr>
        <w:t>d</w:t>
      </w:r>
      <w:r w:rsidR="007613E3">
        <w:rPr>
          <w:rFonts w:ascii="Arial" w:hAnsi="Arial" w:cs="Arial"/>
        </w:rPr>
        <w:t>alší</w:t>
      </w:r>
      <w:r w:rsidR="00587EB9">
        <w:rPr>
          <w:rFonts w:ascii="Arial" w:hAnsi="Arial" w:cs="Arial"/>
        </w:rPr>
        <w:t xml:space="preserve">m přínosem </w:t>
      </w:r>
      <w:r w:rsidR="0088713D">
        <w:rPr>
          <w:rFonts w:ascii="Arial" w:hAnsi="Arial" w:cs="Arial"/>
        </w:rPr>
        <w:t>odhadovan</w:t>
      </w:r>
      <w:r w:rsidR="009A266D">
        <w:rPr>
          <w:rFonts w:ascii="Arial" w:hAnsi="Arial" w:cs="Arial"/>
        </w:rPr>
        <w:t xml:space="preserve">ým </w:t>
      </w:r>
      <w:r w:rsidR="0088713D">
        <w:rPr>
          <w:rFonts w:ascii="Arial" w:hAnsi="Arial" w:cs="Arial"/>
        </w:rPr>
        <w:t>na</w:t>
      </w:r>
      <w:r w:rsidR="007613E3">
        <w:rPr>
          <w:rFonts w:ascii="Arial" w:hAnsi="Arial" w:cs="Arial"/>
        </w:rPr>
        <w:t xml:space="preserve"> 105 mil. Kč</w:t>
      </w:r>
      <w:r w:rsidR="009A266D">
        <w:rPr>
          <w:rFonts w:ascii="Arial" w:hAnsi="Arial" w:cs="Arial"/>
        </w:rPr>
        <w:t xml:space="preserve"> mělo</w:t>
      </w:r>
      <w:r w:rsidR="007613E3">
        <w:rPr>
          <w:rFonts w:ascii="Arial" w:hAnsi="Arial" w:cs="Arial"/>
        </w:rPr>
        <w:t xml:space="preserve"> být </w:t>
      </w:r>
      <w:r w:rsidR="00652621">
        <w:rPr>
          <w:rFonts w:ascii="Arial" w:hAnsi="Arial" w:cs="Arial"/>
        </w:rPr>
        <w:t>snížení</w:t>
      </w:r>
      <w:r w:rsidR="007613E3">
        <w:rPr>
          <w:rFonts w:ascii="Arial" w:hAnsi="Arial" w:cs="Arial"/>
        </w:rPr>
        <w:t xml:space="preserve"> </w:t>
      </w:r>
      <w:r w:rsidR="00C04756">
        <w:rPr>
          <w:rFonts w:ascii="Arial" w:hAnsi="Arial" w:cs="Arial"/>
        </w:rPr>
        <w:t>počtu zaměstnanců.</w:t>
      </w:r>
    </w:p>
    <w:p w:rsidR="009A266D" w:rsidRDefault="009A266D" w:rsidP="009A266D">
      <w:pPr>
        <w:spacing w:after="0" w:line="240" w:lineRule="auto"/>
        <w:jc w:val="both"/>
        <w:rPr>
          <w:rFonts w:ascii="Arial" w:hAnsi="Arial" w:cs="Arial"/>
          <w:bCs/>
        </w:rPr>
      </w:pPr>
    </w:p>
    <w:p w:rsidR="009A266D" w:rsidRDefault="009A266D" w:rsidP="009A26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MV do konce roku 2011 vykázalo celkový objem nákupů realizovaných prostřednictvím </w:t>
      </w:r>
      <w:proofErr w:type="spellStart"/>
      <w:r>
        <w:rPr>
          <w:rFonts w:ascii="Arial" w:hAnsi="Arial" w:cs="Arial"/>
          <w:bCs/>
        </w:rPr>
        <w:t>CN</w:t>
      </w:r>
      <w:proofErr w:type="spellEnd"/>
      <w:r>
        <w:rPr>
          <w:rFonts w:ascii="Arial" w:hAnsi="Arial" w:cs="Arial"/>
          <w:bCs/>
        </w:rPr>
        <w:t xml:space="preserve"> ve výši 1,874 mld. Kč a dosažené úspory ve výši 475,9 mil. Kč.</w:t>
      </w:r>
      <w:r w:rsidR="0074622A">
        <w:rPr>
          <w:rFonts w:ascii="Arial" w:hAnsi="Arial" w:cs="Arial"/>
          <w:bCs/>
        </w:rPr>
        <w:t xml:space="preserve"> </w:t>
      </w:r>
      <w:r w:rsidR="00FF54A3">
        <w:rPr>
          <w:rFonts w:ascii="Arial" w:hAnsi="Arial" w:cs="Arial"/>
          <w:bCs/>
        </w:rPr>
        <w:t>V </w:t>
      </w:r>
      <w:r w:rsidR="0074622A">
        <w:rPr>
          <w:rFonts w:ascii="Arial" w:hAnsi="Arial" w:cs="Arial"/>
        </w:rPr>
        <w:t>oblast</w:t>
      </w:r>
      <w:r w:rsidR="001C373B">
        <w:rPr>
          <w:rFonts w:ascii="Arial" w:hAnsi="Arial" w:cs="Arial"/>
        </w:rPr>
        <w:t>i</w:t>
      </w:r>
      <w:r w:rsidR="0074622A">
        <w:rPr>
          <w:rFonts w:ascii="Arial" w:hAnsi="Arial" w:cs="Arial"/>
        </w:rPr>
        <w:t xml:space="preserve"> personální MV úspory</w:t>
      </w:r>
      <w:r w:rsidR="00257529">
        <w:rPr>
          <w:rFonts w:ascii="Arial" w:hAnsi="Arial" w:cs="Arial"/>
        </w:rPr>
        <w:t xml:space="preserve"> </w:t>
      </w:r>
      <w:r w:rsidR="0074622A">
        <w:rPr>
          <w:rFonts w:ascii="Arial" w:hAnsi="Arial" w:cs="Arial"/>
        </w:rPr>
        <w:t>nesledovalo</w:t>
      </w:r>
      <w:r w:rsidR="004F045B">
        <w:rPr>
          <w:rFonts w:ascii="Arial" w:hAnsi="Arial" w:cs="Arial"/>
        </w:rPr>
        <w:t>.</w:t>
      </w:r>
      <w:r w:rsidR="0074622A">
        <w:rPr>
          <w:rFonts w:ascii="Arial" w:hAnsi="Arial" w:cs="Arial"/>
        </w:rPr>
        <w:t xml:space="preserve"> </w:t>
      </w:r>
    </w:p>
    <w:p w:rsidR="00A96012" w:rsidRPr="00A96012" w:rsidRDefault="00A96012" w:rsidP="00A96012">
      <w:pPr>
        <w:spacing w:after="0" w:line="240" w:lineRule="auto"/>
        <w:rPr>
          <w:rFonts w:ascii="Arial" w:hAnsi="Arial" w:cs="Arial"/>
        </w:rPr>
      </w:pPr>
    </w:p>
    <w:p w:rsidR="00AC1C16" w:rsidRDefault="007F4B1F" w:rsidP="00F629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</w:t>
      </w:r>
      <w:r w:rsidR="007613E3">
        <w:rPr>
          <w:rFonts w:ascii="Arial" w:hAnsi="Arial" w:cs="Arial"/>
        </w:rPr>
        <w:t>NKÚ se zaměřila především na zavedení systému centráln</w:t>
      </w:r>
      <w:r w:rsidR="00AC1C16">
        <w:rPr>
          <w:rFonts w:ascii="Arial" w:hAnsi="Arial" w:cs="Arial"/>
        </w:rPr>
        <w:t xml:space="preserve">ího nákupu, jeho realizaci a </w:t>
      </w:r>
      <w:r w:rsidR="0088713D">
        <w:rPr>
          <w:rFonts w:ascii="Arial" w:hAnsi="Arial" w:cs="Arial"/>
        </w:rPr>
        <w:t xml:space="preserve">ověření vykazovaných </w:t>
      </w:r>
      <w:r w:rsidR="007613E3">
        <w:rPr>
          <w:rFonts w:ascii="Arial" w:hAnsi="Arial" w:cs="Arial"/>
        </w:rPr>
        <w:t xml:space="preserve">přínosů; podrobně byl </w:t>
      </w:r>
      <w:r w:rsidR="0088713D">
        <w:rPr>
          <w:rFonts w:ascii="Arial" w:hAnsi="Arial" w:cs="Arial"/>
        </w:rPr>
        <w:t>kontrolov</w:t>
      </w:r>
      <w:r w:rsidR="007613E3">
        <w:rPr>
          <w:rFonts w:ascii="Arial" w:hAnsi="Arial" w:cs="Arial"/>
        </w:rPr>
        <w:t>án nákup tří komodit</w:t>
      </w:r>
      <w:r w:rsidR="009A266D" w:rsidRPr="009A266D">
        <w:rPr>
          <w:rFonts w:ascii="Arial" w:hAnsi="Arial" w:cs="Arial"/>
        </w:rPr>
        <w:t xml:space="preserve"> </w:t>
      </w:r>
      <w:r w:rsidR="009A266D">
        <w:rPr>
          <w:rFonts w:ascii="Arial" w:hAnsi="Arial" w:cs="Arial"/>
        </w:rPr>
        <w:t>v letech 2008 až 2012</w:t>
      </w:r>
      <w:r w:rsidR="007613E3">
        <w:rPr>
          <w:rFonts w:ascii="Arial" w:hAnsi="Arial" w:cs="Arial"/>
        </w:rPr>
        <w:t xml:space="preserve">, a to </w:t>
      </w:r>
      <w:r w:rsidR="0088713D">
        <w:rPr>
          <w:rFonts w:ascii="Arial" w:hAnsi="Arial" w:cs="Arial"/>
        </w:rPr>
        <w:t xml:space="preserve">komodity </w:t>
      </w:r>
      <w:r w:rsidR="007613E3">
        <w:rPr>
          <w:rFonts w:ascii="Arial" w:hAnsi="Arial" w:cs="Arial"/>
        </w:rPr>
        <w:t>pohonn</w:t>
      </w:r>
      <w:r w:rsidR="00AC1C16">
        <w:rPr>
          <w:rFonts w:ascii="Arial" w:hAnsi="Arial" w:cs="Arial"/>
        </w:rPr>
        <w:t>é</w:t>
      </w:r>
      <w:r w:rsidR="007613E3">
        <w:rPr>
          <w:rFonts w:ascii="Arial" w:hAnsi="Arial" w:cs="Arial"/>
        </w:rPr>
        <w:t xml:space="preserve"> hmot</w:t>
      </w:r>
      <w:r w:rsidR="00AC1C16">
        <w:rPr>
          <w:rFonts w:ascii="Arial" w:hAnsi="Arial" w:cs="Arial"/>
        </w:rPr>
        <w:t>y</w:t>
      </w:r>
      <w:r w:rsidR="007613E3">
        <w:rPr>
          <w:rFonts w:ascii="Arial" w:hAnsi="Arial" w:cs="Arial"/>
        </w:rPr>
        <w:t>, elektri</w:t>
      </w:r>
      <w:r w:rsidR="00AC1C16">
        <w:rPr>
          <w:rFonts w:ascii="Arial" w:hAnsi="Arial" w:cs="Arial"/>
        </w:rPr>
        <w:t>cká energie a xerografický papír</w:t>
      </w:r>
      <w:r w:rsidR="007613E3">
        <w:rPr>
          <w:rFonts w:ascii="Arial" w:hAnsi="Arial" w:cs="Arial"/>
        </w:rPr>
        <w:t xml:space="preserve">. </w:t>
      </w:r>
    </w:p>
    <w:p w:rsidR="004926E0" w:rsidRDefault="004926E0" w:rsidP="00F629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Úspora vykazovaná MV</w:t>
      </w:r>
      <w:r w:rsidR="00927CC1">
        <w:rPr>
          <w:rFonts w:ascii="Arial" w:hAnsi="Arial" w:cs="Arial"/>
        </w:rPr>
        <w:t xml:space="preserve"> </w:t>
      </w:r>
      <w:r w:rsidR="00024056">
        <w:rPr>
          <w:rFonts w:ascii="Arial" w:hAnsi="Arial" w:cs="Arial"/>
        </w:rPr>
        <w:t>za</w:t>
      </w:r>
      <w:r w:rsidR="009A266D">
        <w:rPr>
          <w:rFonts w:ascii="Arial" w:hAnsi="Arial" w:cs="Arial"/>
        </w:rPr>
        <w:t xml:space="preserve"> sledovan</w:t>
      </w:r>
      <w:r w:rsidR="00024056">
        <w:rPr>
          <w:rFonts w:ascii="Arial" w:hAnsi="Arial" w:cs="Arial"/>
        </w:rPr>
        <w:t>é</w:t>
      </w:r>
      <w:r w:rsidR="00C23787">
        <w:rPr>
          <w:rFonts w:ascii="Arial" w:hAnsi="Arial" w:cs="Arial"/>
        </w:rPr>
        <w:t xml:space="preserve"> </w:t>
      </w:r>
      <w:r w:rsidR="00024056">
        <w:rPr>
          <w:rFonts w:ascii="Arial" w:hAnsi="Arial" w:cs="Arial"/>
        </w:rPr>
        <w:t>roky</w:t>
      </w:r>
      <w:r w:rsidR="000332FD">
        <w:rPr>
          <w:rFonts w:ascii="Arial" w:hAnsi="Arial" w:cs="Arial"/>
        </w:rPr>
        <w:t xml:space="preserve"> </w:t>
      </w:r>
      <w:r w:rsidR="009A266D">
        <w:rPr>
          <w:rFonts w:ascii="Arial" w:hAnsi="Arial" w:cs="Arial"/>
        </w:rPr>
        <w:t xml:space="preserve">činila </w:t>
      </w:r>
      <w:r w:rsidR="000332FD">
        <w:rPr>
          <w:rFonts w:ascii="Arial" w:hAnsi="Arial" w:cs="Arial"/>
        </w:rPr>
        <w:t>u komodity PHM celkem 70 488</w:t>
      </w:r>
      <w:r w:rsidR="00C23787">
        <w:rPr>
          <w:rFonts w:ascii="Arial" w:hAnsi="Arial" w:cs="Arial"/>
        </w:rPr>
        <w:t> </w:t>
      </w:r>
      <w:r w:rsidR="000332FD">
        <w:rPr>
          <w:rFonts w:ascii="Arial" w:hAnsi="Arial" w:cs="Arial"/>
        </w:rPr>
        <w:t>943</w:t>
      </w:r>
      <w:r w:rsidR="00C23787">
        <w:rPr>
          <w:rFonts w:ascii="Arial" w:hAnsi="Arial" w:cs="Arial"/>
        </w:rPr>
        <w:t> </w:t>
      </w:r>
      <w:r w:rsidR="000332FD">
        <w:rPr>
          <w:rFonts w:ascii="Arial" w:hAnsi="Arial" w:cs="Arial"/>
        </w:rPr>
        <w:t xml:space="preserve">Kč (7,44 %), u komodity xerografický papír </w:t>
      </w:r>
      <w:r w:rsidR="009A266D">
        <w:rPr>
          <w:rFonts w:ascii="Arial" w:hAnsi="Arial" w:cs="Arial"/>
        </w:rPr>
        <w:t xml:space="preserve">celkem </w:t>
      </w:r>
      <w:r w:rsidR="000332FD">
        <w:rPr>
          <w:rFonts w:ascii="Arial" w:hAnsi="Arial" w:cs="Arial"/>
        </w:rPr>
        <w:t>102 526 769 Kč (45 %</w:t>
      </w:r>
      <w:r w:rsidR="00540BD6">
        <w:rPr>
          <w:rFonts w:ascii="Arial" w:hAnsi="Arial" w:cs="Arial"/>
        </w:rPr>
        <w:t>) a</w:t>
      </w:r>
      <w:r w:rsidR="00C23787">
        <w:rPr>
          <w:rFonts w:ascii="Arial" w:hAnsi="Arial" w:cs="Arial"/>
        </w:rPr>
        <w:t> </w:t>
      </w:r>
      <w:r w:rsidR="00540BD6">
        <w:rPr>
          <w:rFonts w:ascii="Arial" w:hAnsi="Arial" w:cs="Arial"/>
        </w:rPr>
        <w:t>u</w:t>
      </w:r>
      <w:r w:rsidR="00C23787">
        <w:rPr>
          <w:rFonts w:ascii="Arial" w:hAnsi="Arial" w:cs="Arial"/>
        </w:rPr>
        <w:t> </w:t>
      </w:r>
      <w:r w:rsidR="00540BD6">
        <w:rPr>
          <w:rFonts w:ascii="Arial" w:hAnsi="Arial" w:cs="Arial"/>
        </w:rPr>
        <w:t>komodity</w:t>
      </w:r>
      <w:r w:rsidR="000332FD">
        <w:rPr>
          <w:rFonts w:ascii="Arial" w:hAnsi="Arial" w:cs="Arial"/>
        </w:rPr>
        <w:t xml:space="preserve"> elektrická energie</w:t>
      </w:r>
      <w:r w:rsidR="009A266D">
        <w:rPr>
          <w:rFonts w:ascii="Arial" w:hAnsi="Arial" w:cs="Arial"/>
        </w:rPr>
        <w:t xml:space="preserve"> celkem</w:t>
      </w:r>
      <w:r w:rsidR="000332FD">
        <w:rPr>
          <w:rFonts w:ascii="Arial" w:hAnsi="Arial" w:cs="Arial"/>
        </w:rPr>
        <w:t xml:space="preserve"> 128 651 766 Kč (19,5 %).</w:t>
      </w:r>
    </w:p>
    <w:p w:rsidR="002B6F60" w:rsidRDefault="002B6F60" w:rsidP="002B6F60">
      <w:pPr>
        <w:spacing w:after="0" w:line="240" w:lineRule="auto"/>
        <w:jc w:val="both"/>
        <w:rPr>
          <w:rFonts w:ascii="Arial" w:hAnsi="Arial" w:cs="Arial"/>
        </w:rPr>
      </w:pPr>
    </w:p>
    <w:p w:rsidR="001C373B" w:rsidRDefault="001C373B" w:rsidP="002B6F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Výsledky kontroly dokládají určité zkreslení vykazovaných úspo</w:t>
      </w:r>
      <w:r w:rsidR="00006E5A">
        <w:rPr>
          <w:rFonts w:ascii="Arial" w:hAnsi="Arial" w:cs="Arial"/>
          <w:bCs/>
        </w:rPr>
        <w:t>r.</w:t>
      </w:r>
    </w:p>
    <w:p w:rsidR="001C373B" w:rsidRDefault="001C373B" w:rsidP="002B6F60">
      <w:pPr>
        <w:spacing w:after="0" w:line="240" w:lineRule="auto"/>
        <w:jc w:val="both"/>
        <w:rPr>
          <w:rFonts w:ascii="Arial" w:hAnsi="Arial" w:cs="Arial"/>
        </w:rPr>
      </w:pPr>
    </w:p>
    <w:p w:rsidR="005A4BCF" w:rsidRDefault="0088713D" w:rsidP="003B0E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B6F60">
        <w:rPr>
          <w:rFonts w:ascii="Arial" w:hAnsi="Arial" w:cs="Arial"/>
        </w:rPr>
        <w:t xml:space="preserve">osažení úspor sleduje </w:t>
      </w:r>
      <w:r>
        <w:rPr>
          <w:rFonts w:ascii="Arial" w:hAnsi="Arial" w:cs="Arial"/>
        </w:rPr>
        <w:t xml:space="preserve">MV </w:t>
      </w:r>
      <w:r w:rsidR="002B6F60">
        <w:rPr>
          <w:rFonts w:ascii="Arial" w:hAnsi="Arial" w:cs="Arial"/>
        </w:rPr>
        <w:t>pomocí svého informačního systému, kter</w:t>
      </w:r>
      <w:r w:rsidR="00110B09">
        <w:rPr>
          <w:rFonts w:ascii="Arial" w:hAnsi="Arial" w:cs="Arial"/>
        </w:rPr>
        <w:t>ý</w:t>
      </w:r>
      <w:r w:rsidR="002B6F60">
        <w:rPr>
          <w:rFonts w:ascii="Arial" w:hAnsi="Arial" w:cs="Arial"/>
        </w:rPr>
        <w:t xml:space="preserve"> však ne</w:t>
      </w:r>
      <w:r w:rsidR="00110B09">
        <w:rPr>
          <w:rFonts w:ascii="Arial" w:hAnsi="Arial" w:cs="Arial"/>
        </w:rPr>
        <w:t xml:space="preserve">obsahoval za sledované </w:t>
      </w:r>
      <w:r w:rsidR="002B6F60">
        <w:rPr>
          <w:rFonts w:ascii="Arial" w:hAnsi="Arial" w:cs="Arial"/>
        </w:rPr>
        <w:t xml:space="preserve">období vždy </w:t>
      </w:r>
      <w:r w:rsidR="00110B09">
        <w:rPr>
          <w:rFonts w:ascii="Arial" w:hAnsi="Arial" w:cs="Arial"/>
        </w:rPr>
        <w:t>spolehlivá d</w:t>
      </w:r>
      <w:r w:rsidR="002B6F60">
        <w:rPr>
          <w:rFonts w:ascii="Arial" w:hAnsi="Arial" w:cs="Arial"/>
        </w:rPr>
        <w:t>ata. Chybami především při</w:t>
      </w:r>
      <w:r w:rsidR="00110B09">
        <w:rPr>
          <w:rFonts w:ascii="Arial" w:hAnsi="Arial" w:cs="Arial"/>
        </w:rPr>
        <w:t xml:space="preserve"> </w:t>
      </w:r>
      <w:r w:rsidR="002B6F60">
        <w:rPr>
          <w:rFonts w:ascii="Arial" w:hAnsi="Arial" w:cs="Arial"/>
        </w:rPr>
        <w:t xml:space="preserve">zadávání </w:t>
      </w:r>
      <w:r w:rsidR="009A266D">
        <w:rPr>
          <w:rFonts w:ascii="Arial" w:hAnsi="Arial" w:cs="Arial"/>
        </w:rPr>
        <w:t>údajů d</w:t>
      </w:r>
      <w:r w:rsidR="003B0E09">
        <w:rPr>
          <w:rFonts w:ascii="Arial" w:hAnsi="Arial" w:cs="Arial"/>
        </w:rPr>
        <w:t xml:space="preserve">ochází ke zpochybnění výstupů </w:t>
      </w:r>
      <w:r w:rsidR="00FF54A3">
        <w:rPr>
          <w:rFonts w:ascii="Arial" w:hAnsi="Arial" w:cs="Arial"/>
        </w:rPr>
        <w:t>z </w:t>
      </w:r>
      <w:r w:rsidR="009A266D">
        <w:rPr>
          <w:rFonts w:ascii="Arial" w:hAnsi="Arial" w:cs="Arial"/>
        </w:rPr>
        <w:t>tohoto</w:t>
      </w:r>
      <w:r w:rsidR="00110B09">
        <w:rPr>
          <w:rFonts w:ascii="Arial" w:hAnsi="Arial" w:cs="Arial"/>
        </w:rPr>
        <w:t xml:space="preserve"> systému</w:t>
      </w:r>
      <w:r w:rsidR="00024056">
        <w:rPr>
          <w:rFonts w:ascii="Arial" w:hAnsi="Arial" w:cs="Arial"/>
        </w:rPr>
        <w:t>,</w:t>
      </w:r>
      <w:r w:rsidR="00110B09">
        <w:rPr>
          <w:rFonts w:ascii="Arial" w:hAnsi="Arial" w:cs="Arial"/>
        </w:rPr>
        <w:t xml:space="preserve"> </w:t>
      </w:r>
      <w:r w:rsidR="003B0E09">
        <w:rPr>
          <w:rFonts w:ascii="Arial" w:hAnsi="Arial" w:cs="Arial"/>
        </w:rPr>
        <w:t xml:space="preserve">a tím i ke zpochybnění vykazovaných úspor. </w:t>
      </w:r>
      <w:r w:rsidR="00D47975">
        <w:rPr>
          <w:rFonts w:ascii="Arial" w:hAnsi="Arial" w:cs="Arial"/>
        </w:rPr>
        <w:t xml:space="preserve">Ke </w:t>
      </w:r>
      <w:r w:rsidR="00D47975">
        <w:rPr>
          <w:rFonts w:ascii="Arial" w:hAnsi="Arial" w:cs="Arial"/>
        </w:rPr>
        <w:lastRenderedPageBreak/>
        <w:t>zkreslení úspo</w:t>
      </w:r>
      <w:r w:rsidR="00006E5A">
        <w:rPr>
          <w:rFonts w:ascii="Arial" w:hAnsi="Arial" w:cs="Arial"/>
        </w:rPr>
        <w:t>r</w:t>
      </w:r>
      <w:r w:rsidR="00D47975">
        <w:rPr>
          <w:rFonts w:ascii="Arial" w:hAnsi="Arial" w:cs="Arial"/>
        </w:rPr>
        <w:t xml:space="preserve"> dochází také </w:t>
      </w:r>
      <w:r w:rsidR="0062189F">
        <w:rPr>
          <w:rFonts w:ascii="Arial" w:hAnsi="Arial" w:cs="Arial"/>
        </w:rPr>
        <w:t>z </w:t>
      </w:r>
      <w:r w:rsidR="00D47975">
        <w:rPr>
          <w:rFonts w:ascii="Arial" w:hAnsi="Arial" w:cs="Arial"/>
        </w:rPr>
        <w:t>důvodu</w:t>
      </w:r>
      <w:r w:rsidR="0062189F">
        <w:rPr>
          <w:rFonts w:ascii="Arial" w:hAnsi="Arial" w:cs="Arial"/>
        </w:rPr>
        <w:t xml:space="preserve"> srovnávání cen, které nevycház</w:t>
      </w:r>
      <w:r w:rsidR="00024056">
        <w:rPr>
          <w:rFonts w:ascii="Arial" w:hAnsi="Arial" w:cs="Arial"/>
        </w:rPr>
        <w:t>ej</w:t>
      </w:r>
      <w:r w:rsidR="0062189F">
        <w:rPr>
          <w:rFonts w:ascii="Arial" w:hAnsi="Arial" w:cs="Arial"/>
        </w:rPr>
        <w:t xml:space="preserve">í z objektivně zjištěné tržní ceny. </w:t>
      </w:r>
    </w:p>
    <w:p w:rsidR="002B6F60" w:rsidRDefault="002B6F60" w:rsidP="003B0E09">
      <w:pPr>
        <w:spacing w:after="0" w:line="240" w:lineRule="auto"/>
        <w:jc w:val="both"/>
        <w:rPr>
          <w:rFonts w:ascii="Arial" w:hAnsi="Arial" w:cs="Arial"/>
        </w:rPr>
      </w:pPr>
    </w:p>
    <w:p w:rsidR="005A4BCF" w:rsidRDefault="005A4BCF" w:rsidP="005A4BCF">
      <w:pPr>
        <w:spacing w:after="0" w:line="240" w:lineRule="auto"/>
        <w:jc w:val="both"/>
        <w:rPr>
          <w:rFonts w:ascii="Arial" w:hAnsi="Arial" w:cs="Arial"/>
        </w:rPr>
      </w:pPr>
      <w:r w:rsidRPr="00F54C1C">
        <w:rPr>
          <w:rFonts w:ascii="Arial" w:hAnsi="Arial" w:cs="Arial"/>
        </w:rPr>
        <w:t xml:space="preserve">Na základě výpočtů provedených u komodity elektrická energie lze učinit závěr, že </w:t>
      </w:r>
      <w:r w:rsidR="001C373B">
        <w:rPr>
          <w:rFonts w:ascii="Arial" w:hAnsi="Arial" w:cs="Arial"/>
        </w:rPr>
        <w:t>centrálním nákupem</w:t>
      </w:r>
      <w:r w:rsidR="001C373B" w:rsidRPr="00F54C1C">
        <w:rPr>
          <w:rFonts w:ascii="Arial" w:hAnsi="Arial" w:cs="Arial"/>
        </w:rPr>
        <w:t xml:space="preserve"> </w:t>
      </w:r>
      <w:r w:rsidRPr="00F54C1C">
        <w:rPr>
          <w:rFonts w:ascii="Arial" w:hAnsi="Arial" w:cs="Arial"/>
        </w:rPr>
        <w:t>bylo dosaženo příznivějších jednotkových cen.</w:t>
      </w:r>
    </w:p>
    <w:p w:rsidR="00110B09" w:rsidRDefault="00110B09" w:rsidP="00F62984">
      <w:pPr>
        <w:spacing w:after="0" w:line="240" w:lineRule="auto"/>
        <w:jc w:val="both"/>
        <w:rPr>
          <w:rFonts w:ascii="Arial" w:hAnsi="Arial" w:cs="Arial"/>
        </w:rPr>
      </w:pPr>
    </w:p>
    <w:p w:rsidR="005A4BCF" w:rsidRDefault="001C057D" w:rsidP="005A4B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Efektiv</w:t>
      </w:r>
      <w:r w:rsidR="003104C9">
        <w:rPr>
          <w:rFonts w:ascii="Arial" w:hAnsi="Arial" w:cs="Arial"/>
        </w:rPr>
        <w:t>nost</w:t>
      </w:r>
      <w:r>
        <w:rPr>
          <w:rFonts w:ascii="Arial" w:hAnsi="Arial" w:cs="Arial"/>
        </w:rPr>
        <w:t xml:space="preserve"> projektu</w:t>
      </w:r>
      <w:r w:rsidR="0062189F">
        <w:rPr>
          <w:rFonts w:ascii="Arial" w:hAnsi="Arial" w:cs="Arial"/>
        </w:rPr>
        <w:t>, později centralizovaného zadávání</w:t>
      </w:r>
      <w:r w:rsidR="006E0B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3290A">
        <w:rPr>
          <w:rFonts w:ascii="Arial" w:hAnsi="Arial" w:cs="Arial"/>
        </w:rPr>
        <w:t>negativně ovlivnily</w:t>
      </w:r>
      <w:r>
        <w:rPr>
          <w:rFonts w:ascii="Arial" w:hAnsi="Arial" w:cs="Arial"/>
        </w:rPr>
        <w:t xml:space="preserve"> tyto nedostatky: </w:t>
      </w:r>
    </w:p>
    <w:p w:rsidR="001C057D" w:rsidRPr="001C057D" w:rsidRDefault="001C057D" w:rsidP="00C23787">
      <w:pPr>
        <w:pStyle w:val="Odstavecseseznamem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MV nezajistilo funkční a personální oddělení činností spojených </w:t>
      </w:r>
      <w:r w:rsidR="003F6703">
        <w:rPr>
          <w:rFonts w:ascii="Arial" w:hAnsi="Arial" w:cs="Arial"/>
        </w:rPr>
        <w:t>s </w:t>
      </w:r>
      <w:r>
        <w:rPr>
          <w:rFonts w:ascii="Arial" w:hAnsi="Arial" w:cs="Arial"/>
        </w:rPr>
        <w:t>realizací</w:t>
      </w:r>
      <w:r w:rsidR="003F6703">
        <w:rPr>
          <w:rFonts w:ascii="Arial" w:hAnsi="Arial" w:cs="Arial"/>
        </w:rPr>
        <w:t xml:space="preserve"> od činností spojených s řízením a </w:t>
      </w:r>
      <w:r w:rsidR="00B83B59">
        <w:rPr>
          <w:rFonts w:ascii="Arial" w:hAnsi="Arial" w:cs="Arial"/>
        </w:rPr>
        <w:t xml:space="preserve">vyhodnocováním </w:t>
      </w:r>
      <w:proofErr w:type="spellStart"/>
      <w:r w:rsidR="00B83B59">
        <w:rPr>
          <w:rFonts w:ascii="Arial" w:hAnsi="Arial" w:cs="Arial"/>
        </w:rPr>
        <w:t>CN</w:t>
      </w:r>
      <w:proofErr w:type="spellEnd"/>
      <w:r>
        <w:rPr>
          <w:rFonts w:ascii="Arial" w:hAnsi="Arial" w:cs="Arial"/>
        </w:rPr>
        <w:t>;</w:t>
      </w:r>
    </w:p>
    <w:p w:rsidR="00540BD6" w:rsidRPr="005A4BCF" w:rsidRDefault="00110B09" w:rsidP="00C23787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A4BCF">
        <w:rPr>
          <w:rFonts w:ascii="Arial" w:hAnsi="Arial" w:cs="Arial"/>
        </w:rPr>
        <w:t xml:space="preserve">v rozporu s rámcovou smlouvou byly opakovaně koncem roku </w:t>
      </w:r>
      <w:r w:rsidR="00540BD6" w:rsidRPr="005A4BCF">
        <w:rPr>
          <w:rFonts w:ascii="Arial" w:hAnsi="Arial" w:cs="Arial"/>
        </w:rPr>
        <w:t>vyna</w:t>
      </w:r>
      <w:r w:rsidRPr="005A4BCF">
        <w:rPr>
          <w:rFonts w:ascii="Arial" w:hAnsi="Arial" w:cs="Arial"/>
        </w:rPr>
        <w:t xml:space="preserve">kládány jednorázově </w:t>
      </w:r>
      <w:r w:rsidR="00540BD6" w:rsidRPr="005A4BCF">
        <w:rPr>
          <w:rFonts w:ascii="Arial" w:hAnsi="Arial" w:cs="Arial"/>
        </w:rPr>
        <w:t>finanční prostředk</w:t>
      </w:r>
      <w:r w:rsidRPr="005A4BCF">
        <w:rPr>
          <w:rFonts w:ascii="Arial" w:hAnsi="Arial" w:cs="Arial"/>
        </w:rPr>
        <w:t>y</w:t>
      </w:r>
      <w:r w:rsidR="00540BD6" w:rsidRPr="005A4BCF">
        <w:rPr>
          <w:rFonts w:ascii="Arial" w:hAnsi="Arial" w:cs="Arial"/>
        </w:rPr>
        <w:t xml:space="preserve"> </w:t>
      </w:r>
      <w:r w:rsidR="003B0E09" w:rsidRPr="005A4BCF">
        <w:rPr>
          <w:rFonts w:ascii="Arial" w:hAnsi="Arial" w:cs="Arial"/>
        </w:rPr>
        <w:t xml:space="preserve">na </w:t>
      </w:r>
      <w:r w:rsidR="00540BD6" w:rsidRPr="005A4BCF">
        <w:rPr>
          <w:rFonts w:ascii="Arial" w:hAnsi="Arial" w:cs="Arial"/>
        </w:rPr>
        <w:t>tzv. „</w:t>
      </w:r>
      <w:proofErr w:type="spellStart"/>
      <w:r w:rsidR="00540BD6" w:rsidRPr="005A4BCF">
        <w:rPr>
          <w:rFonts w:ascii="Arial" w:hAnsi="Arial" w:cs="Arial"/>
        </w:rPr>
        <w:t>předkupy</w:t>
      </w:r>
      <w:proofErr w:type="spellEnd"/>
      <w:r w:rsidR="00540BD6" w:rsidRPr="005A4BCF">
        <w:rPr>
          <w:rFonts w:ascii="Arial" w:hAnsi="Arial" w:cs="Arial"/>
        </w:rPr>
        <w:t>“</w:t>
      </w:r>
      <w:r w:rsidR="00637093">
        <w:rPr>
          <w:rFonts w:ascii="Arial" w:hAnsi="Arial" w:cs="Arial"/>
        </w:rPr>
        <w:t xml:space="preserve"> –</w:t>
      </w:r>
      <w:r w:rsidR="00540BD6" w:rsidRPr="005A4BCF">
        <w:rPr>
          <w:rFonts w:ascii="Arial" w:hAnsi="Arial" w:cs="Arial"/>
        </w:rPr>
        <w:t xml:space="preserve"> </w:t>
      </w:r>
      <w:r w:rsidRPr="005A4BCF">
        <w:rPr>
          <w:rFonts w:ascii="Arial" w:hAnsi="Arial" w:cs="Arial"/>
        </w:rPr>
        <w:t xml:space="preserve">zásoby </w:t>
      </w:r>
      <w:r w:rsidR="00540BD6" w:rsidRPr="005A4BCF">
        <w:rPr>
          <w:rFonts w:ascii="Arial" w:hAnsi="Arial" w:cs="Arial"/>
        </w:rPr>
        <w:t>PHM</w:t>
      </w:r>
      <w:r w:rsidRPr="005A4BCF">
        <w:rPr>
          <w:rFonts w:ascii="Arial" w:hAnsi="Arial" w:cs="Arial"/>
        </w:rPr>
        <w:t>, které nebyly uložen</w:t>
      </w:r>
      <w:r w:rsidR="00257529">
        <w:rPr>
          <w:rFonts w:ascii="Arial" w:hAnsi="Arial" w:cs="Arial"/>
        </w:rPr>
        <w:t>y</w:t>
      </w:r>
      <w:r w:rsidRPr="005A4BCF">
        <w:rPr>
          <w:rFonts w:ascii="Arial" w:hAnsi="Arial" w:cs="Arial"/>
        </w:rPr>
        <w:t xml:space="preserve"> ve vlastních úložištích MV;</w:t>
      </w:r>
    </w:p>
    <w:p w:rsidR="003B0E09" w:rsidRPr="00606341" w:rsidRDefault="000868B0" w:rsidP="00C23787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stanovení předpokládaného </w:t>
      </w:r>
      <w:r w:rsidR="00024056">
        <w:rPr>
          <w:rFonts w:ascii="Arial" w:hAnsi="Arial" w:cs="Arial"/>
        </w:rPr>
        <w:t xml:space="preserve">potřebného </w:t>
      </w:r>
      <w:r>
        <w:rPr>
          <w:rFonts w:ascii="Arial" w:hAnsi="Arial" w:cs="Arial"/>
        </w:rPr>
        <w:t xml:space="preserve">množství jednotlivých položek docházelo </w:t>
      </w:r>
      <w:r w:rsidR="00FF54A3">
        <w:rPr>
          <w:rFonts w:ascii="Arial" w:hAnsi="Arial" w:cs="Arial"/>
        </w:rPr>
        <w:t>k </w:t>
      </w:r>
      <w:r w:rsidR="003B0E09">
        <w:rPr>
          <w:rFonts w:ascii="Arial" w:hAnsi="Arial" w:cs="Arial"/>
        </w:rPr>
        <w:t>v</w:t>
      </w:r>
      <w:r w:rsidR="00540BD6" w:rsidRPr="001856A8">
        <w:rPr>
          <w:rFonts w:ascii="Arial" w:hAnsi="Arial" w:cs="Arial"/>
        </w:rPr>
        <w:t>ysok</w:t>
      </w:r>
      <w:r>
        <w:rPr>
          <w:rFonts w:ascii="Arial" w:hAnsi="Arial" w:cs="Arial"/>
        </w:rPr>
        <w:t>é</w:t>
      </w:r>
      <w:r w:rsidR="00540BD6" w:rsidRPr="001856A8">
        <w:rPr>
          <w:rFonts w:ascii="Arial" w:hAnsi="Arial" w:cs="Arial"/>
        </w:rPr>
        <w:t xml:space="preserve"> nepřesnost</w:t>
      </w:r>
      <w:r>
        <w:rPr>
          <w:rFonts w:ascii="Arial" w:hAnsi="Arial" w:cs="Arial"/>
        </w:rPr>
        <w:t>i</w:t>
      </w:r>
      <w:r w:rsidR="005A4BCF">
        <w:rPr>
          <w:rFonts w:ascii="Arial" w:hAnsi="Arial" w:cs="Arial"/>
        </w:rPr>
        <w:t>,</w:t>
      </w:r>
      <w:r w:rsidR="00540BD6" w:rsidRPr="001856A8">
        <w:rPr>
          <w:rFonts w:ascii="Arial" w:hAnsi="Arial" w:cs="Arial"/>
        </w:rPr>
        <w:t xml:space="preserve"> </w:t>
      </w:r>
      <w:r w:rsidR="003B0E09" w:rsidRPr="00606341">
        <w:rPr>
          <w:rFonts w:ascii="Arial" w:hAnsi="Arial" w:cs="Arial"/>
        </w:rPr>
        <w:t xml:space="preserve">v některých případech </w:t>
      </w:r>
      <w:r w:rsidR="00490B8E">
        <w:rPr>
          <w:rFonts w:ascii="Arial" w:hAnsi="Arial" w:cs="Arial"/>
        </w:rPr>
        <w:t>činila</w:t>
      </w:r>
      <w:r w:rsidR="005A4BCF">
        <w:rPr>
          <w:rFonts w:ascii="Arial" w:hAnsi="Arial" w:cs="Arial"/>
        </w:rPr>
        <w:t xml:space="preserve"> i více než 80 procentních bodů;</w:t>
      </w:r>
    </w:p>
    <w:p w:rsidR="003B0E09" w:rsidRPr="00490B8E" w:rsidRDefault="00490B8E" w:rsidP="00C23787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B0E09" w:rsidRPr="00490B8E">
        <w:rPr>
          <w:rFonts w:ascii="Arial" w:hAnsi="Arial" w:cs="Arial"/>
        </w:rPr>
        <w:t>kcept</w:t>
      </w:r>
      <w:r w:rsidR="005A4BCF">
        <w:rPr>
          <w:rFonts w:ascii="Arial" w:hAnsi="Arial" w:cs="Arial"/>
        </w:rPr>
        <w:t xml:space="preserve">ovány byly </w:t>
      </w:r>
      <w:r w:rsidR="003B0E09" w:rsidRPr="00490B8E">
        <w:rPr>
          <w:rFonts w:ascii="Arial" w:hAnsi="Arial" w:cs="Arial"/>
        </w:rPr>
        <w:t>nabídk</w:t>
      </w:r>
      <w:r w:rsidR="005A4BCF">
        <w:rPr>
          <w:rFonts w:ascii="Arial" w:hAnsi="Arial" w:cs="Arial"/>
        </w:rPr>
        <w:t>y dodávek</w:t>
      </w:r>
      <w:r w:rsidR="003B0E09" w:rsidRPr="00490B8E">
        <w:rPr>
          <w:rFonts w:ascii="Arial" w:hAnsi="Arial" w:cs="Arial"/>
        </w:rPr>
        <w:t xml:space="preserve"> s jednotkovými cenami vyššími</w:t>
      </w:r>
      <w:r w:rsidR="005A4BCF">
        <w:rPr>
          <w:rFonts w:ascii="Arial" w:hAnsi="Arial" w:cs="Arial"/>
        </w:rPr>
        <w:t>,</w:t>
      </w:r>
      <w:r w:rsidR="003B0E09" w:rsidRPr="00490B8E">
        <w:rPr>
          <w:rFonts w:ascii="Arial" w:hAnsi="Arial" w:cs="Arial"/>
        </w:rPr>
        <w:t xml:space="preserve"> než</w:t>
      </w:r>
      <w:r w:rsidR="005A4BCF">
        <w:rPr>
          <w:rFonts w:ascii="Arial" w:hAnsi="Arial" w:cs="Arial"/>
        </w:rPr>
        <w:t xml:space="preserve"> jaké byly uvedeny </w:t>
      </w:r>
      <w:r w:rsidR="003B0E09" w:rsidRPr="00490B8E">
        <w:rPr>
          <w:rFonts w:ascii="Arial" w:hAnsi="Arial" w:cs="Arial"/>
        </w:rPr>
        <w:t>v rámcové smlouvě</w:t>
      </w:r>
      <w:r w:rsidR="00024056">
        <w:rPr>
          <w:rFonts w:ascii="Arial" w:hAnsi="Arial" w:cs="Arial"/>
        </w:rPr>
        <w:t>,</w:t>
      </w:r>
      <w:r w:rsidR="003B0E09" w:rsidRPr="00490B8E">
        <w:rPr>
          <w:rFonts w:ascii="Arial" w:hAnsi="Arial" w:cs="Arial"/>
        </w:rPr>
        <w:t xml:space="preserve"> nebo dodávek, které nebyly v souladu s</w:t>
      </w:r>
      <w:r w:rsidR="004457FD">
        <w:rPr>
          <w:rFonts w:ascii="Arial" w:hAnsi="Arial" w:cs="Arial"/>
        </w:rPr>
        <w:t> </w:t>
      </w:r>
      <w:r w:rsidR="004457FD" w:rsidRPr="00E4370A">
        <w:rPr>
          <w:rFonts w:ascii="Arial" w:hAnsi="Arial" w:cs="Arial"/>
        </w:rPr>
        <w:t>prováděcí</w:t>
      </w:r>
      <w:r w:rsidR="004457FD">
        <w:rPr>
          <w:rFonts w:ascii="Arial" w:hAnsi="Arial" w:cs="Arial"/>
        </w:rPr>
        <w:t xml:space="preserve"> </w:t>
      </w:r>
      <w:r w:rsidRPr="00490B8E">
        <w:rPr>
          <w:rFonts w:ascii="Arial" w:hAnsi="Arial" w:cs="Arial"/>
        </w:rPr>
        <w:t>smlouvou</w:t>
      </w:r>
      <w:r w:rsidR="005A4BCF">
        <w:rPr>
          <w:rFonts w:ascii="Arial" w:hAnsi="Arial" w:cs="Arial"/>
        </w:rPr>
        <w:t>;</w:t>
      </w:r>
    </w:p>
    <w:p w:rsidR="003B0E09" w:rsidRPr="00E4370A" w:rsidRDefault="00E4370A" w:rsidP="00C23787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370A">
        <w:rPr>
          <w:rFonts w:ascii="Arial" w:hAnsi="Arial" w:cs="Arial"/>
        </w:rPr>
        <w:t xml:space="preserve">v některých případech </w:t>
      </w:r>
      <w:r w:rsidR="00024056" w:rsidRPr="00E4370A">
        <w:rPr>
          <w:rFonts w:ascii="Arial" w:hAnsi="Arial" w:cs="Arial"/>
        </w:rPr>
        <w:t xml:space="preserve">vedly </w:t>
      </w:r>
      <w:r w:rsidRPr="00E4370A">
        <w:rPr>
          <w:rFonts w:ascii="Arial" w:hAnsi="Arial" w:cs="Arial"/>
        </w:rPr>
        <w:t xml:space="preserve">postupy zadavatele ke </w:t>
      </w:r>
      <w:r w:rsidR="004457FD" w:rsidRPr="00E4370A">
        <w:rPr>
          <w:rFonts w:ascii="Arial" w:hAnsi="Arial" w:cs="Arial"/>
        </w:rPr>
        <w:t>s</w:t>
      </w:r>
      <w:r w:rsidR="003B0E09" w:rsidRPr="00E4370A">
        <w:rPr>
          <w:rFonts w:ascii="Arial" w:hAnsi="Arial" w:cs="Arial"/>
        </w:rPr>
        <w:t>nížení transparentnosti zadávacího řízení</w:t>
      </w:r>
      <w:r>
        <w:rPr>
          <w:rFonts w:ascii="Arial" w:hAnsi="Arial" w:cs="Arial"/>
        </w:rPr>
        <w:t>.</w:t>
      </w:r>
      <w:r w:rsidR="003B0E09" w:rsidRPr="00E4370A">
        <w:rPr>
          <w:rFonts w:ascii="Arial" w:hAnsi="Arial" w:cs="Arial"/>
        </w:rPr>
        <w:t xml:space="preserve"> </w:t>
      </w:r>
    </w:p>
    <w:p w:rsidR="003B0E09" w:rsidRPr="003B0E09" w:rsidRDefault="003B0E09" w:rsidP="00B1630C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4926E0" w:rsidRDefault="004457FD" w:rsidP="00B1630C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Rizika ohrožující efektiv</w:t>
      </w:r>
      <w:r w:rsidR="00B83B59">
        <w:rPr>
          <w:rFonts w:ascii="Arial" w:hAnsi="Arial" w:cs="Arial"/>
        </w:rPr>
        <w:t>nost</w:t>
      </w:r>
      <w:r>
        <w:rPr>
          <w:rFonts w:ascii="Arial" w:hAnsi="Arial" w:cs="Arial"/>
        </w:rPr>
        <w:t xml:space="preserve"> nákupů pomocí centralizovaného zadávání </w:t>
      </w:r>
      <w:r w:rsidR="0040000D">
        <w:rPr>
          <w:rFonts w:ascii="Arial" w:hAnsi="Arial" w:cs="Arial"/>
        </w:rPr>
        <w:t>spatřuje NKÚ</w:t>
      </w:r>
      <w:r w:rsidR="00B83B59">
        <w:rPr>
          <w:rFonts w:ascii="Arial" w:hAnsi="Arial" w:cs="Arial"/>
        </w:rPr>
        <w:t xml:space="preserve"> na základě této kontroly</w:t>
      </w:r>
      <w:r w:rsidR="0040000D">
        <w:rPr>
          <w:rFonts w:ascii="Arial" w:hAnsi="Arial" w:cs="Arial"/>
        </w:rPr>
        <w:t xml:space="preserve"> zejména</w:t>
      </w:r>
      <w:r>
        <w:rPr>
          <w:rFonts w:ascii="Arial" w:hAnsi="Arial" w:cs="Arial"/>
        </w:rPr>
        <w:t xml:space="preserve"> </w:t>
      </w:r>
      <w:r w:rsidR="00FF54A3">
        <w:rPr>
          <w:rFonts w:ascii="Arial" w:hAnsi="Arial" w:cs="Arial"/>
        </w:rPr>
        <w:t>v </w:t>
      </w:r>
      <w:r w:rsidR="0040000D">
        <w:rPr>
          <w:rFonts w:ascii="Arial" w:hAnsi="Arial" w:cs="Arial"/>
        </w:rPr>
        <w:t>kvalit</w:t>
      </w:r>
      <w:r>
        <w:rPr>
          <w:rFonts w:ascii="Arial" w:hAnsi="Arial" w:cs="Arial"/>
        </w:rPr>
        <w:t>ě</w:t>
      </w:r>
      <w:r w:rsidR="00E71CF9">
        <w:rPr>
          <w:rFonts w:ascii="Arial" w:hAnsi="Arial" w:cs="Arial"/>
        </w:rPr>
        <w:t xml:space="preserve"> „</w:t>
      </w:r>
      <w:proofErr w:type="spellStart"/>
      <w:r w:rsidR="00E71CF9">
        <w:rPr>
          <w:rFonts w:ascii="Arial" w:hAnsi="Arial" w:cs="Arial"/>
        </w:rPr>
        <w:t>předsběru</w:t>
      </w:r>
      <w:proofErr w:type="spellEnd"/>
      <w:r w:rsidR="00F62984">
        <w:rPr>
          <w:rFonts w:ascii="Arial" w:hAnsi="Arial" w:cs="Arial"/>
        </w:rPr>
        <w:t>“</w:t>
      </w:r>
      <w:r w:rsidR="00E71CF9">
        <w:rPr>
          <w:rFonts w:ascii="Arial" w:hAnsi="Arial" w:cs="Arial"/>
        </w:rPr>
        <w:t xml:space="preserve"> dat</w:t>
      </w:r>
      <w:r w:rsidR="0040000D">
        <w:rPr>
          <w:rFonts w:ascii="Arial" w:hAnsi="Arial" w:cs="Arial"/>
        </w:rPr>
        <w:t xml:space="preserve"> nakupovan</w:t>
      </w:r>
      <w:r>
        <w:rPr>
          <w:rFonts w:ascii="Arial" w:hAnsi="Arial" w:cs="Arial"/>
        </w:rPr>
        <w:t xml:space="preserve">ých </w:t>
      </w:r>
      <w:r w:rsidR="0040000D">
        <w:rPr>
          <w:rFonts w:ascii="Arial" w:hAnsi="Arial" w:cs="Arial"/>
        </w:rPr>
        <w:t>komodit</w:t>
      </w:r>
      <w:r>
        <w:rPr>
          <w:rFonts w:ascii="Arial" w:hAnsi="Arial" w:cs="Arial"/>
        </w:rPr>
        <w:t xml:space="preserve"> a</w:t>
      </w:r>
      <w:r w:rsidR="00024056">
        <w:rPr>
          <w:rFonts w:ascii="Arial" w:hAnsi="Arial" w:cs="Arial"/>
        </w:rPr>
        <w:t> v </w:t>
      </w:r>
      <w:r w:rsidRPr="00E045E5">
        <w:rPr>
          <w:rFonts w:ascii="Arial" w:hAnsi="Arial" w:cs="Arial"/>
        </w:rPr>
        <w:t xml:space="preserve">hodnocení </w:t>
      </w:r>
      <w:r w:rsidR="00024056">
        <w:rPr>
          <w:rFonts w:ascii="Arial" w:hAnsi="Arial" w:cs="Arial"/>
        </w:rPr>
        <w:t xml:space="preserve">cenových </w:t>
      </w:r>
      <w:r w:rsidR="00E045E5" w:rsidRPr="00E045E5">
        <w:rPr>
          <w:rFonts w:ascii="Arial" w:hAnsi="Arial" w:cs="Arial"/>
        </w:rPr>
        <w:t xml:space="preserve">nabídek </w:t>
      </w:r>
      <w:r w:rsidR="00024056">
        <w:rPr>
          <w:rFonts w:ascii="Arial" w:hAnsi="Arial" w:cs="Arial"/>
        </w:rPr>
        <w:t xml:space="preserve">u </w:t>
      </w:r>
      <w:r w:rsidR="00D87824" w:rsidRPr="00E045E5">
        <w:rPr>
          <w:rFonts w:ascii="Arial" w:hAnsi="Arial" w:cs="Arial"/>
        </w:rPr>
        <w:t>jednotlivých</w:t>
      </w:r>
      <w:r w:rsidR="00B1630C">
        <w:rPr>
          <w:rFonts w:ascii="Arial" w:hAnsi="Arial" w:cs="Arial"/>
        </w:rPr>
        <w:t xml:space="preserve"> </w:t>
      </w:r>
      <w:r w:rsidR="0040000D" w:rsidRPr="00E045E5">
        <w:rPr>
          <w:rFonts w:ascii="Arial" w:hAnsi="Arial" w:cs="Arial"/>
        </w:rPr>
        <w:t>polož</w:t>
      </w:r>
      <w:r w:rsidR="00D87824" w:rsidRPr="00E045E5">
        <w:rPr>
          <w:rFonts w:ascii="Arial" w:hAnsi="Arial" w:cs="Arial"/>
        </w:rPr>
        <w:t>e</w:t>
      </w:r>
      <w:r w:rsidR="0040000D" w:rsidRPr="00E045E5">
        <w:rPr>
          <w:rFonts w:ascii="Arial" w:hAnsi="Arial" w:cs="Arial"/>
        </w:rPr>
        <w:t>k</w:t>
      </w:r>
      <w:r w:rsidR="00E71CF9">
        <w:rPr>
          <w:rFonts w:ascii="Arial" w:hAnsi="Arial" w:cs="Arial"/>
        </w:rPr>
        <w:t>,</w:t>
      </w:r>
      <w:r w:rsidR="00490B8E">
        <w:rPr>
          <w:rFonts w:ascii="Arial" w:hAnsi="Arial" w:cs="Arial"/>
        </w:rPr>
        <w:t xml:space="preserve"> </w:t>
      </w:r>
      <w:r w:rsidR="00257529">
        <w:rPr>
          <w:rFonts w:ascii="Arial" w:hAnsi="Arial" w:cs="Arial"/>
        </w:rPr>
        <w:t xml:space="preserve">dále </w:t>
      </w:r>
      <w:r w:rsidR="00FF54A3">
        <w:rPr>
          <w:rFonts w:ascii="Arial" w:hAnsi="Arial" w:cs="Arial"/>
        </w:rPr>
        <w:t>v </w:t>
      </w:r>
      <w:r w:rsidR="00E71CF9">
        <w:rPr>
          <w:rFonts w:ascii="Arial" w:hAnsi="Arial" w:cs="Arial"/>
        </w:rPr>
        <w:t>obtížn</w:t>
      </w:r>
      <w:r w:rsidR="0040000D">
        <w:rPr>
          <w:rFonts w:ascii="Arial" w:hAnsi="Arial" w:cs="Arial"/>
        </w:rPr>
        <w:t>ost</w:t>
      </w:r>
      <w:r w:rsidR="00E045E5">
        <w:rPr>
          <w:rFonts w:ascii="Arial" w:hAnsi="Arial" w:cs="Arial"/>
        </w:rPr>
        <w:t>i</w:t>
      </w:r>
      <w:r w:rsidR="0040000D">
        <w:rPr>
          <w:rFonts w:ascii="Arial" w:hAnsi="Arial" w:cs="Arial"/>
        </w:rPr>
        <w:t xml:space="preserve"> nebo i</w:t>
      </w:r>
      <w:r w:rsidR="00024056">
        <w:rPr>
          <w:rFonts w:ascii="Arial" w:hAnsi="Arial" w:cs="Arial"/>
        </w:rPr>
        <w:t> </w:t>
      </w:r>
      <w:r w:rsidR="0040000D">
        <w:rPr>
          <w:rFonts w:ascii="Arial" w:hAnsi="Arial" w:cs="Arial"/>
        </w:rPr>
        <w:t>nemožnost</w:t>
      </w:r>
      <w:r w:rsidR="00E045E5">
        <w:rPr>
          <w:rFonts w:ascii="Arial" w:hAnsi="Arial" w:cs="Arial"/>
        </w:rPr>
        <w:t>i</w:t>
      </w:r>
      <w:r w:rsidR="00490B8E">
        <w:rPr>
          <w:rFonts w:ascii="Arial" w:hAnsi="Arial" w:cs="Arial"/>
        </w:rPr>
        <w:t xml:space="preserve"> </w:t>
      </w:r>
      <w:r w:rsidR="00E71CF9">
        <w:rPr>
          <w:rFonts w:ascii="Arial" w:hAnsi="Arial" w:cs="Arial"/>
        </w:rPr>
        <w:t>zji</w:t>
      </w:r>
      <w:r w:rsidR="00490B8E">
        <w:rPr>
          <w:rFonts w:ascii="Arial" w:hAnsi="Arial" w:cs="Arial"/>
        </w:rPr>
        <w:t>stit</w:t>
      </w:r>
      <w:r w:rsidR="0040000D">
        <w:rPr>
          <w:rFonts w:ascii="Arial" w:hAnsi="Arial" w:cs="Arial"/>
        </w:rPr>
        <w:t xml:space="preserve"> v daném čase </w:t>
      </w:r>
      <w:r w:rsidR="002157C5">
        <w:rPr>
          <w:rFonts w:ascii="Arial" w:hAnsi="Arial" w:cs="Arial"/>
        </w:rPr>
        <w:t>a </w:t>
      </w:r>
      <w:r w:rsidR="00B83B59">
        <w:rPr>
          <w:rFonts w:ascii="Arial" w:hAnsi="Arial" w:cs="Arial"/>
        </w:rPr>
        <w:t xml:space="preserve">místě </w:t>
      </w:r>
      <w:r w:rsidR="0040000D">
        <w:rPr>
          <w:rFonts w:ascii="Arial" w:hAnsi="Arial" w:cs="Arial"/>
        </w:rPr>
        <w:t xml:space="preserve">skutečnou </w:t>
      </w:r>
      <w:r w:rsidR="0088713D">
        <w:rPr>
          <w:rFonts w:ascii="Arial" w:hAnsi="Arial" w:cs="Arial"/>
        </w:rPr>
        <w:t>tržní cenu</w:t>
      </w:r>
      <w:r w:rsidR="00E045E5">
        <w:rPr>
          <w:rFonts w:ascii="Arial" w:hAnsi="Arial" w:cs="Arial"/>
        </w:rPr>
        <w:t xml:space="preserve">. </w:t>
      </w:r>
      <w:r w:rsidR="00257529">
        <w:rPr>
          <w:rFonts w:ascii="Arial" w:hAnsi="Arial" w:cs="Arial"/>
        </w:rPr>
        <w:t>N</w:t>
      </w:r>
      <w:r w:rsidR="00E71CF9">
        <w:rPr>
          <w:rFonts w:ascii="Arial" w:hAnsi="Arial" w:cs="Arial"/>
        </w:rPr>
        <w:t>e</w:t>
      </w:r>
      <w:r w:rsidR="00D87824">
        <w:rPr>
          <w:rFonts w:ascii="Arial" w:hAnsi="Arial" w:cs="Arial"/>
        </w:rPr>
        <w:t xml:space="preserve">zajištění </w:t>
      </w:r>
      <w:r w:rsidR="00E71CF9">
        <w:rPr>
          <w:rFonts w:ascii="Arial" w:hAnsi="Arial" w:cs="Arial"/>
        </w:rPr>
        <w:t>účinné</w:t>
      </w:r>
      <w:r w:rsidR="0088713D">
        <w:rPr>
          <w:rFonts w:ascii="Arial" w:hAnsi="Arial" w:cs="Arial"/>
        </w:rPr>
        <w:t xml:space="preserve">ho </w:t>
      </w:r>
      <w:r w:rsidR="00E71CF9">
        <w:rPr>
          <w:rFonts w:ascii="Arial" w:hAnsi="Arial" w:cs="Arial"/>
        </w:rPr>
        <w:t>kontrol</w:t>
      </w:r>
      <w:r w:rsidR="0088713D">
        <w:rPr>
          <w:rFonts w:ascii="Arial" w:hAnsi="Arial" w:cs="Arial"/>
        </w:rPr>
        <w:t>ního systému</w:t>
      </w:r>
      <w:r w:rsidR="003F6703">
        <w:rPr>
          <w:rFonts w:ascii="Arial" w:hAnsi="Arial" w:cs="Arial"/>
        </w:rPr>
        <w:t>,</w:t>
      </w:r>
      <w:r w:rsidR="00E045E5">
        <w:rPr>
          <w:rFonts w:ascii="Arial" w:hAnsi="Arial" w:cs="Arial"/>
        </w:rPr>
        <w:t xml:space="preserve"> a</w:t>
      </w:r>
      <w:r w:rsidR="00257529">
        <w:rPr>
          <w:rFonts w:ascii="Arial" w:hAnsi="Arial" w:cs="Arial"/>
        </w:rPr>
        <w:t xml:space="preserve">le také </w:t>
      </w:r>
      <w:r w:rsidR="000868B0">
        <w:rPr>
          <w:rFonts w:ascii="Arial" w:hAnsi="Arial" w:cs="Arial"/>
        </w:rPr>
        <w:t xml:space="preserve">vytvoření </w:t>
      </w:r>
      <w:r w:rsidR="001C4E2C">
        <w:rPr>
          <w:rFonts w:ascii="Arial" w:hAnsi="Arial" w:cs="Arial"/>
        </w:rPr>
        <w:t xml:space="preserve">pozice </w:t>
      </w:r>
      <w:r w:rsidR="00E71CF9">
        <w:rPr>
          <w:rFonts w:ascii="Arial" w:hAnsi="Arial" w:cs="Arial"/>
        </w:rPr>
        <w:t>„monopolníh</w:t>
      </w:r>
      <w:r w:rsidR="001C4E2C">
        <w:rPr>
          <w:rFonts w:ascii="Arial" w:hAnsi="Arial" w:cs="Arial"/>
        </w:rPr>
        <w:t>o</w:t>
      </w:r>
      <w:r w:rsidR="00E71CF9">
        <w:rPr>
          <w:rFonts w:ascii="Arial" w:hAnsi="Arial" w:cs="Arial"/>
        </w:rPr>
        <w:t>“ dodavatel</w:t>
      </w:r>
      <w:r w:rsidR="001C4E2C">
        <w:rPr>
          <w:rFonts w:ascii="Arial" w:hAnsi="Arial" w:cs="Arial"/>
        </w:rPr>
        <w:t>e</w:t>
      </w:r>
      <w:r w:rsidR="00257529">
        <w:rPr>
          <w:rFonts w:ascii="Arial" w:hAnsi="Arial" w:cs="Arial"/>
        </w:rPr>
        <w:t xml:space="preserve"> jsou dalšími reálnými riziky</w:t>
      </w:r>
      <w:r w:rsidR="001C4E2C">
        <w:rPr>
          <w:rFonts w:ascii="Arial" w:hAnsi="Arial" w:cs="Arial"/>
        </w:rPr>
        <w:t>.</w:t>
      </w:r>
      <w:r w:rsidR="00540BD6">
        <w:rPr>
          <w:rFonts w:ascii="Arial" w:hAnsi="Arial" w:cs="Arial"/>
        </w:rPr>
        <w:t xml:space="preserve"> </w:t>
      </w:r>
    </w:p>
    <w:p w:rsidR="00E71CF9" w:rsidRDefault="00E71CF9" w:rsidP="00F62984">
      <w:pPr>
        <w:spacing w:after="0" w:line="240" w:lineRule="auto"/>
        <w:jc w:val="both"/>
        <w:rPr>
          <w:rFonts w:ascii="Arial" w:hAnsi="Arial" w:cs="Arial"/>
        </w:rPr>
      </w:pPr>
    </w:p>
    <w:p w:rsidR="008606C0" w:rsidRPr="009A0C77" w:rsidRDefault="007613E3" w:rsidP="007613E3">
      <w:pPr>
        <w:spacing w:after="0" w:line="240" w:lineRule="auto"/>
        <w:jc w:val="both"/>
        <w:rPr>
          <w:rFonts w:ascii="Arial" w:hAnsi="Arial" w:cs="Arial"/>
        </w:rPr>
      </w:pPr>
      <w:r w:rsidRPr="00B1630C">
        <w:rPr>
          <w:rFonts w:ascii="Arial" w:hAnsi="Arial" w:cs="Arial"/>
        </w:rPr>
        <w:t>Způsob nákupů zajišťovaných formou centrálního zadávání by měl přispět nejen k aktuální</w:t>
      </w:r>
      <w:r w:rsidR="00C23787">
        <w:rPr>
          <w:rFonts w:ascii="Arial" w:hAnsi="Arial" w:cs="Arial"/>
        </w:rPr>
        <w:t xml:space="preserve"> </w:t>
      </w:r>
      <w:r w:rsidRPr="00B1630C">
        <w:rPr>
          <w:rFonts w:ascii="Arial" w:hAnsi="Arial" w:cs="Arial"/>
        </w:rPr>
        <w:t xml:space="preserve">úspoře peněžních prostředků, popř. k dosažení optimální výše cen nakupovaných </w:t>
      </w:r>
      <w:r w:rsidRPr="009A0C77">
        <w:rPr>
          <w:rFonts w:ascii="Arial" w:hAnsi="Arial" w:cs="Arial"/>
        </w:rPr>
        <w:t xml:space="preserve">komodit, ale také ke zvýšení transparentnosti nákupů, využití dat pro plánování a pro vnitřní hodnocení hospodaření se svěřenými prostředky. </w:t>
      </w:r>
    </w:p>
    <w:p w:rsidR="00540BD6" w:rsidRPr="009A0C77" w:rsidRDefault="00540BD6" w:rsidP="00F62984">
      <w:pPr>
        <w:spacing w:after="0" w:line="240" w:lineRule="auto"/>
        <w:jc w:val="both"/>
        <w:rPr>
          <w:rFonts w:ascii="Arial" w:hAnsi="Arial" w:cs="Arial"/>
        </w:rPr>
      </w:pPr>
    </w:p>
    <w:p w:rsidR="009A0C77" w:rsidRPr="009A0C77" w:rsidRDefault="009A0C77" w:rsidP="00F62984">
      <w:pPr>
        <w:spacing w:after="0" w:line="240" w:lineRule="auto"/>
        <w:jc w:val="both"/>
        <w:rPr>
          <w:rFonts w:ascii="Arial" w:hAnsi="Arial" w:cs="Arial"/>
        </w:rPr>
      </w:pPr>
      <w:r w:rsidRPr="009A0C77">
        <w:rPr>
          <w:rFonts w:ascii="Arial" w:hAnsi="Arial" w:cs="Arial"/>
        </w:rPr>
        <w:t>Zjištěné nedostatky</w:t>
      </w:r>
      <w:r>
        <w:rPr>
          <w:rFonts w:ascii="Arial" w:hAnsi="Arial" w:cs="Arial"/>
        </w:rPr>
        <w:t>, které NKÚ</w:t>
      </w:r>
      <w:r w:rsidRPr="009A0C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považuje za</w:t>
      </w:r>
      <w:r w:rsidRPr="009A0C77">
        <w:rPr>
          <w:rFonts w:ascii="Arial" w:hAnsi="Arial" w:cs="Arial"/>
        </w:rPr>
        <w:t xml:space="preserve"> porušen</w:t>
      </w:r>
      <w:r>
        <w:rPr>
          <w:rFonts w:ascii="Arial" w:hAnsi="Arial" w:cs="Arial"/>
        </w:rPr>
        <w:t>í</w:t>
      </w:r>
      <w:r w:rsidRPr="009A0C77">
        <w:rPr>
          <w:rFonts w:ascii="Arial" w:hAnsi="Arial" w:cs="Arial"/>
        </w:rPr>
        <w:t xml:space="preserve"> rozpočtové kázně</w:t>
      </w:r>
      <w:r>
        <w:rPr>
          <w:rFonts w:ascii="Arial" w:hAnsi="Arial" w:cs="Arial"/>
        </w:rPr>
        <w:t>,</w:t>
      </w:r>
      <w:r w:rsidRPr="009A0C77">
        <w:rPr>
          <w:rFonts w:ascii="Arial" w:hAnsi="Arial" w:cs="Arial"/>
        </w:rPr>
        <w:t xml:space="preserve"> byly oznámeny příslušnému finančnímu úřadu.</w:t>
      </w:r>
    </w:p>
    <w:sectPr w:rsidR="009A0C77" w:rsidRPr="009A0C77" w:rsidSect="00A41C38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65" w:rsidRDefault="00D87065" w:rsidP="003D409D">
      <w:pPr>
        <w:spacing w:after="0" w:line="240" w:lineRule="auto"/>
      </w:pPr>
      <w:r>
        <w:separator/>
      </w:r>
    </w:p>
  </w:endnote>
  <w:endnote w:type="continuationSeparator" w:id="0">
    <w:p w:rsidR="00D87065" w:rsidRDefault="00D87065" w:rsidP="003D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3655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87065" w:rsidRPr="007C31C0" w:rsidRDefault="00D87065">
        <w:pPr>
          <w:pStyle w:val="Zpat"/>
          <w:jc w:val="center"/>
          <w:rPr>
            <w:rFonts w:ascii="Arial" w:hAnsi="Arial" w:cs="Arial"/>
          </w:rPr>
        </w:pPr>
        <w:r w:rsidRPr="007C31C0">
          <w:rPr>
            <w:rFonts w:ascii="Arial" w:hAnsi="Arial" w:cs="Arial"/>
          </w:rPr>
          <w:fldChar w:fldCharType="begin"/>
        </w:r>
        <w:r w:rsidRPr="007C31C0">
          <w:rPr>
            <w:rFonts w:ascii="Arial" w:hAnsi="Arial" w:cs="Arial"/>
          </w:rPr>
          <w:instrText>PAGE   \* MERGEFORMAT</w:instrText>
        </w:r>
        <w:r w:rsidRPr="007C31C0">
          <w:rPr>
            <w:rFonts w:ascii="Arial" w:hAnsi="Arial" w:cs="Arial"/>
          </w:rPr>
          <w:fldChar w:fldCharType="separate"/>
        </w:r>
        <w:r w:rsidR="00937B12">
          <w:rPr>
            <w:rFonts w:ascii="Arial" w:hAnsi="Arial" w:cs="Arial"/>
            <w:noProof/>
          </w:rPr>
          <w:t>2</w:t>
        </w:r>
        <w:r w:rsidRPr="007C31C0">
          <w:rPr>
            <w:rFonts w:ascii="Arial" w:hAnsi="Arial" w:cs="Arial"/>
            <w:noProof/>
          </w:rPr>
          <w:fldChar w:fldCharType="end"/>
        </w:r>
      </w:p>
    </w:sdtContent>
  </w:sdt>
  <w:p w:rsidR="00D87065" w:rsidRDefault="00D870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65" w:rsidRDefault="00D87065" w:rsidP="003D409D">
      <w:pPr>
        <w:spacing w:after="0" w:line="240" w:lineRule="auto"/>
      </w:pPr>
      <w:r>
        <w:separator/>
      </w:r>
    </w:p>
  </w:footnote>
  <w:footnote w:type="continuationSeparator" w:id="0">
    <w:p w:rsidR="00D87065" w:rsidRDefault="00D87065" w:rsidP="003D409D">
      <w:pPr>
        <w:spacing w:after="0" w:line="240" w:lineRule="auto"/>
      </w:pPr>
      <w:r>
        <w:continuationSeparator/>
      </w:r>
    </w:p>
  </w:footnote>
  <w:footnote w:id="1">
    <w:p w:rsidR="00D87065" w:rsidRPr="003A7082" w:rsidRDefault="00D87065" w:rsidP="003A7082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A7082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3A7082">
        <w:rPr>
          <w:rFonts w:ascii="Arial" w:hAnsi="Arial" w:cs="Arial"/>
          <w:sz w:val="18"/>
          <w:szCs w:val="18"/>
        </w:rPr>
        <w:t>§ 12</w:t>
      </w:r>
      <w:r>
        <w:rPr>
          <w:rFonts w:ascii="Arial" w:hAnsi="Arial" w:cs="Arial"/>
          <w:sz w:val="18"/>
          <w:szCs w:val="18"/>
        </w:rPr>
        <w:t xml:space="preserve"> z</w:t>
      </w:r>
      <w:r w:rsidRPr="003A7082">
        <w:rPr>
          <w:rFonts w:ascii="Arial" w:hAnsi="Arial" w:cs="Arial"/>
          <w:sz w:val="18"/>
          <w:szCs w:val="18"/>
        </w:rPr>
        <w:t>ákon</w:t>
      </w:r>
      <w:r>
        <w:rPr>
          <w:rFonts w:ascii="Arial" w:hAnsi="Arial" w:cs="Arial"/>
          <w:sz w:val="18"/>
          <w:szCs w:val="18"/>
        </w:rPr>
        <w:t>a</w:t>
      </w:r>
      <w:r w:rsidRPr="003A7082">
        <w:rPr>
          <w:rFonts w:ascii="Arial" w:hAnsi="Arial" w:cs="Arial"/>
          <w:sz w:val="18"/>
          <w:szCs w:val="18"/>
        </w:rPr>
        <w:t xml:space="preserve"> č. 2/1969 Sb., o zřízení ministerstev a jiných ústředních orgánů státní správy České republiky.</w:t>
      </w:r>
    </w:p>
  </w:footnote>
  <w:footnote w:id="2">
    <w:p w:rsidR="00D87065" w:rsidRPr="003A7082" w:rsidRDefault="00D87065" w:rsidP="003A7082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A7082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3A7082">
        <w:rPr>
          <w:rFonts w:ascii="Arial" w:hAnsi="Arial" w:cs="Arial"/>
          <w:sz w:val="18"/>
          <w:szCs w:val="18"/>
        </w:rPr>
        <w:t>Zákon č. 137/2006 Sb., o veřejných zakázkách.</w:t>
      </w:r>
    </w:p>
  </w:footnote>
  <w:footnote w:id="3">
    <w:p w:rsidR="00D87065" w:rsidRPr="003A7082" w:rsidRDefault="00D87065" w:rsidP="003A7082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A7082">
        <w:rPr>
          <w:rStyle w:val="Znakapoznpodarou"/>
          <w:rFonts w:ascii="Arial" w:hAnsi="Arial" w:cs="Arial"/>
          <w:sz w:val="18"/>
          <w:szCs w:val="18"/>
        </w:rPr>
        <w:footnoteRef/>
      </w:r>
      <w:r w:rsidRPr="003A70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A7082">
        <w:rPr>
          <w:rFonts w:ascii="Arial" w:hAnsi="Arial" w:cs="Arial"/>
          <w:sz w:val="18"/>
          <w:szCs w:val="18"/>
        </w:rPr>
        <w:t>Usnesení vlády ze dne 20. července 2011 č. 563</w:t>
      </w:r>
      <w:r>
        <w:rPr>
          <w:rFonts w:ascii="Arial" w:hAnsi="Arial" w:cs="Arial"/>
          <w:sz w:val="18"/>
          <w:szCs w:val="18"/>
        </w:rPr>
        <w:t>,</w:t>
      </w:r>
      <w:r w:rsidRPr="003A7082">
        <w:rPr>
          <w:rFonts w:ascii="Arial" w:hAnsi="Arial" w:cs="Arial"/>
          <w:sz w:val="18"/>
          <w:szCs w:val="18"/>
        </w:rPr>
        <w:t xml:space="preserve"> </w:t>
      </w:r>
      <w:r w:rsidRPr="0022756A">
        <w:rPr>
          <w:rFonts w:ascii="Arial" w:hAnsi="Arial" w:cs="Arial"/>
          <w:i/>
          <w:sz w:val="18"/>
          <w:szCs w:val="18"/>
        </w:rPr>
        <w:t>k resortním systémům centralizovaného zadávání veřejných zakázek ústředních orgánů státní správy</w:t>
      </w:r>
      <w:r w:rsidRPr="001B37CB">
        <w:rPr>
          <w:rFonts w:ascii="Arial" w:hAnsi="Arial" w:cs="Arial"/>
          <w:sz w:val="18"/>
          <w:szCs w:val="18"/>
        </w:rPr>
        <w:t>.</w:t>
      </w:r>
    </w:p>
  </w:footnote>
  <w:footnote w:id="4">
    <w:p w:rsidR="00D87065" w:rsidRPr="003A7082" w:rsidRDefault="00D87065" w:rsidP="003A7082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A7082">
        <w:rPr>
          <w:rStyle w:val="Znakapoznpodarou"/>
          <w:rFonts w:ascii="Arial" w:hAnsi="Arial" w:cs="Arial"/>
          <w:sz w:val="18"/>
          <w:szCs w:val="18"/>
        </w:rPr>
        <w:footnoteRef/>
      </w:r>
      <w:r w:rsidRPr="003A70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A7082">
        <w:rPr>
          <w:rFonts w:ascii="Arial" w:hAnsi="Arial" w:cs="Arial"/>
          <w:sz w:val="18"/>
          <w:szCs w:val="18"/>
        </w:rPr>
        <w:t>Usnesení vlády ze dne 14. prosince</w:t>
      </w:r>
      <w:r>
        <w:rPr>
          <w:rFonts w:ascii="Arial" w:hAnsi="Arial" w:cs="Arial"/>
          <w:sz w:val="18"/>
          <w:szCs w:val="18"/>
        </w:rPr>
        <w:t xml:space="preserve"> </w:t>
      </w:r>
      <w:r w:rsidRPr="003A7082">
        <w:rPr>
          <w:rFonts w:ascii="Arial" w:hAnsi="Arial" w:cs="Arial"/>
          <w:sz w:val="18"/>
          <w:szCs w:val="18"/>
        </w:rPr>
        <w:t>2011 č. 930</w:t>
      </w:r>
      <w:r>
        <w:rPr>
          <w:rFonts w:ascii="Arial" w:hAnsi="Arial" w:cs="Arial"/>
          <w:sz w:val="18"/>
          <w:szCs w:val="18"/>
        </w:rPr>
        <w:t>,</w:t>
      </w:r>
      <w:r w:rsidRPr="003A7082">
        <w:rPr>
          <w:rFonts w:ascii="Arial" w:hAnsi="Arial" w:cs="Arial"/>
          <w:sz w:val="18"/>
          <w:szCs w:val="18"/>
        </w:rPr>
        <w:t xml:space="preserve"> </w:t>
      </w:r>
      <w:r w:rsidRPr="0022756A">
        <w:rPr>
          <w:rFonts w:ascii="Arial" w:hAnsi="Arial" w:cs="Arial"/>
          <w:i/>
          <w:sz w:val="18"/>
          <w:szCs w:val="18"/>
        </w:rPr>
        <w:t>o Minimálním povinném seznamu komodit povinně nakupovaných s využitím institutu centrálního zadavatele v rámci resortních systémů centralizovaného zadávání veřejných zakázek v souladu s minimálními požadavky na vytvoření a provoz resortních systémů centralizovaného zadávání veřejných zakázek</w:t>
      </w:r>
      <w:r w:rsidRPr="003A7082">
        <w:rPr>
          <w:rFonts w:ascii="Arial" w:hAnsi="Arial" w:cs="Arial"/>
          <w:sz w:val="18"/>
          <w:szCs w:val="18"/>
        </w:rPr>
        <w:t>.</w:t>
      </w:r>
    </w:p>
  </w:footnote>
  <w:footnote w:id="5">
    <w:p w:rsidR="00D87065" w:rsidRPr="003A7082" w:rsidRDefault="00D87065" w:rsidP="003A7082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A7082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3A7082">
        <w:rPr>
          <w:rFonts w:ascii="Arial" w:hAnsi="Arial" w:cs="Arial"/>
          <w:sz w:val="18"/>
          <w:szCs w:val="18"/>
        </w:rPr>
        <w:t>Zákon č. 172/2010 Sb., kterým se mění zákon č. 86/2002 Sb., o ochraně ovzduší a o změně některých dalších zákonů (zákon o ochraně ovzduší), ve znění pozdějších předpisů.</w:t>
      </w:r>
    </w:p>
  </w:footnote>
  <w:footnote w:id="6">
    <w:p w:rsidR="00D87065" w:rsidRPr="003A7082" w:rsidRDefault="00D87065" w:rsidP="003A7082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A7082">
        <w:rPr>
          <w:rStyle w:val="Znakapoznpodarou"/>
          <w:rFonts w:ascii="Arial" w:hAnsi="Arial" w:cs="Arial"/>
          <w:sz w:val="18"/>
          <w:szCs w:val="18"/>
        </w:rPr>
        <w:footnoteRef/>
      </w:r>
      <w:r w:rsidRPr="003A70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A7082">
        <w:rPr>
          <w:rFonts w:ascii="Arial" w:hAnsi="Arial" w:cs="Arial"/>
          <w:sz w:val="18"/>
          <w:szCs w:val="18"/>
        </w:rPr>
        <w:t>§ 89 odst. 8 zákona č. 137/2006 Sb.</w:t>
      </w:r>
    </w:p>
  </w:footnote>
  <w:footnote w:id="7">
    <w:p w:rsidR="00D87065" w:rsidRPr="003A7082" w:rsidRDefault="00D87065" w:rsidP="003A7082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A7082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pacing w:val="-4"/>
          <w:sz w:val="18"/>
          <w:szCs w:val="18"/>
        </w:rPr>
        <w:tab/>
      </w:r>
      <w:r w:rsidRPr="003A7082">
        <w:rPr>
          <w:rFonts w:ascii="Arial" w:hAnsi="Arial" w:cs="Arial"/>
          <w:spacing w:val="-4"/>
          <w:sz w:val="18"/>
          <w:szCs w:val="18"/>
        </w:rPr>
        <w:t xml:space="preserve">§ 76 odst. 1 a 6 </w:t>
      </w:r>
      <w:r w:rsidRPr="003A7082">
        <w:rPr>
          <w:rFonts w:ascii="Arial" w:hAnsi="Arial" w:cs="Arial"/>
          <w:sz w:val="18"/>
          <w:szCs w:val="18"/>
        </w:rPr>
        <w:t>zákona č. 137/2006 Sb.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FC1"/>
    <w:multiLevelType w:val="hybridMultilevel"/>
    <w:tmpl w:val="2E1EC3EA"/>
    <w:lvl w:ilvl="0" w:tplc="3E6E858E">
      <w:start w:val="2"/>
      <w:numFmt w:val="bullet"/>
      <w:lvlText w:val="-"/>
      <w:lvlJc w:val="left"/>
      <w:pPr>
        <w:ind w:left="150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>
    <w:nsid w:val="190F0479"/>
    <w:multiLevelType w:val="hybridMultilevel"/>
    <w:tmpl w:val="6BECA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8762E"/>
    <w:multiLevelType w:val="hybridMultilevel"/>
    <w:tmpl w:val="C256FF1C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36A3B"/>
    <w:multiLevelType w:val="hybridMultilevel"/>
    <w:tmpl w:val="403A3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673F2"/>
    <w:multiLevelType w:val="hybridMultilevel"/>
    <w:tmpl w:val="471C7714"/>
    <w:lvl w:ilvl="0" w:tplc="3E6E85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D14EE"/>
    <w:multiLevelType w:val="hybridMultilevel"/>
    <w:tmpl w:val="20F8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21F41"/>
    <w:multiLevelType w:val="hybridMultilevel"/>
    <w:tmpl w:val="94DA0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122DF"/>
    <w:multiLevelType w:val="hybridMultilevel"/>
    <w:tmpl w:val="10EEF17A"/>
    <w:lvl w:ilvl="0" w:tplc="3E6E858E">
      <w:start w:val="2"/>
      <w:numFmt w:val="bullet"/>
      <w:lvlText w:val="-"/>
      <w:lvlJc w:val="left"/>
      <w:pPr>
        <w:ind w:left="78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>
    <w:nsid w:val="33F50263"/>
    <w:multiLevelType w:val="hybridMultilevel"/>
    <w:tmpl w:val="805EF4D4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048C0"/>
    <w:multiLevelType w:val="hybridMultilevel"/>
    <w:tmpl w:val="0DBC6BB8"/>
    <w:lvl w:ilvl="0" w:tplc="3E6E85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C4E46"/>
    <w:multiLevelType w:val="hybridMultilevel"/>
    <w:tmpl w:val="C5D8AAA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AA67908"/>
    <w:multiLevelType w:val="hybridMultilevel"/>
    <w:tmpl w:val="E3421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1098E"/>
    <w:multiLevelType w:val="hybridMultilevel"/>
    <w:tmpl w:val="D682C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2985"/>
    <w:multiLevelType w:val="hybridMultilevel"/>
    <w:tmpl w:val="37DE928C"/>
    <w:lvl w:ilvl="0" w:tplc="3E6E858E">
      <w:start w:val="2"/>
      <w:numFmt w:val="bullet"/>
      <w:lvlText w:val="-"/>
      <w:lvlJc w:val="left"/>
      <w:pPr>
        <w:ind w:left="78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>
    <w:nsid w:val="518E6A7F"/>
    <w:multiLevelType w:val="hybridMultilevel"/>
    <w:tmpl w:val="C0D89800"/>
    <w:lvl w:ilvl="0" w:tplc="3E6E858E">
      <w:start w:val="2"/>
      <w:numFmt w:val="bullet"/>
      <w:lvlText w:val="-"/>
      <w:lvlJc w:val="left"/>
      <w:pPr>
        <w:ind w:left="78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>
    <w:nsid w:val="56BF2913"/>
    <w:multiLevelType w:val="hybridMultilevel"/>
    <w:tmpl w:val="B51A4BC2"/>
    <w:lvl w:ilvl="0" w:tplc="45E60D26">
      <w:start w:val="1"/>
      <w:numFmt w:val="decimal"/>
      <w:pStyle w:val="KZ-nadpis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0858EC"/>
    <w:multiLevelType w:val="hybridMultilevel"/>
    <w:tmpl w:val="6DDE5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246D1"/>
    <w:multiLevelType w:val="hybridMultilevel"/>
    <w:tmpl w:val="9DA2D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862D5"/>
    <w:multiLevelType w:val="hybridMultilevel"/>
    <w:tmpl w:val="952E9FD4"/>
    <w:lvl w:ilvl="0" w:tplc="3E6E858E">
      <w:start w:val="2"/>
      <w:numFmt w:val="bullet"/>
      <w:lvlText w:val="-"/>
      <w:lvlJc w:val="left"/>
      <w:pPr>
        <w:ind w:left="150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63DD55BF"/>
    <w:multiLevelType w:val="hybridMultilevel"/>
    <w:tmpl w:val="902A08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4378B4"/>
    <w:multiLevelType w:val="hybridMultilevel"/>
    <w:tmpl w:val="869A2826"/>
    <w:lvl w:ilvl="0" w:tplc="A09AD9B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0782D"/>
    <w:multiLevelType w:val="hybridMultilevel"/>
    <w:tmpl w:val="B6D48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D7E43"/>
    <w:multiLevelType w:val="multilevel"/>
    <w:tmpl w:val="AFC82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6EAA4CBA"/>
    <w:multiLevelType w:val="multilevel"/>
    <w:tmpl w:val="9904D3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1A35162"/>
    <w:multiLevelType w:val="hybridMultilevel"/>
    <w:tmpl w:val="B7EEA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A02FC"/>
    <w:multiLevelType w:val="hybridMultilevel"/>
    <w:tmpl w:val="ADF8B232"/>
    <w:lvl w:ilvl="0" w:tplc="BAA84724">
      <w:start w:val="1"/>
      <w:numFmt w:val="upperRoman"/>
      <w:pStyle w:val="Nadpis5"/>
      <w:lvlText w:val="%1."/>
      <w:lvlJc w:val="right"/>
      <w:pPr>
        <w:tabs>
          <w:tab w:val="num" w:pos="540"/>
        </w:tabs>
        <w:ind w:left="540" w:hanging="18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CE6BB9"/>
    <w:multiLevelType w:val="hybridMultilevel"/>
    <w:tmpl w:val="F13C4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FC05F4"/>
    <w:multiLevelType w:val="hybridMultilevel"/>
    <w:tmpl w:val="238AB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0"/>
  </w:num>
  <w:num w:numId="4">
    <w:abstractNumId w:val="22"/>
  </w:num>
  <w:num w:numId="5">
    <w:abstractNumId w:val="23"/>
  </w:num>
  <w:num w:numId="6">
    <w:abstractNumId w:val="19"/>
  </w:num>
  <w:num w:numId="7">
    <w:abstractNumId w:val="16"/>
  </w:num>
  <w:num w:numId="8">
    <w:abstractNumId w:val="1"/>
  </w:num>
  <w:num w:numId="9">
    <w:abstractNumId w:val="21"/>
  </w:num>
  <w:num w:numId="10">
    <w:abstractNumId w:val="9"/>
  </w:num>
  <w:num w:numId="11">
    <w:abstractNumId w:val="12"/>
  </w:num>
  <w:num w:numId="12">
    <w:abstractNumId w:val="3"/>
  </w:num>
  <w:num w:numId="13">
    <w:abstractNumId w:val="17"/>
  </w:num>
  <w:num w:numId="14">
    <w:abstractNumId w:val="10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4"/>
  </w:num>
  <w:num w:numId="19">
    <w:abstractNumId w:val="7"/>
  </w:num>
  <w:num w:numId="20">
    <w:abstractNumId w:val="0"/>
  </w:num>
  <w:num w:numId="21">
    <w:abstractNumId w:val="18"/>
  </w:num>
  <w:num w:numId="22">
    <w:abstractNumId w:val="6"/>
  </w:num>
  <w:num w:numId="23">
    <w:abstractNumId w:val="24"/>
  </w:num>
  <w:num w:numId="24">
    <w:abstractNumId w:val="11"/>
  </w:num>
  <w:num w:numId="25">
    <w:abstractNumId w:val="2"/>
  </w:num>
  <w:num w:numId="26">
    <w:abstractNumId w:val="27"/>
  </w:num>
  <w:num w:numId="27">
    <w:abstractNumId w:val="8"/>
  </w:num>
  <w:num w:numId="28">
    <w:abstractNumId w:val="26"/>
  </w:num>
  <w:num w:numId="2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9D"/>
    <w:rsid w:val="000008E4"/>
    <w:rsid w:val="00001070"/>
    <w:rsid w:val="00002B13"/>
    <w:rsid w:val="00006E5A"/>
    <w:rsid w:val="00010AB7"/>
    <w:rsid w:val="0001523F"/>
    <w:rsid w:val="000233E0"/>
    <w:rsid w:val="00024056"/>
    <w:rsid w:val="0002485D"/>
    <w:rsid w:val="00027950"/>
    <w:rsid w:val="000313AC"/>
    <w:rsid w:val="00031BA0"/>
    <w:rsid w:val="0003290A"/>
    <w:rsid w:val="000332FD"/>
    <w:rsid w:val="00041373"/>
    <w:rsid w:val="00043432"/>
    <w:rsid w:val="00044EB5"/>
    <w:rsid w:val="00051978"/>
    <w:rsid w:val="00052859"/>
    <w:rsid w:val="0005339D"/>
    <w:rsid w:val="00054735"/>
    <w:rsid w:val="00055F00"/>
    <w:rsid w:val="000610D0"/>
    <w:rsid w:val="00063390"/>
    <w:rsid w:val="00070222"/>
    <w:rsid w:val="00080760"/>
    <w:rsid w:val="00080FC5"/>
    <w:rsid w:val="00082343"/>
    <w:rsid w:val="0008335C"/>
    <w:rsid w:val="000868B0"/>
    <w:rsid w:val="000876E6"/>
    <w:rsid w:val="00096643"/>
    <w:rsid w:val="00097E0B"/>
    <w:rsid w:val="000A674E"/>
    <w:rsid w:val="000B07D9"/>
    <w:rsid w:val="000B46D7"/>
    <w:rsid w:val="000B4D8F"/>
    <w:rsid w:val="000B64BE"/>
    <w:rsid w:val="000C27FC"/>
    <w:rsid w:val="000C4354"/>
    <w:rsid w:val="000C6720"/>
    <w:rsid w:val="000D30ED"/>
    <w:rsid w:val="000E0FF3"/>
    <w:rsid w:val="000E22B1"/>
    <w:rsid w:val="000E6CA2"/>
    <w:rsid w:val="000F56BD"/>
    <w:rsid w:val="00100B6F"/>
    <w:rsid w:val="00101F29"/>
    <w:rsid w:val="001026F4"/>
    <w:rsid w:val="00103983"/>
    <w:rsid w:val="00110B09"/>
    <w:rsid w:val="001114D6"/>
    <w:rsid w:val="00111B38"/>
    <w:rsid w:val="00114448"/>
    <w:rsid w:val="001149BB"/>
    <w:rsid w:val="001171DD"/>
    <w:rsid w:val="00122438"/>
    <w:rsid w:val="00124F7E"/>
    <w:rsid w:val="00126935"/>
    <w:rsid w:val="00126E5A"/>
    <w:rsid w:val="001302AB"/>
    <w:rsid w:val="00131547"/>
    <w:rsid w:val="00132172"/>
    <w:rsid w:val="00134916"/>
    <w:rsid w:val="00135CE5"/>
    <w:rsid w:val="001367D6"/>
    <w:rsid w:val="00145D12"/>
    <w:rsid w:val="0014624F"/>
    <w:rsid w:val="00150E19"/>
    <w:rsid w:val="001514F7"/>
    <w:rsid w:val="00151AF3"/>
    <w:rsid w:val="00153119"/>
    <w:rsid w:val="00163C90"/>
    <w:rsid w:val="001656D4"/>
    <w:rsid w:val="00165D05"/>
    <w:rsid w:val="0016771C"/>
    <w:rsid w:val="00167850"/>
    <w:rsid w:val="0017026F"/>
    <w:rsid w:val="00171E31"/>
    <w:rsid w:val="00182E7A"/>
    <w:rsid w:val="00184327"/>
    <w:rsid w:val="001856A8"/>
    <w:rsid w:val="00185985"/>
    <w:rsid w:val="00187B11"/>
    <w:rsid w:val="001956B6"/>
    <w:rsid w:val="00197571"/>
    <w:rsid w:val="001B0CF4"/>
    <w:rsid w:val="001B37CB"/>
    <w:rsid w:val="001B421A"/>
    <w:rsid w:val="001B51B8"/>
    <w:rsid w:val="001C057D"/>
    <w:rsid w:val="001C08BB"/>
    <w:rsid w:val="001C373B"/>
    <w:rsid w:val="001C4E2C"/>
    <w:rsid w:val="001C509A"/>
    <w:rsid w:val="001D65DA"/>
    <w:rsid w:val="001E10CB"/>
    <w:rsid w:val="001E721D"/>
    <w:rsid w:val="001E7FD0"/>
    <w:rsid w:val="001F0E0B"/>
    <w:rsid w:val="00200480"/>
    <w:rsid w:val="002025BC"/>
    <w:rsid w:val="00212801"/>
    <w:rsid w:val="00213610"/>
    <w:rsid w:val="0021363C"/>
    <w:rsid w:val="00214444"/>
    <w:rsid w:val="002157C5"/>
    <w:rsid w:val="00216759"/>
    <w:rsid w:val="00216C53"/>
    <w:rsid w:val="0021722D"/>
    <w:rsid w:val="00217537"/>
    <w:rsid w:val="0022363E"/>
    <w:rsid w:val="00224AAE"/>
    <w:rsid w:val="0022756A"/>
    <w:rsid w:val="00232502"/>
    <w:rsid w:val="00232EC7"/>
    <w:rsid w:val="00241D28"/>
    <w:rsid w:val="00241E72"/>
    <w:rsid w:val="002479D1"/>
    <w:rsid w:val="002502D5"/>
    <w:rsid w:val="00250331"/>
    <w:rsid w:val="00257529"/>
    <w:rsid w:val="0026008A"/>
    <w:rsid w:val="00260A7E"/>
    <w:rsid w:val="00262083"/>
    <w:rsid w:val="00262689"/>
    <w:rsid w:val="002642E7"/>
    <w:rsid w:val="00265D8A"/>
    <w:rsid w:val="00266F0E"/>
    <w:rsid w:val="002703B5"/>
    <w:rsid w:val="00272A18"/>
    <w:rsid w:val="00281A5E"/>
    <w:rsid w:val="00284C28"/>
    <w:rsid w:val="002851A1"/>
    <w:rsid w:val="00285253"/>
    <w:rsid w:val="0028529A"/>
    <w:rsid w:val="0029746C"/>
    <w:rsid w:val="002A00AC"/>
    <w:rsid w:val="002A70C6"/>
    <w:rsid w:val="002A784B"/>
    <w:rsid w:val="002A7A17"/>
    <w:rsid w:val="002B5CDB"/>
    <w:rsid w:val="002B6F60"/>
    <w:rsid w:val="002C14EB"/>
    <w:rsid w:val="002D0A6E"/>
    <w:rsid w:val="002D31DD"/>
    <w:rsid w:val="002D38C2"/>
    <w:rsid w:val="002D3FAD"/>
    <w:rsid w:val="002D5817"/>
    <w:rsid w:val="002D7C92"/>
    <w:rsid w:val="002D7E73"/>
    <w:rsid w:val="002E7546"/>
    <w:rsid w:val="002F070D"/>
    <w:rsid w:val="002F4859"/>
    <w:rsid w:val="002F585F"/>
    <w:rsid w:val="002F5E53"/>
    <w:rsid w:val="002F6FA4"/>
    <w:rsid w:val="002F76C4"/>
    <w:rsid w:val="003006B7"/>
    <w:rsid w:val="003100DB"/>
    <w:rsid w:val="003104C9"/>
    <w:rsid w:val="003125A1"/>
    <w:rsid w:val="003148D4"/>
    <w:rsid w:val="003162E5"/>
    <w:rsid w:val="00317C6F"/>
    <w:rsid w:val="00317F9B"/>
    <w:rsid w:val="0032290D"/>
    <w:rsid w:val="00322EF7"/>
    <w:rsid w:val="003232EC"/>
    <w:rsid w:val="003258B6"/>
    <w:rsid w:val="00327009"/>
    <w:rsid w:val="003322FB"/>
    <w:rsid w:val="00334AA4"/>
    <w:rsid w:val="00337E46"/>
    <w:rsid w:val="003403F6"/>
    <w:rsid w:val="00345BDB"/>
    <w:rsid w:val="0035520C"/>
    <w:rsid w:val="00355803"/>
    <w:rsid w:val="00357E7D"/>
    <w:rsid w:val="00360BD8"/>
    <w:rsid w:val="00363655"/>
    <w:rsid w:val="003639BA"/>
    <w:rsid w:val="003717C8"/>
    <w:rsid w:val="00375020"/>
    <w:rsid w:val="003750C6"/>
    <w:rsid w:val="00380282"/>
    <w:rsid w:val="00385B1A"/>
    <w:rsid w:val="00391B3C"/>
    <w:rsid w:val="00395D91"/>
    <w:rsid w:val="003A367C"/>
    <w:rsid w:val="003A4058"/>
    <w:rsid w:val="003A5023"/>
    <w:rsid w:val="003A5674"/>
    <w:rsid w:val="003A7082"/>
    <w:rsid w:val="003B0E09"/>
    <w:rsid w:val="003B21CA"/>
    <w:rsid w:val="003B4661"/>
    <w:rsid w:val="003C1133"/>
    <w:rsid w:val="003C1A30"/>
    <w:rsid w:val="003D00F4"/>
    <w:rsid w:val="003D409D"/>
    <w:rsid w:val="003D73B9"/>
    <w:rsid w:val="003E2BE7"/>
    <w:rsid w:val="003E59DA"/>
    <w:rsid w:val="003E689D"/>
    <w:rsid w:val="003E6B33"/>
    <w:rsid w:val="003E7DF0"/>
    <w:rsid w:val="003F1FDC"/>
    <w:rsid w:val="003F6001"/>
    <w:rsid w:val="003F6703"/>
    <w:rsid w:val="003F7561"/>
    <w:rsid w:val="0040000D"/>
    <w:rsid w:val="00403DB8"/>
    <w:rsid w:val="0040430C"/>
    <w:rsid w:val="00405340"/>
    <w:rsid w:val="00407045"/>
    <w:rsid w:val="004139F5"/>
    <w:rsid w:val="00414567"/>
    <w:rsid w:val="00414583"/>
    <w:rsid w:val="00423476"/>
    <w:rsid w:val="004253DC"/>
    <w:rsid w:val="00425772"/>
    <w:rsid w:val="004310F7"/>
    <w:rsid w:val="00432BA9"/>
    <w:rsid w:val="0043505C"/>
    <w:rsid w:val="00441177"/>
    <w:rsid w:val="00441429"/>
    <w:rsid w:val="00442BB3"/>
    <w:rsid w:val="004447E0"/>
    <w:rsid w:val="0044579A"/>
    <w:rsid w:val="004457FD"/>
    <w:rsid w:val="004467CA"/>
    <w:rsid w:val="00452ED8"/>
    <w:rsid w:val="004554B1"/>
    <w:rsid w:val="00455BCE"/>
    <w:rsid w:val="00460730"/>
    <w:rsid w:val="004611A4"/>
    <w:rsid w:val="0046135C"/>
    <w:rsid w:val="00461BD9"/>
    <w:rsid w:val="00461E67"/>
    <w:rsid w:val="00462D28"/>
    <w:rsid w:val="00463DBD"/>
    <w:rsid w:val="00471FB1"/>
    <w:rsid w:val="00474AE1"/>
    <w:rsid w:val="00480954"/>
    <w:rsid w:val="00490B8E"/>
    <w:rsid w:val="004926E0"/>
    <w:rsid w:val="00494BC6"/>
    <w:rsid w:val="00495A7F"/>
    <w:rsid w:val="004A0739"/>
    <w:rsid w:val="004A5811"/>
    <w:rsid w:val="004A6644"/>
    <w:rsid w:val="004A742F"/>
    <w:rsid w:val="004A766D"/>
    <w:rsid w:val="004B0047"/>
    <w:rsid w:val="004C5731"/>
    <w:rsid w:val="004D01CA"/>
    <w:rsid w:val="004E0D30"/>
    <w:rsid w:val="004E1EBC"/>
    <w:rsid w:val="004F045B"/>
    <w:rsid w:val="004F638E"/>
    <w:rsid w:val="004F6AF7"/>
    <w:rsid w:val="005009C0"/>
    <w:rsid w:val="005011F4"/>
    <w:rsid w:val="0050529D"/>
    <w:rsid w:val="00505819"/>
    <w:rsid w:val="0050589D"/>
    <w:rsid w:val="00515FA0"/>
    <w:rsid w:val="00516BD0"/>
    <w:rsid w:val="005254B0"/>
    <w:rsid w:val="00526451"/>
    <w:rsid w:val="00532355"/>
    <w:rsid w:val="00533ADB"/>
    <w:rsid w:val="00535F6C"/>
    <w:rsid w:val="00536EBC"/>
    <w:rsid w:val="00540BD6"/>
    <w:rsid w:val="005452D9"/>
    <w:rsid w:val="005510F8"/>
    <w:rsid w:val="00551931"/>
    <w:rsid w:val="00552BCA"/>
    <w:rsid w:val="0055508E"/>
    <w:rsid w:val="00555B19"/>
    <w:rsid w:val="0056001B"/>
    <w:rsid w:val="00560EB1"/>
    <w:rsid w:val="005620FC"/>
    <w:rsid w:val="005656B8"/>
    <w:rsid w:val="00565C0E"/>
    <w:rsid w:val="005700D8"/>
    <w:rsid w:val="0057252B"/>
    <w:rsid w:val="00574243"/>
    <w:rsid w:val="00575A90"/>
    <w:rsid w:val="00581AD9"/>
    <w:rsid w:val="0058263F"/>
    <w:rsid w:val="0058376E"/>
    <w:rsid w:val="00586CEA"/>
    <w:rsid w:val="00587EB9"/>
    <w:rsid w:val="00593007"/>
    <w:rsid w:val="005943F6"/>
    <w:rsid w:val="005A4BCF"/>
    <w:rsid w:val="005A6A43"/>
    <w:rsid w:val="005A6FA7"/>
    <w:rsid w:val="005B0637"/>
    <w:rsid w:val="005B2F6C"/>
    <w:rsid w:val="005C3520"/>
    <w:rsid w:val="005C5868"/>
    <w:rsid w:val="005C6415"/>
    <w:rsid w:val="005C70D9"/>
    <w:rsid w:val="005D440E"/>
    <w:rsid w:val="005D4FB0"/>
    <w:rsid w:val="005D57F6"/>
    <w:rsid w:val="005E0332"/>
    <w:rsid w:val="005E1187"/>
    <w:rsid w:val="005E17E9"/>
    <w:rsid w:val="005E2169"/>
    <w:rsid w:val="005E3ED9"/>
    <w:rsid w:val="005E66AA"/>
    <w:rsid w:val="005F32C3"/>
    <w:rsid w:val="005F6F15"/>
    <w:rsid w:val="006016A4"/>
    <w:rsid w:val="00602F5E"/>
    <w:rsid w:val="00603126"/>
    <w:rsid w:val="00606341"/>
    <w:rsid w:val="006063BD"/>
    <w:rsid w:val="00606761"/>
    <w:rsid w:val="0060755C"/>
    <w:rsid w:val="00607F59"/>
    <w:rsid w:val="00616369"/>
    <w:rsid w:val="006178B3"/>
    <w:rsid w:val="0062189F"/>
    <w:rsid w:val="00621D13"/>
    <w:rsid w:val="00622F2D"/>
    <w:rsid w:val="006315B0"/>
    <w:rsid w:val="00637093"/>
    <w:rsid w:val="0064076A"/>
    <w:rsid w:val="006417C6"/>
    <w:rsid w:val="00641F18"/>
    <w:rsid w:val="00646F42"/>
    <w:rsid w:val="00647484"/>
    <w:rsid w:val="00652621"/>
    <w:rsid w:val="00653A9E"/>
    <w:rsid w:val="00661AE6"/>
    <w:rsid w:val="00661C9C"/>
    <w:rsid w:val="00663270"/>
    <w:rsid w:val="00664FBF"/>
    <w:rsid w:val="00667D4C"/>
    <w:rsid w:val="00674591"/>
    <w:rsid w:val="0067581F"/>
    <w:rsid w:val="006768C1"/>
    <w:rsid w:val="006826ED"/>
    <w:rsid w:val="00684F5B"/>
    <w:rsid w:val="00685883"/>
    <w:rsid w:val="006869C0"/>
    <w:rsid w:val="006A11AD"/>
    <w:rsid w:val="006A54DC"/>
    <w:rsid w:val="006B00A9"/>
    <w:rsid w:val="006B1004"/>
    <w:rsid w:val="006B5FC0"/>
    <w:rsid w:val="006C0155"/>
    <w:rsid w:val="006C2C3F"/>
    <w:rsid w:val="006D0A77"/>
    <w:rsid w:val="006D3EF1"/>
    <w:rsid w:val="006D4E6A"/>
    <w:rsid w:val="006E0B96"/>
    <w:rsid w:val="006F143F"/>
    <w:rsid w:val="006F454B"/>
    <w:rsid w:val="006F73D8"/>
    <w:rsid w:val="007020B2"/>
    <w:rsid w:val="00705158"/>
    <w:rsid w:val="0071129A"/>
    <w:rsid w:val="007118D9"/>
    <w:rsid w:val="007211D1"/>
    <w:rsid w:val="007212DF"/>
    <w:rsid w:val="00724F80"/>
    <w:rsid w:val="0072654D"/>
    <w:rsid w:val="007265AA"/>
    <w:rsid w:val="0073256C"/>
    <w:rsid w:val="00732AF7"/>
    <w:rsid w:val="00734131"/>
    <w:rsid w:val="00737289"/>
    <w:rsid w:val="00741BEB"/>
    <w:rsid w:val="007422EB"/>
    <w:rsid w:val="00742D03"/>
    <w:rsid w:val="00743EF0"/>
    <w:rsid w:val="00744F2D"/>
    <w:rsid w:val="00745070"/>
    <w:rsid w:val="0074622A"/>
    <w:rsid w:val="0075270B"/>
    <w:rsid w:val="007613E3"/>
    <w:rsid w:val="00764763"/>
    <w:rsid w:val="00766597"/>
    <w:rsid w:val="00773C31"/>
    <w:rsid w:val="00773DFF"/>
    <w:rsid w:val="00776285"/>
    <w:rsid w:val="00777C9E"/>
    <w:rsid w:val="00782AC4"/>
    <w:rsid w:val="007848FD"/>
    <w:rsid w:val="00791A2F"/>
    <w:rsid w:val="007976F6"/>
    <w:rsid w:val="007B0D5B"/>
    <w:rsid w:val="007B1B49"/>
    <w:rsid w:val="007C10FE"/>
    <w:rsid w:val="007C13E4"/>
    <w:rsid w:val="007C1507"/>
    <w:rsid w:val="007C31C0"/>
    <w:rsid w:val="007C5D18"/>
    <w:rsid w:val="007C6247"/>
    <w:rsid w:val="007D157E"/>
    <w:rsid w:val="007D1A44"/>
    <w:rsid w:val="007D35E6"/>
    <w:rsid w:val="007D6A34"/>
    <w:rsid w:val="007E1958"/>
    <w:rsid w:val="007E43AD"/>
    <w:rsid w:val="007E624C"/>
    <w:rsid w:val="007E691E"/>
    <w:rsid w:val="007E6E55"/>
    <w:rsid w:val="007F0CEC"/>
    <w:rsid w:val="007F14D8"/>
    <w:rsid w:val="007F3FF6"/>
    <w:rsid w:val="007F427C"/>
    <w:rsid w:val="007F4B1F"/>
    <w:rsid w:val="007F4F9F"/>
    <w:rsid w:val="007F6765"/>
    <w:rsid w:val="008026DA"/>
    <w:rsid w:val="00806723"/>
    <w:rsid w:val="00806EDB"/>
    <w:rsid w:val="00810509"/>
    <w:rsid w:val="008121AE"/>
    <w:rsid w:val="0082460E"/>
    <w:rsid w:val="008320D5"/>
    <w:rsid w:val="00837F8D"/>
    <w:rsid w:val="008403EA"/>
    <w:rsid w:val="00843794"/>
    <w:rsid w:val="00844345"/>
    <w:rsid w:val="0085384A"/>
    <w:rsid w:val="00853A01"/>
    <w:rsid w:val="00857447"/>
    <w:rsid w:val="008606C0"/>
    <w:rsid w:val="00862A3F"/>
    <w:rsid w:val="00864F38"/>
    <w:rsid w:val="0087018B"/>
    <w:rsid w:val="0087132C"/>
    <w:rsid w:val="00872EE7"/>
    <w:rsid w:val="00880F9C"/>
    <w:rsid w:val="00882D0A"/>
    <w:rsid w:val="00884747"/>
    <w:rsid w:val="00885330"/>
    <w:rsid w:val="0088583D"/>
    <w:rsid w:val="0088713D"/>
    <w:rsid w:val="00887548"/>
    <w:rsid w:val="0089481D"/>
    <w:rsid w:val="00894B36"/>
    <w:rsid w:val="00897FB6"/>
    <w:rsid w:val="008A0796"/>
    <w:rsid w:val="008A1909"/>
    <w:rsid w:val="008A4FCA"/>
    <w:rsid w:val="008A7E45"/>
    <w:rsid w:val="008B393A"/>
    <w:rsid w:val="008C2269"/>
    <w:rsid w:val="008C353E"/>
    <w:rsid w:val="008C53B6"/>
    <w:rsid w:val="008C5A43"/>
    <w:rsid w:val="008C6B25"/>
    <w:rsid w:val="008D16C2"/>
    <w:rsid w:val="008D6D21"/>
    <w:rsid w:val="008E0016"/>
    <w:rsid w:val="008E62A2"/>
    <w:rsid w:val="008E7281"/>
    <w:rsid w:val="008E74C0"/>
    <w:rsid w:val="008E7F14"/>
    <w:rsid w:val="008F0C39"/>
    <w:rsid w:val="008F34ED"/>
    <w:rsid w:val="008F71F1"/>
    <w:rsid w:val="009204C4"/>
    <w:rsid w:val="00921E54"/>
    <w:rsid w:val="00922B2E"/>
    <w:rsid w:val="009269BA"/>
    <w:rsid w:val="00927CC1"/>
    <w:rsid w:val="00930E3E"/>
    <w:rsid w:val="009337AA"/>
    <w:rsid w:val="00933E37"/>
    <w:rsid w:val="009347DA"/>
    <w:rsid w:val="00937235"/>
    <w:rsid w:val="00937B12"/>
    <w:rsid w:val="009405CC"/>
    <w:rsid w:val="00941E5E"/>
    <w:rsid w:val="0094250D"/>
    <w:rsid w:val="0094267A"/>
    <w:rsid w:val="00942DC1"/>
    <w:rsid w:val="0094596B"/>
    <w:rsid w:val="00946126"/>
    <w:rsid w:val="00952827"/>
    <w:rsid w:val="00953544"/>
    <w:rsid w:val="00953BE6"/>
    <w:rsid w:val="00961850"/>
    <w:rsid w:val="00965E91"/>
    <w:rsid w:val="00970A5D"/>
    <w:rsid w:val="00973536"/>
    <w:rsid w:val="00975752"/>
    <w:rsid w:val="009824C3"/>
    <w:rsid w:val="009849D8"/>
    <w:rsid w:val="00984B1B"/>
    <w:rsid w:val="009918CA"/>
    <w:rsid w:val="00994D78"/>
    <w:rsid w:val="00995225"/>
    <w:rsid w:val="009954DF"/>
    <w:rsid w:val="00997BCE"/>
    <w:rsid w:val="009A05C7"/>
    <w:rsid w:val="009A0C77"/>
    <w:rsid w:val="009A266D"/>
    <w:rsid w:val="009A4365"/>
    <w:rsid w:val="009A659E"/>
    <w:rsid w:val="009B18DB"/>
    <w:rsid w:val="009B703A"/>
    <w:rsid w:val="009B7C9F"/>
    <w:rsid w:val="009C4C57"/>
    <w:rsid w:val="009D138C"/>
    <w:rsid w:val="009D1525"/>
    <w:rsid w:val="009D2621"/>
    <w:rsid w:val="009D49B6"/>
    <w:rsid w:val="009D6D69"/>
    <w:rsid w:val="009E1018"/>
    <w:rsid w:val="009E544D"/>
    <w:rsid w:val="009F6A07"/>
    <w:rsid w:val="009F7542"/>
    <w:rsid w:val="009F780D"/>
    <w:rsid w:val="00A026B8"/>
    <w:rsid w:val="00A0348E"/>
    <w:rsid w:val="00A04A16"/>
    <w:rsid w:val="00A05643"/>
    <w:rsid w:val="00A0645E"/>
    <w:rsid w:val="00A074E8"/>
    <w:rsid w:val="00A14531"/>
    <w:rsid w:val="00A14EE3"/>
    <w:rsid w:val="00A20F79"/>
    <w:rsid w:val="00A2237D"/>
    <w:rsid w:val="00A24B2F"/>
    <w:rsid w:val="00A24E32"/>
    <w:rsid w:val="00A330EA"/>
    <w:rsid w:val="00A334BC"/>
    <w:rsid w:val="00A4024D"/>
    <w:rsid w:val="00A41C38"/>
    <w:rsid w:val="00A42BCB"/>
    <w:rsid w:val="00A5067C"/>
    <w:rsid w:val="00A53EE3"/>
    <w:rsid w:val="00A54873"/>
    <w:rsid w:val="00A60AF8"/>
    <w:rsid w:val="00A6103C"/>
    <w:rsid w:val="00A6133B"/>
    <w:rsid w:val="00A621B1"/>
    <w:rsid w:val="00A62E3A"/>
    <w:rsid w:val="00A64BDF"/>
    <w:rsid w:val="00A67B43"/>
    <w:rsid w:val="00A7230A"/>
    <w:rsid w:val="00A81C74"/>
    <w:rsid w:val="00A84DF9"/>
    <w:rsid w:val="00A86011"/>
    <w:rsid w:val="00A91E40"/>
    <w:rsid w:val="00A93516"/>
    <w:rsid w:val="00A96012"/>
    <w:rsid w:val="00AA0AF6"/>
    <w:rsid w:val="00AA0D6E"/>
    <w:rsid w:val="00AA1B69"/>
    <w:rsid w:val="00AA1F2E"/>
    <w:rsid w:val="00AA2F68"/>
    <w:rsid w:val="00AA39C5"/>
    <w:rsid w:val="00AA40BB"/>
    <w:rsid w:val="00AA71B9"/>
    <w:rsid w:val="00AA7ACD"/>
    <w:rsid w:val="00AB17FA"/>
    <w:rsid w:val="00AB1939"/>
    <w:rsid w:val="00AB30EA"/>
    <w:rsid w:val="00AB7A4C"/>
    <w:rsid w:val="00AC1C16"/>
    <w:rsid w:val="00AC3347"/>
    <w:rsid w:val="00AC3A90"/>
    <w:rsid w:val="00AD024B"/>
    <w:rsid w:val="00AD1120"/>
    <w:rsid w:val="00AD2568"/>
    <w:rsid w:val="00AD37F6"/>
    <w:rsid w:val="00AD51C3"/>
    <w:rsid w:val="00AD552D"/>
    <w:rsid w:val="00AD6E8A"/>
    <w:rsid w:val="00AE0E3B"/>
    <w:rsid w:val="00AE14EE"/>
    <w:rsid w:val="00AE4045"/>
    <w:rsid w:val="00AE74CB"/>
    <w:rsid w:val="00B032B9"/>
    <w:rsid w:val="00B03ED4"/>
    <w:rsid w:val="00B05F15"/>
    <w:rsid w:val="00B072BD"/>
    <w:rsid w:val="00B1308D"/>
    <w:rsid w:val="00B147C7"/>
    <w:rsid w:val="00B14C06"/>
    <w:rsid w:val="00B16128"/>
    <w:rsid w:val="00B1630C"/>
    <w:rsid w:val="00B20A65"/>
    <w:rsid w:val="00B20C67"/>
    <w:rsid w:val="00B212EF"/>
    <w:rsid w:val="00B2320E"/>
    <w:rsid w:val="00B307FF"/>
    <w:rsid w:val="00B37295"/>
    <w:rsid w:val="00B37D78"/>
    <w:rsid w:val="00B41CB4"/>
    <w:rsid w:val="00B43E93"/>
    <w:rsid w:val="00B44199"/>
    <w:rsid w:val="00B50F2E"/>
    <w:rsid w:val="00B55270"/>
    <w:rsid w:val="00B65213"/>
    <w:rsid w:val="00B662AC"/>
    <w:rsid w:val="00B67226"/>
    <w:rsid w:val="00B714A9"/>
    <w:rsid w:val="00B72882"/>
    <w:rsid w:val="00B72DB5"/>
    <w:rsid w:val="00B7503C"/>
    <w:rsid w:val="00B76FF0"/>
    <w:rsid w:val="00B806CA"/>
    <w:rsid w:val="00B83308"/>
    <w:rsid w:val="00B83B59"/>
    <w:rsid w:val="00B848CC"/>
    <w:rsid w:val="00BA0D7B"/>
    <w:rsid w:val="00BA27BD"/>
    <w:rsid w:val="00BA3310"/>
    <w:rsid w:val="00BA3A6E"/>
    <w:rsid w:val="00BA5937"/>
    <w:rsid w:val="00BB09E0"/>
    <w:rsid w:val="00BB6FB0"/>
    <w:rsid w:val="00BB7CF2"/>
    <w:rsid w:val="00BC3C2D"/>
    <w:rsid w:val="00BC545B"/>
    <w:rsid w:val="00BC6596"/>
    <w:rsid w:val="00BD2AFB"/>
    <w:rsid w:val="00BE1C91"/>
    <w:rsid w:val="00BF073B"/>
    <w:rsid w:val="00BF58E9"/>
    <w:rsid w:val="00C0351C"/>
    <w:rsid w:val="00C03FAE"/>
    <w:rsid w:val="00C04756"/>
    <w:rsid w:val="00C04A2F"/>
    <w:rsid w:val="00C0647B"/>
    <w:rsid w:val="00C110D9"/>
    <w:rsid w:val="00C1613A"/>
    <w:rsid w:val="00C17038"/>
    <w:rsid w:val="00C22859"/>
    <w:rsid w:val="00C22A0F"/>
    <w:rsid w:val="00C23333"/>
    <w:rsid w:val="00C23787"/>
    <w:rsid w:val="00C238C4"/>
    <w:rsid w:val="00C32295"/>
    <w:rsid w:val="00C325A3"/>
    <w:rsid w:val="00C3341A"/>
    <w:rsid w:val="00C3509B"/>
    <w:rsid w:val="00C35FD8"/>
    <w:rsid w:val="00C36660"/>
    <w:rsid w:val="00C36CC5"/>
    <w:rsid w:val="00C4133B"/>
    <w:rsid w:val="00C421A8"/>
    <w:rsid w:val="00C45A50"/>
    <w:rsid w:val="00C465C7"/>
    <w:rsid w:val="00C47694"/>
    <w:rsid w:val="00C50DC6"/>
    <w:rsid w:val="00C553A2"/>
    <w:rsid w:val="00C56DFC"/>
    <w:rsid w:val="00C56E12"/>
    <w:rsid w:val="00C61EC6"/>
    <w:rsid w:val="00C8008E"/>
    <w:rsid w:val="00C81DF4"/>
    <w:rsid w:val="00C83422"/>
    <w:rsid w:val="00C8403A"/>
    <w:rsid w:val="00C91C27"/>
    <w:rsid w:val="00C91E88"/>
    <w:rsid w:val="00C95F28"/>
    <w:rsid w:val="00CA12FF"/>
    <w:rsid w:val="00CA2259"/>
    <w:rsid w:val="00CA27D6"/>
    <w:rsid w:val="00CA7579"/>
    <w:rsid w:val="00CB2438"/>
    <w:rsid w:val="00CB25DB"/>
    <w:rsid w:val="00CB4F43"/>
    <w:rsid w:val="00CC35FD"/>
    <w:rsid w:val="00CC3F5D"/>
    <w:rsid w:val="00CC4F00"/>
    <w:rsid w:val="00CC7D98"/>
    <w:rsid w:val="00CD0D79"/>
    <w:rsid w:val="00CD6812"/>
    <w:rsid w:val="00CE0DE5"/>
    <w:rsid w:val="00CE21B4"/>
    <w:rsid w:val="00CE322A"/>
    <w:rsid w:val="00CE3AD6"/>
    <w:rsid w:val="00CE54CD"/>
    <w:rsid w:val="00CF0CEE"/>
    <w:rsid w:val="00CF6F64"/>
    <w:rsid w:val="00D02492"/>
    <w:rsid w:val="00D0300A"/>
    <w:rsid w:val="00D05825"/>
    <w:rsid w:val="00D07874"/>
    <w:rsid w:val="00D149B4"/>
    <w:rsid w:val="00D263C1"/>
    <w:rsid w:val="00D27C8D"/>
    <w:rsid w:val="00D3069F"/>
    <w:rsid w:val="00D31A83"/>
    <w:rsid w:val="00D31EE9"/>
    <w:rsid w:val="00D37DD6"/>
    <w:rsid w:val="00D4506E"/>
    <w:rsid w:val="00D47975"/>
    <w:rsid w:val="00D51DAB"/>
    <w:rsid w:val="00D553A7"/>
    <w:rsid w:val="00D55669"/>
    <w:rsid w:val="00D61A50"/>
    <w:rsid w:val="00D63D76"/>
    <w:rsid w:val="00D648B2"/>
    <w:rsid w:val="00D66364"/>
    <w:rsid w:val="00D7032A"/>
    <w:rsid w:val="00D70FAB"/>
    <w:rsid w:val="00D71802"/>
    <w:rsid w:val="00D72527"/>
    <w:rsid w:val="00D72736"/>
    <w:rsid w:val="00D75C02"/>
    <w:rsid w:val="00D75EEC"/>
    <w:rsid w:val="00D81C5E"/>
    <w:rsid w:val="00D844A9"/>
    <w:rsid w:val="00D85ECE"/>
    <w:rsid w:val="00D87065"/>
    <w:rsid w:val="00D87419"/>
    <w:rsid w:val="00D87824"/>
    <w:rsid w:val="00D87E99"/>
    <w:rsid w:val="00D90247"/>
    <w:rsid w:val="00D94694"/>
    <w:rsid w:val="00D95FB1"/>
    <w:rsid w:val="00D961EF"/>
    <w:rsid w:val="00D96DA5"/>
    <w:rsid w:val="00D97762"/>
    <w:rsid w:val="00DA0948"/>
    <w:rsid w:val="00DA0E6D"/>
    <w:rsid w:val="00DA0F5F"/>
    <w:rsid w:val="00DA2367"/>
    <w:rsid w:val="00DA5993"/>
    <w:rsid w:val="00DB2E64"/>
    <w:rsid w:val="00DB613D"/>
    <w:rsid w:val="00DB7241"/>
    <w:rsid w:val="00DC125A"/>
    <w:rsid w:val="00DC5538"/>
    <w:rsid w:val="00DD21B4"/>
    <w:rsid w:val="00DD37DE"/>
    <w:rsid w:val="00DD3AEA"/>
    <w:rsid w:val="00DD429F"/>
    <w:rsid w:val="00DD45E8"/>
    <w:rsid w:val="00DD6A2D"/>
    <w:rsid w:val="00DD72F6"/>
    <w:rsid w:val="00DE0073"/>
    <w:rsid w:val="00DE332E"/>
    <w:rsid w:val="00DE52B8"/>
    <w:rsid w:val="00DE6C79"/>
    <w:rsid w:val="00DF12D3"/>
    <w:rsid w:val="00DF4873"/>
    <w:rsid w:val="00DF725E"/>
    <w:rsid w:val="00E045E5"/>
    <w:rsid w:val="00E104A0"/>
    <w:rsid w:val="00E10B86"/>
    <w:rsid w:val="00E138F8"/>
    <w:rsid w:val="00E141DE"/>
    <w:rsid w:val="00E14BDF"/>
    <w:rsid w:val="00E2327B"/>
    <w:rsid w:val="00E23528"/>
    <w:rsid w:val="00E2437D"/>
    <w:rsid w:val="00E24713"/>
    <w:rsid w:val="00E35406"/>
    <w:rsid w:val="00E3742A"/>
    <w:rsid w:val="00E42AA0"/>
    <w:rsid w:val="00E4370A"/>
    <w:rsid w:val="00E445F6"/>
    <w:rsid w:val="00E44D89"/>
    <w:rsid w:val="00E45CCA"/>
    <w:rsid w:val="00E471B7"/>
    <w:rsid w:val="00E57DBA"/>
    <w:rsid w:val="00E60B5D"/>
    <w:rsid w:val="00E6100A"/>
    <w:rsid w:val="00E62A81"/>
    <w:rsid w:val="00E62C5D"/>
    <w:rsid w:val="00E64A95"/>
    <w:rsid w:val="00E679B9"/>
    <w:rsid w:val="00E710CD"/>
    <w:rsid w:val="00E71CF9"/>
    <w:rsid w:val="00E75386"/>
    <w:rsid w:val="00E75998"/>
    <w:rsid w:val="00E75A7E"/>
    <w:rsid w:val="00E81086"/>
    <w:rsid w:val="00E84ACF"/>
    <w:rsid w:val="00E85797"/>
    <w:rsid w:val="00E85CED"/>
    <w:rsid w:val="00E928DE"/>
    <w:rsid w:val="00E93A1C"/>
    <w:rsid w:val="00EA252A"/>
    <w:rsid w:val="00EA7E91"/>
    <w:rsid w:val="00EB16ED"/>
    <w:rsid w:val="00EC2AB4"/>
    <w:rsid w:val="00EC3FF0"/>
    <w:rsid w:val="00ED20AF"/>
    <w:rsid w:val="00ED78C4"/>
    <w:rsid w:val="00EE4ECB"/>
    <w:rsid w:val="00F00429"/>
    <w:rsid w:val="00F038F1"/>
    <w:rsid w:val="00F05CB2"/>
    <w:rsid w:val="00F06C9E"/>
    <w:rsid w:val="00F0723E"/>
    <w:rsid w:val="00F1104F"/>
    <w:rsid w:val="00F121EF"/>
    <w:rsid w:val="00F163C0"/>
    <w:rsid w:val="00F170EC"/>
    <w:rsid w:val="00F334E4"/>
    <w:rsid w:val="00F34561"/>
    <w:rsid w:val="00F37405"/>
    <w:rsid w:val="00F41D04"/>
    <w:rsid w:val="00F41F8E"/>
    <w:rsid w:val="00F43B95"/>
    <w:rsid w:val="00F44D9C"/>
    <w:rsid w:val="00F5028E"/>
    <w:rsid w:val="00F5383A"/>
    <w:rsid w:val="00F53F3B"/>
    <w:rsid w:val="00F54C1C"/>
    <w:rsid w:val="00F62984"/>
    <w:rsid w:val="00F64091"/>
    <w:rsid w:val="00F711FB"/>
    <w:rsid w:val="00F71D28"/>
    <w:rsid w:val="00F72B06"/>
    <w:rsid w:val="00F74FB0"/>
    <w:rsid w:val="00F806DB"/>
    <w:rsid w:val="00F8427E"/>
    <w:rsid w:val="00F85C94"/>
    <w:rsid w:val="00F90162"/>
    <w:rsid w:val="00F938D5"/>
    <w:rsid w:val="00F95CF2"/>
    <w:rsid w:val="00FA01AA"/>
    <w:rsid w:val="00FA2860"/>
    <w:rsid w:val="00FA30A0"/>
    <w:rsid w:val="00FA3796"/>
    <w:rsid w:val="00FA3A86"/>
    <w:rsid w:val="00FA5FDF"/>
    <w:rsid w:val="00FB0087"/>
    <w:rsid w:val="00FB290C"/>
    <w:rsid w:val="00FB4BC9"/>
    <w:rsid w:val="00FC1C1B"/>
    <w:rsid w:val="00FC3AD4"/>
    <w:rsid w:val="00FC7333"/>
    <w:rsid w:val="00FD4AE7"/>
    <w:rsid w:val="00FD4DCF"/>
    <w:rsid w:val="00FD62F9"/>
    <w:rsid w:val="00FE2BE6"/>
    <w:rsid w:val="00FE37B8"/>
    <w:rsid w:val="00FF0CE0"/>
    <w:rsid w:val="00FF22BA"/>
    <w:rsid w:val="00FF299A"/>
    <w:rsid w:val="00FF54A3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09D"/>
  </w:style>
  <w:style w:type="paragraph" w:styleId="Nadpis1">
    <w:name w:val="heading 1"/>
    <w:basedOn w:val="Normln"/>
    <w:next w:val="Normln"/>
    <w:link w:val="Nadpis1Char"/>
    <w:qFormat/>
    <w:rsid w:val="000D3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A12FF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30E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30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0D30ED"/>
    <w:pPr>
      <w:numPr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3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CA12FF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30ED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rsid w:val="000D30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D30E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40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409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409D"/>
    <w:rPr>
      <w:vertAlign w:val="superscript"/>
    </w:rPr>
  </w:style>
  <w:style w:type="paragraph" w:styleId="Zpat">
    <w:name w:val="footer"/>
    <w:basedOn w:val="Normln"/>
    <w:link w:val="ZpatChar"/>
    <w:unhideWhenUsed/>
    <w:rsid w:val="003D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D409D"/>
  </w:style>
  <w:style w:type="paragraph" w:styleId="Textbubliny">
    <w:name w:val="Balloon Text"/>
    <w:basedOn w:val="Normln"/>
    <w:link w:val="TextbublinyChar"/>
    <w:uiPriority w:val="99"/>
    <w:semiHidden/>
    <w:unhideWhenUsed/>
    <w:rsid w:val="003D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0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700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8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5CED"/>
  </w:style>
  <w:style w:type="character" w:styleId="Odkaznakoment">
    <w:name w:val="annotation reference"/>
    <w:basedOn w:val="Standardnpsmoodstavce"/>
    <w:uiPriority w:val="99"/>
    <w:semiHidden/>
    <w:unhideWhenUsed/>
    <w:rsid w:val="001114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4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14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4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4D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114D6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semiHidden/>
    <w:rsid w:val="000D30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D30ED"/>
    <w:rPr>
      <w:rFonts w:ascii="Times New Roman" w:eastAsia="Times New Roman" w:hAnsi="Times New Roman" w:cs="Times New Roman"/>
      <w:sz w:val="24"/>
      <w:szCs w:val="24"/>
    </w:rPr>
  </w:style>
  <w:style w:type="paragraph" w:customStyle="1" w:styleId="Zpravodaj2">
    <w:name w:val="Zpravodaj2"/>
    <w:basedOn w:val="Nadpis1"/>
    <w:next w:val="Zkladntext"/>
    <w:rsid w:val="000D30ED"/>
    <w:pPr>
      <w:keepLines w:val="0"/>
      <w:tabs>
        <w:tab w:val="num" w:pos="720"/>
      </w:tabs>
      <w:spacing w:before="0" w:line="240" w:lineRule="auto"/>
      <w:ind w:left="720" w:hanging="360"/>
      <w:jc w:val="both"/>
    </w:pPr>
    <w:rPr>
      <w:rFonts w:ascii="Palatino Linotype" w:eastAsia="Times New Roman" w:hAnsi="Palatino Linotype" w:cs="Times New Roman"/>
      <w:color w:val="auto"/>
      <w:szCs w:val="24"/>
    </w:rPr>
  </w:style>
  <w:style w:type="paragraph" w:styleId="Zkladntext">
    <w:name w:val="Body Text"/>
    <w:basedOn w:val="Normln"/>
    <w:link w:val="ZkladntextChar"/>
    <w:semiHidden/>
    <w:rsid w:val="000D30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D30ED"/>
    <w:rPr>
      <w:rFonts w:ascii="Times New Roman" w:eastAsia="Times New Roman" w:hAnsi="Times New Roman" w:cs="Times New Roman"/>
      <w:sz w:val="24"/>
      <w:szCs w:val="24"/>
    </w:rPr>
  </w:style>
  <w:style w:type="paragraph" w:customStyle="1" w:styleId="KZ-nadpis">
    <w:name w:val="KZ-nadpis"/>
    <w:basedOn w:val="Normln"/>
    <w:next w:val="Normln"/>
    <w:rsid w:val="000D30ED"/>
    <w:pPr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lnweb">
    <w:name w:val="Normal (Web)"/>
    <w:basedOn w:val="Normln"/>
    <w:semiHidden/>
    <w:rsid w:val="000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semiHidden/>
    <w:rsid w:val="000D30ED"/>
    <w:rPr>
      <w:color w:val="0000FF"/>
      <w:u w:val="single"/>
    </w:rPr>
  </w:style>
  <w:style w:type="paragraph" w:customStyle="1" w:styleId="ARNORMAL">
    <w:name w:val="AR NORMAL"/>
    <w:basedOn w:val="Normln"/>
    <w:qFormat/>
    <w:rsid w:val="000D30ED"/>
    <w:pPr>
      <w:spacing w:after="0" w:line="240" w:lineRule="auto"/>
    </w:pPr>
    <w:rPr>
      <w:rFonts w:ascii="Arial" w:eastAsia="Times New Roman" w:hAnsi="Arial" w:cs="Times New Roman"/>
      <w:szCs w:val="24"/>
    </w:rPr>
  </w:style>
  <w:style w:type="table" w:styleId="Mkatabulky">
    <w:name w:val="Table Grid"/>
    <w:basedOn w:val="Normlntabulka"/>
    <w:uiPriority w:val="59"/>
    <w:rsid w:val="000D30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0D30ED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D30ED"/>
    <w:rPr>
      <w:rFonts w:ascii="Tahoma" w:eastAsia="Times New Roman" w:hAnsi="Tahoma" w:cs="Tahoma"/>
      <w:b/>
      <w:bCs/>
      <w:sz w:val="28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0D30ED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Bezmezer">
    <w:name w:val="No Spacing"/>
    <w:aliases w:val="KP,Bez mezer1"/>
    <w:uiPriority w:val="1"/>
    <w:qFormat/>
    <w:rsid w:val="000D30ED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Topic">
    <w:name w:val="Topic"/>
    <w:rsid w:val="000D3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D30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09D"/>
  </w:style>
  <w:style w:type="paragraph" w:styleId="Nadpis1">
    <w:name w:val="heading 1"/>
    <w:basedOn w:val="Normln"/>
    <w:next w:val="Normln"/>
    <w:link w:val="Nadpis1Char"/>
    <w:qFormat/>
    <w:rsid w:val="000D3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A12FF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30E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30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0D30ED"/>
    <w:pPr>
      <w:numPr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3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CA12FF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30ED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rsid w:val="000D30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D30E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40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409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409D"/>
    <w:rPr>
      <w:vertAlign w:val="superscript"/>
    </w:rPr>
  </w:style>
  <w:style w:type="paragraph" w:styleId="Zpat">
    <w:name w:val="footer"/>
    <w:basedOn w:val="Normln"/>
    <w:link w:val="ZpatChar"/>
    <w:unhideWhenUsed/>
    <w:rsid w:val="003D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D409D"/>
  </w:style>
  <w:style w:type="paragraph" w:styleId="Textbubliny">
    <w:name w:val="Balloon Text"/>
    <w:basedOn w:val="Normln"/>
    <w:link w:val="TextbublinyChar"/>
    <w:uiPriority w:val="99"/>
    <w:semiHidden/>
    <w:unhideWhenUsed/>
    <w:rsid w:val="003D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0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700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8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5CED"/>
  </w:style>
  <w:style w:type="character" w:styleId="Odkaznakoment">
    <w:name w:val="annotation reference"/>
    <w:basedOn w:val="Standardnpsmoodstavce"/>
    <w:uiPriority w:val="99"/>
    <w:semiHidden/>
    <w:unhideWhenUsed/>
    <w:rsid w:val="001114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4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14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4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4D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114D6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semiHidden/>
    <w:rsid w:val="000D30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D30ED"/>
    <w:rPr>
      <w:rFonts w:ascii="Times New Roman" w:eastAsia="Times New Roman" w:hAnsi="Times New Roman" w:cs="Times New Roman"/>
      <w:sz w:val="24"/>
      <w:szCs w:val="24"/>
    </w:rPr>
  </w:style>
  <w:style w:type="paragraph" w:customStyle="1" w:styleId="Zpravodaj2">
    <w:name w:val="Zpravodaj2"/>
    <w:basedOn w:val="Nadpis1"/>
    <w:next w:val="Zkladntext"/>
    <w:rsid w:val="000D30ED"/>
    <w:pPr>
      <w:keepLines w:val="0"/>
      <w:tabs>
        <w:tab w:val="num" w:pos="720"/>
      </w:tabs>
      <w:spacing w:before="0" w:line="240" w:lineRule="auto"/>
      <w:ind w:left="720" w:hanging="360"/>
      <w:jc w:val="both"/>
    </w:pPr>
    <w:rPr>
      <w:rFonts w:ascii="Palatino Linotype" w:eastAsia="Times New Roman" w:hAnsi="Palatino Linotype" w:cs="Times New Roman"/>
      <w:color w:val="auto"/>
      <w:szCs w:val="24"/>
    </w:rPr>
  </w:style>
  <w:style w:type="paragraph" w:styleId="Zkladntext">
    <w:name w:val="Body Text"/>
    <w:basedOn w:val="Normln"/>
    <w:link w:val="ZkladntextChar"/>
    <w:semiHidden/>
    <w:rsid w:val="000D30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D30ED"/>
    <w:rPr>
      <w:rFonts w:ascii="Times New Roman" w:eastAsia="Times New Roman" w:hAnsi="Times New Roman" w:cs="Times New Roman"/>
      <w:sz w:val="24"/>
      <w:szCs w:val="24"/>
    </w:rPr>
  </w:style>
  <w:style w:type="paragraph" w:customStyle="1" w:styleId="KZ-nadpis">
    <w:name w:val="KZ-nadpis"/>
    <w:basedOn w:val="Normln"/>
    <w:next w:val="Normln"/>
    <w:rsid w:val="000D30ED"/>
    <w:pPr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lnweb">
    <w:name w:val="Normal (Web)"/>
    <w:basedOn w:val="Normln"/>
    <w:semiHidden/>
    <w:rsid w:val="000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semiHidden/>
    <w:rsid w:val="000D30ED"/>
    <w:rPr>
      <w:color w:val="0000FF"/>
      <w:u w:val="single"/>
    </w:rPr>
  </w:style>
  <w:style w:type="paragraph" w:customStyle="1" w:styleId="ARNORMAL">
    <w:name w:val="AR NORMAL"/>
    <w:basedOn w:val="Normln"/>
    <w:qFormat/>
    <w:rsid w:val="000D30ED"/>
    <w:pPr>
      <w:spacing w:after="0" w:line="240" w:lineRule="auto"/>
    </w:pPr>
    <w:rPr>
      <w:rFonts w:ascii="Arial" w:eastAsia="Times New Roman" w:hAnsi="Arial" w:cs="Times New Roman"/>
      <w:szCs w:val="24"/>
    </w:rPr>
  </w:style>
  <w:style w:type="table" w:styleId="Mkatabulky">
    <w:name w:val="Table Grid"/>
    <w:basedOn w:val="Normlntabulka"/>
    <w:uiPriority w:val="59"/>
    <w:rsid w:val="000D30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0D30ED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D30ED"/>
    <w:rPr>
      <w:rFonts w:ascii="Tahoma" w:eastAsia="Times New Roman" w:hAnsi="Tahoma" w:cs="Tahoma"/>
      <w:b/>
      <w:bCs/>
      <w:sz w:val="28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0D30ED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Bezmezer">
    <w:name w:val="No Spacing"/>
    <w:aliases w:val="KP,Bez mezer1"/>
    <w:uiPriority w:val="1"/>
    <w:qFormat/>
    <w:rsid w:val="000D30ED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Topic">
    <w:name w:val="Topic"/>
    <w:rsid w:val="000D3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D30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3B665-CEA8-418F-AE91-F1333980FD8A}"/>
</file>

<file path=customXml/itemProps2.xml><?xml version="1.0" encoding="utf-8"?>
<ds:datastoreItem xmlns:ds="http://schemas.openxmlformats.org/officeDocument/2006/customXml" ds:itemID="{5D3E0E87-E362-4400-B90C-B99268B57D72}"/>
</file>

<file path=customXml/itemProps3.xml><?xml version="1.0" encoding="utf-8"?>
<ds:datastoreItem xmlns:ds="http://schemas.openxmlformats.org/officeDocument/2006/customXml" ds:itemID="{7AAE912D-D29D-4BF4-91A5-16F53D473D68}"/>
</file>

<file path=customXml/itemProps4.xml><?xml version="1.0" encoding="utf-8"?>
<ds:datastoreItem xmlns:ds="http://schemas.openxmlformats.org/officeDocument/2006/customXml" ds:itemID="{D17DE074-21B5-4B50-94C4-A8AFDA9DF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4087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12/29</dc:title>
  <dc:creator>PROFELDOVÁ Zdeňka</dc:creator>
  <cp:lastModifiedBy>GREŠOVÁ Romana</cp:lastModifiedBy>
  <cp:revision>6</cp:revision>
  <cp:lastPrinted>2013-10-03T12:58:00Z</cp:lastPrinted>
  <dcterms:created xsi:type="dcterms:W3CDTF">2013-10-07T08:21:00Z</dcterms:created>
  <dcterms:modified xsi:type="dcterms:W3CDTF">2013-10-08T09:38:00Z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  <property fmtid="{D5CDD505-2E9C-101B-9397-08002B2CF9AE}" pid="3" name="CJ">
    <vt:lpwstr>12/29-NKU30/578/13</vt:lpwstr>
  </property>
  <property fmtid="{D5CDD505-2E9C-101B-9397-08002B2CF9AE}" pid="4" name="Contact_PostaOdes_All">
    <vt:lpwstr>ROZDĚLOVNÍK...</vt:lpwstr>
  </property>
  <property fmtid="{D5CDD505-2E9C-101B-9397-08002B2CF9AE}" pid="5" name="SZ_Spis_Pisemnost">
    <vt:lpwstr>12/29</vt:lpwstr>
  </property>
  <property fmtid="{D5CDD505-2E9C-101B-9397-08002B2CF9AE}" pid="6" name="DisplayName_SpisovyUzel_PoziceZodpo_Pisemnost">
    <vt:lpwstr>30</vt:lpwstr>
  </property>
  <property fmtid="{D5CDD505-2E9C-101B-9397-08002B2CF9AE}" pid="7" name="Zkratka_SpisovyUzel_PoziceZodpo_Pisemnost">
    <vt:lpwstr>30</vt:lpwstr>
  </property>
  <property fmtid="{D5CDD505-2E9C-101B-9397-08002B2CF9AE}" pid="8" name="Key_BarCode_Pisemnost">
    <vt:lpwstr>*B000188177*</vt:lpwstr>
  </property>
  <property fmtid="{D5CDD505-2E9C-101B-9397-08002B2CF9AE}" pid="9" name="EC_Pisemnost">
    <vt:lpwstr>13-13680</vt:lpwstr>
  </property>
  <property fmtid="{D5CDD505-2E9C-101B-9397-08002B2CF9AE}" pid="10" name="Odkaz">
    <vt:lpwstr>ODKAZ</vt:lpwstr>
  </property>
  <property fmtid="{D5CDD505-2E9C-101B-9397-08002B2CF9AE}" pid="11" name="SkartacniZnakLhuta_PisemnostZnak">
    <vt:lpwstr>/0</vt:lpwstr>
  </property>
  <property fmtid="{D5CDD505-2E9C-101B-9397-08002B2CF9AE}" pid="12" name="CJ_Spis_Pisemnost">
    <vt:lpwstr>CJ/SPIS/ROK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1</vt:lpwstr>
  </property>
  <property fmtid="{D5CDD505-2E9C-101B-9397-08002B2CF9AE}" pid="18" name="Vec_Pisemnost">
    <vt:lpwstr>Návrh kontrolního závěru 12/29 do připomínek</vt:lpwstr>
  </property>
  <property fmtid="{D5CDD505-2E9C-101B-9397-08002B2CF9AE}" pid="19" name="DatumPoriz_Pisemnost">
    <vt:lpwstr>11.9.2013</vt:lpwstr>
  </property>
  <property fmtid="{D5CDD505-2E9C-101B-9397-08002B2CF9AE}" pid="20" name="KRukam">
    <vt:lpwstr>{KRukam}</vt:lpwstr>
  </property>
  <property fmtid="{D5CDD505-2E9C-101B-9397-08002B2CF9AE}" pid="21" name="PocetListuDokumentu_Pisemnost">
    <vt:lpwstr>1</vt:lpwstr>
  </property>
  <property fmtid="{D5CDD505-2E9C-101B-9397-08002B2CF9AE}" pid="22" name="PocetPriloh_Pisemnost">
    <vt:lpwstr>POČET PŘÍLOH</vt:lpwstr>
  </property>
  <property fmtid="{D5CDD505-2E9C-101B-9397-08002B2CF9AE}" pid="23" name="TypPrilohy_Pisemnost">
    <vt:lpwstr>TYP PŘÍLOHY</vt:lpwstr>
  </property>
  <property fmtid="{D5CDD505-2E9C-101B-9397-08002B2CF9AE}" pid="24" name="DisplayName_UserPoriz_Pisemnost">
    <vt:lpwstr>Bc. Jana Pokorná</vt:lpwstr>
  </property>
  <property fmtid="{D5CDD505-2E9C-101B-9397-08002B2CF9AE}" pid="25" name="Podpis">
    <vt:lpwstr/>
  </property>
  <property fmtid="{D5CDD505-2E9C-101B-9397-08002B2CF9AE}" pid="26" name="SmlouvaCislo">
    <vt:lpwstr>ČÍSLO SMLOUVY</vt:lpwstr>
  </property>
</Properties>
</file>