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AC" w:rsidRPr="00734C2E" w:rsidRDefault="0097250A">
      <w:pPr>
        <w:pStyle w:val="Nadpis9"/>
        <w:spacing w:before="0" w:after="0"/>
        <w:jc w:val="center"/>
        <w:rPr>
          <w:rFonts w:ascii="Arial" w:hAnsi="Arial" w:cs="Arial"/>
          <w:b/>
        </w:rPr>
      </w:pPr>
      <w:r w:rsidRPr="00734C2E"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0954CFEA" wp14:editId="15B8F923">
            <wp:simplePos x="0" y="0"/>
            <wp:positionH relativeFrom="column">
              <wp:align>center</wp:align>
            </wp:positionH>
            <wp:positionV relativeFrom="paragraph">
              <wp:posOffset>-162560</wp:posOffset>
            </wp:positionV>
            <wp:extent cx="791210" cy="559435"/>
            <wp:effectExtent l="0" t="0" r="8890" b="0"/>
            <wp:wrapTopAndBottom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DAC" w:rsidRPr="00734C2E" w:rsidRDefault="00E47DAC">
      <w:pPr>
        <w:pStyle w:val="Nadpis9"/>
        <w:spacing w:before="0" w:after="0"/>
        <w:jc w:val="center"/>
        <w:rPr>
          <w:rFonts w:ascii="Arial" w:hAnsi="Arial" w:cs="Arial"/>
          <w:b/>
        </w:rPr>
      </w:pPr>
    </w:p>
    <w:p w:rsidR="00E47DAC" w:rsidRPr="00734C2E" w:rsidRDefault="00E47DAC">
      <w:pPr>
        <w:pStyle w:val="Nadpis9"/>
        <w:spacing w:before="0" w:after="0"/>
        <w:jc w:val="center"/>
        <w:rPr>
          <w:rFonts w:ascii="Arial" w:hAnsi="Arial" w:cs="Arial"/>
          <w:b/>
        </w:rPr>
      </w:pPr>
    </w:p>
    <w:p w:rsidR="00E47DAC" w:rsidRPr="00850DC1" w:rsidRDefault="00E47DAC" w:rsidP="00850DC1">
      <w:pPr>
        <w:pStyle w:val="Nadpis9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850DC1">
        <w:rPr>
          <w:rFonts w:ascii="Arial" w:hAnsi="Arial" w:cs="Arial"/>
          <w:b/>
          <w:sz w:val="28"/>
          <w:szCs w:val="28"/>
        </w:rPr>
        <w:t>Kontrolní závěr z kontrolní akce</w:t>
      </w:r>
    </w:p>
    <w:p w:rsidR="007C5432" w:rsidRPr="00850DC1" w:rsidRDefault="007C5432" w:rsidP="00850DC1">
      <w:pPr>
        <w:jc w:val="center"/>
        <w:rPr>
          <w:sz w:val="22"/>
          <w:szCs w:val="22"/>
        </w:rPr>
      </w:pPr>
    </w:p>
    <w:p w:rsidR="00E47DAC" w:rsidRPr="00850DC1" w:rsidRDefault="004379AD" w:rsidP="00850DC1">
      <w:pPr>
        <w:jc w:val="center"/>
        <w:rPr>
          <w:rFonts w:cs="Arial"/>
          <w:b/>
          <w:bCs/>
          <w:sz w:val="28"/>
          <w:szCs w:val="28"/>
        </w:rPr>
      </w:pPr>
      <w:r w:rsidRPr="00850DC1">
        <w:rPr>
          <w:rFonts w:cs="Arial"/>
          <w:b/>
          <w:bCs/>
          <w:sz w:val="28"/>
          <w:szCs w:val="28"/>
        </w:rPr>
        <w:t>1</w:t>
      </w:r>
      <w:r w:rsidR="008409FA" w:rsidRPr="00850DC1">
        <w:rPr>
          <w:rFonts w:cs="Arial"/>
          <w:b/>
          <w:bCs/>
          <w:sz w:val="28"/>
          <w:szCs w:val="28"/>
        </w:rPr>
        <w:t>2</w:t>
      </w:r>
      <w:r w:rsidR="00553974" w:rsidRPr="00850DC1">
        <w:rPr>
          <w:rFonts w:cs="Arial"/>
          <w:b/>
          <w:bCs/>
          <w:sz w:val="28"/>
          <w:szCs w:val="28"/>
        </w:rPr>
        <w:t>/</w:t>
      </w:r>
      <w:r w:rsidR="008409FA" w:rsidRPr="00850DC1">
        <w:rPr>
          <w:rFonts w:cs="Arial"/>
          <w:b/>
          <w:bCs/>
          <w:sz w:val="28"/>
          <w:szCs w:val="28"/>
        </w:rPr>
        <w:t>18</w:t>
      </w:r>
    </w:p>
    <w:p w:rsidR="007C5432" w:rsidRPr="00850DC1" w:rsidRDefault="007C5432" w:rsidP="00850DC1">
      <w:pPr>
        <w:jc w:val="center"/>
        <w:rPr>
          <w:rFonts w:cs="Arial"/>
          <w:b/>
          <w:bCs/>
          <w:sz w:val="22"/>
          <w:szCs w:val="22"/>
        </w:rPr>
      </w:pPr>
    </w:p>
    <w:p w:rsidR="00E04842" w:rsidRPr="00850DC1" w:rsidRDefault="008409FA" w:rsidP="00850DC1">
      <w:pPr>
        <w:jc w:val="center"/>
        <w:rPr>
          <w:rFonts w:cs="Arial"/>
          <w:b/>
          <w:sz w:val="28"/>
          <w:szCs w:val="28"/>
        </w:rPr>
      </w:pPr>
      <w:r w:rsidRPr="00850DC1">
        <w:rPr>
          <w:rFonts w:cs="Arial"/>
          <w:b/>
          <w:sz w:val="28"/>
          <w:szCs w:val="28"/>
        </w:rPr>
        <w:t>Peněžní prostředky určené na výstavbu</w:t>
      </w:r>
    </w:p>
    <w:p w:rsidR="00637B66" w:rsidRPr="00850DC1" w:rsidRDefault="008409FA" w:rsidP="00850DC1">
      <w:pPr>
        <w:jc w:val="center"/>
        <w:rPr>
          <w:rFonts w:cs="Arial"/>
          <w:b/>
          <w:sz w:val="28"/>
          <w:szCs w:val="28"/>
        </w:rPr>
      </w:pPr>
      <w:r w:rsidRPr="00850DC1">
        <w:rPr>
          <w:rFonts w:cs="Arial"/>
          <w:b/>
          <w:sz w:val="28"/>
          <w:szCs w:val="28"/>
        </w:rPr>
        <w:t>dálnic a rychlostních komunikací</w:t>
      </w:r>
    </w:p>
    <w:p w:rsidR="00E47DAC" w:rsidRPr="00734C2E" w:rsidRDefault="00E47DAC">
      <w:pPr>
        <w:rPr>
          <w:rFonts w:cs="Arial"/>
          <w:sz w:val="22"/>
          <w:szCs w:val="22"/>
        </w:rPr>
      </w:pPr>
    </w:p>
    <w:p w:rsidR="00E47DAC" w:rsidRPr="00734C2E" w:rsidRDefault="00E47DAC">
      <w:pPr>
        <w:rPr>
          <w:rFonts w:cs="Arial"/>
          <w:sz w:val="22"/>
          <w:szCs w:val="22"/>
        </w:rPr>
      </w:pPr>
    </w:p>
    <w:p w:rsidR="00E47DAC" w:rsidRPr="00734C2E" w:rsidRDefault="00E47DAC">
      <w:pPr>
        <w:pStyle w:val="Zkladn"/>
        <w:spacing w:before="0"/>
        <w:rPr>
          <w:rFonts w:cs="Arial"/>
          <w:sz w:val="22"/>
          <w:szCs w:val="22"/>
        </w:rPr>
      </w:pPr>
      <w:r w:rsidRPr="00734C2E">
        <w:rPr>
          <w:rFonts w:cs="Arial"/>
          <w:sz w:val="22"/>
          <w:szCs w:val="22"/>
        </w:rPr>
        <w:t>Kontrolní akce byla zařazena do plánu kontrolní činnosti Nejvyššího kontrolního úřadu (dále jen „NKÚ“) na rok 20</w:t>
      </w:r>
      <w:r w:rsidR="004379AD">
        <w:rPr>
          <w:rFonts w:cs="Arial"/>
          <w:sz w:val="22"/>
          <w:szCs w:val="22"/>
        </w:rPr>
        <w:t>1</w:t>
      </w:r>
      <w:r w:rsidR="008409FA">
        <w:rPr>
          <w:rFonts w:cs="Arial"/>
          <w:sz w:val="22"/>
          <w:szCs w:val="22"/>
        </w:rPr>
        <w:t>2</w:t>
      </w:r>
      <w:r w:rsidRPr="00734C2E">
        <w:rPr>
          <w:rFonts w:cs="Arial"/>
          <w:sz w:val="22"/>
          <w:szCs w:val="22"/>
        </w:rPr>
        <w:t xml:space="preserve"> pod číslem </w:t>
      </w:r>
      <w:r w:rsidR="004379AD">
        <w:rPr>
          <w:rFonts w:cs="Arial"/>
          <w:sz w:val="22"/>
          <w:szCs w:val="22"/>
        </w:rPr>
        <w:t>1</w:t>
      </w:r>
      <w:r w:rsidR="008409FA">
        <w:rPr>
          <w:rFonts w:cs="Arial"/>
          <w:sz w:val="22"/>
          <w:szCs w:val="22"/>
        </w:rPr>
        <w:t>2</w:t>
      </w:r>
      <w:r w:rsidRPr="00734C2E">
        <w:rPr>
          <w:rFonts w:cs="Arial"/>
          <w:sz w:val="22"/>
          <w:szCs w:val="22"/>
        </w:rPr>
        <w:t>/</w:t>
      </w:r>
      <w:r w:rsidR="008409FA">
        <w:rPr>
          <w:rFonts w:cs="Arial"/>
          <w:sz w:val="22"/>
          <w:szCs w:val="22"/>
        </w:rPr>
        <w:t>18</w:t>
      </w:r>
      <w:r w:rsidRPr="00734C2E">
        <w:rPr>
          <w:rFonts w:cs="Arial"/>
          <w:sz w:val="22"/>
          <w:szCs w:val="22"/>
        </w:rPr>
        <w:t xml:space="preserve">. Kontrolní akci řídil a kontrolní závěr vypracoval člen NKÚ Ing. Jiří </w:t>
      </w:r>
      <w:r w:rsidR="00DD1F0E" w:rsidRPr="00734C2E">
        <w:rPr>
          <w:rFonts w:cs="Arial"/>
          <w:sz w:val="22"/>
          <w:szCs w:val="22"/>
        </w:rPr>
        <w:t>Adámek</w:t>
      </w:r>
      <w:r w:rsidRPr="00734C2E">
        <w:rPr>
          <w:rFonts w:cs="Arial"/>
          <w:sz w:val="22"/>
          <w:szCs w:val="22"/>
        </w:rPr>
        <w:t xml:space="preserve">. </w:t>
      </w:r>
    </w:p>
    <w:p w:rsidR="00E47DAC" w:rsidRPr="00734C2E" w:rsidRDefault="00E47DAC">
      <w:pPr>
        <w:pStyle w:val="Zkladn"/>
        <w:spacing w:before="0"/>
        <w:rPr>
          <w:rFonts w:cs="Arial"/>
          <w:sz w:val="22"/>
          <w:szCs w:val="22"/>
        </w:rPr>
      </w:pPr>
    </w:p>
    <w:p w:rsidR="00292459" w:rsidRDefault="00E47DAC" w:rsidP="0014414B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  <w:r w:rsidRPr="00734C2E">
        <w:rPr>
          <w:rFonts w:cs="Arial"/>
          <w:sz w:val="22"/>
          <w:szCs w:val="22"/>
        </w:rPr>
        <w:t>Cílem kontroly bylo prověřit</w:t>
      </w:r>
      <w:r w:rsidR="008409FA">
        <w:rPr>
          <w:rFonts w:cs="Arial"/>
          <w:sz w:val="22"/>
          <w:szCs w:val="22"/>
        </w:rPr>
        <w:t xml:space="preserve"> plnění záměrů v budování sítě dálnic a rychlostních komunikací a prověřit poskytování, čerpání a použití </w:t>
      </w:r>
      <w:r w:rsidR="00385262">
        <w:rPr>
          <w:rFonts w:cs="Arial"/>
          <w:sz w:val="22"/>
          <w:szCs w:val="22"/>
        </w:rPr>
        <w:t xml:space="preserve">peněžních </w:t>
      </w:r>
      <w:r w:rsidR="008409FA">
        <w:rPr>
          <w:rFonts w:cs="Arial"/>
          <w:sz w:val="22"/>
          <w:szCs w:val="22"/>
        </w:rPr>
        <w:t>prostředků na po</w:t>
      </w:r>
      <w:r w:rsidR="00632EAC">
        <w:rPr>
          <w:rFonts w:cs="Arial"/>
          <w:sz w:val="22"/>
          <w:szCs w:val="22"/>
        </w:rPr>
        <w:t>řízení vybraných úseků dálnic a </w:t>
      </w:r>
      <w:r w:rsidR="008409FA">
        <w:rPr>
          <w:rFonts w:cs="Arial"/>
          <w:sz w:val="22"/>
          <w:szCs w:val="22"/>
        </w:rPr>
        <w:t>rychlostních komunikací.</w:t>
      </w:r>
      <w:r w:rsidR="00DD1F0E" w:rsidRPr="00734C2E">
        <w:rPr>
          <w:rFonts w:cs="Arial"/>
          <w:sz w:val="22"/>
          <w:szCs w:val="22"/>
        </w:rPr>
        <w:t xml:space="preserve"> </w:t>
      </w:r>
    </w:p>
    <w:p w:rsidR="008409FA" w:rsidRDefault="008409FA" w:rsidP="0014414B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</w:p>
    <w:p w:rsidR="00DD1F0E" w:rsidRPr="00734C2E" w:rsidRDefault="008409FA" w:rsidP="0014414B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Kontrolováno bylo</w:t>
      </w:r>
      <w:r w:rsidR="00637B66">
        <w:rPr>
          <w:rFonts w:cs="Arial"/>
          <w:sz w:val="22"/>
          <w:szCs w:val="22"/>
        </w:rPr>
        <w:t xml:space="preserve"> </w:t>
      </w:r>
      <w:r w:rsidR="00E47DAC" w:rsidRPr="00734C2E">
        <w:rPr>
          <w:rFonts w:cs="Arial"/>
          <w:sz w:val="22"/>
          <w:szCs w:val="22"/>
        </w:rPr>
        <w:t>období</w:t>
      </w:r>
      <w:r>
        <w:rPr>
          <w:rFonts w:cs="Arial"/>
          <w:sz w:val="22"/>
          <w:szCs w:val="22"/>
        </w:rPr>
        <w:t xml:space="preserve"> od roku 2008 do září 2012</w:t>
      </w:r>
      <w:r w:rsidR="00491C48" w:rsidRPr="00734C2E">
        <w:rPr>
          <w:rFonts w:cs="Arial"/>
          <w:sz w:val="22"/>
          <w:szCs w:val="22"/>
        </w:rPr>
        <w:t>,</w:t>
      </w:r>
      <w:r w:rsidR="00E47DAC" w:rsidRPr="00734C2E">
        <w:rPr>
          <w:rFonts w:cs="Arial"/>
          <w:sz w:val="22"/>
          <w:szCs w:val="22"/>
        </w:rPr>
        <w:t xml:space="preserve"> </w:t>
      </w:r>
      <w:r w:rsidR="00A314B2">
        <w:rPr>
          <w:rFonts w:cs="Arial"/>
          <w:sz w:val="22"/>
          <w:szCs w:val="22"/>
        </w:rPr>
        <w:t>v </w:t>
      </w:r>
      <w:r w:rsidR="00DD1F0E" w:rsidRPr="00734C2E">
        <w:rPr>
          <w:rFonts w:cs="Arial"/>
          <w:sz w:val="22"/>
          <w:szCs w:val="22"/>
        </w:rPr>
        <w:t>případě věcných souvislostí i</w:t>
      </w:r>
      <w:r>
        <w:rPr>
          <w:rFonts w:cs="Arial"/>
          <w:sz w:val="22"/>
          <w:szCs w:val="22"/>
        </w:rPr>
        <w:t> </w:t>
      </w:r>
      <w:r w:rsidR="00DD1F0E" w:rsidRPr="00734C2E">
        <w:rPr>
          <w:rFonts w:cs="Arial"/>
          <w:sz w:val="22"/>
          <w:szCs w:val="22"/>
        </w:rPr>
        <w:t>období</w:t>
      </w:r>
      <w:r w:rsidR="003F046B" w:rsidRPr="00734C2E">
        <w:rPr>
          <w:rFonts w:cs="Arial"/>
          <w:sz w:val="22"/>
          <w:szCs w:val="22"/>
        </w:rPr>
        <w:t xml:space="preserve"> předcházející a</w:t>
      </w:r>
      <w:r w:rsidR="006101EC">
        <w:rPr>
          <w:rFonts w:cs="Arial"/>
          <w:sz w:val="22"/>
          <w:szCs w:val="22"/>
        </w:rPr>
        <w:t xml:space="preserve"> </w:t>
      </w:r>
      <w:r w:rsidR="003F046B" w:rsidRPr="00734C2E">
        <w:rPr>
          <w:rFonts w:cs="Arial"/>
          <w:sz w:val="22"/>
          <w:szCs w:val="22"/>
        </w:rPr>
        <w:t>následující</w:t>
      </w:r>
      <w:r w:rsidR="00DD1F0E" w:rsidRPr="00734C2E">
        <w:rPr>
          <w:rFonts w:cs="Arial"/>
          <w:sz w:val="22"/>
          <w:szCs w:val="22"/>
        </w:rPr>
        <w:t xml:space="preserve">. </w:t>
      </w:r>
      <w:r w:rsidR="00E47DAC" w:rsidRPr="00734C2E">
        <w:rPr>
          <w:rFonts w:cs="Arial"/>
          <w:sz w:val="22"/>
          <w:szCs w:val="22"/>
        </w:rPr>
        <w:t>Kontrola byla prov</w:t>
      </w:r>
      <w:r w:rsidR="005C2A50" w:rsidRPr="00734C2E">
        <w:rPr>
          <w:rFonts w:cs="Arial"/>
          <w:sz w:val="22"/>
          <w:szCs w:val="22"/>
        </w:rPr>
        <w:t>á</w:t>
      </w:r>
      <w:r w:rsidR="00E47DAC" w:rsidRPr="00734C2E">
        <w:rPr>
          <w:rFonts w:cs="Arial"/>
          <w:sz w:val="22"/>
          <w:szCs w:val="22"/>
        </w:rPr>
        <w:t>d</w:t>
      </w:r>
      <w:r w:rsidR="005C2A50" w:rsidRPr="00734C2E">
        <w:rPr>
          <w:rFonts w:cs="Arial"/>
          <w:sz w:val="22"/>
          <w:szCs w:val="22"/>
        </w:rPr>
        <w:t>ě</w:t>
      </w:r>
      <w:r w:rsidR="00E47DAC" w:rsidRPr="00734C2E">
        <w:rPr>
          <w:rFonts w:cs="Arial"/>
          <w:sz w:val="22"/>
          <w:szCs w:val="22"/>
        </w:rPr>
        <w:t xml:space="preserve">na od </w:t>
      </w:r>
      <w:r>
        <w:rPr>
          <w:rFonts w:cs="Arial"/>
          <w:sz w:val="22"/>
          <w:szCs w:val="22"/>
        </w:rPr>
        <w:t>dubna</w:t>
      </w:r>
      <w:r w:rsidR="00DD1F0E" w:rsidRPr="00734C2E">
        <w:rPr>
          <w:rFonts w:cs="Arial"/>
          <w:sz w:val="22"/>
          <w:szCs w:val="22"/>
        </w:rPr>
        <w:t xml:space="preserve"> 20</w:t>
      </w:r>
      <w:r w:rsidR="00BB6DBE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2</w:t>
      </w:r>
      <w:r w:rsidR="00E47DAC" w:rsidRPr="00734C2E">
        <w:rPr>
          <w:rFonts w:cs="Arial"/>
          <w:sz w:val="22"/>
          <w:szCs w:val="22"/>
        </w:rPr>
        <w:t xml:space="preserve"> do </w:t>
      </w:r>
      <w:r>
        <w:rPr>
          <w:rFonts w:cs="Arial"/>
          <w:sz w:val="22"/>
          <w:szCs w:val="22"/>
        </w:rPr>
        <w:t>února</w:t>
      </w:r>
      <w:r w:rsidR="00E47DAC" w:rsidRPr="00734C2E">
        <w:rPr>
          <w:rFonts w:cs="Arial"/>
          <w:sz w:val="22"/>
          <w:szCs w:val="22"/>
        </w:rPr>
        <w:t xml:space="preserve"> 20</w:t>
      </w:r>
      <w:r w:rsidR="00B27B29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3</w:t>
      </w:r>
      <w:r w:rsidR="00DD1F0E" w:rsidRPr="00734C2E">
        <w:rPr>
          <w:rFonts w:cs="Arial"/>
          <w:sz w:val="22"/>
          <w:szCs w:val="22"/>
        </w:rPr>
        <w:t>.</w:t>
      </w:r>
    </w:p>
    <w:p w:rsidR="00DD1F0E" w:rsidRPr="00734C2E" w:rsidRDefault="00DD1F0E">
      <w:pPr>
        <w:pStyle w:val="Zkladn"/>
        <w:spacing w:before="0"/>
        <w:rPr>
          <w:rFonts w:cs="Arial"/>
          <w:sz w:val="22"/>
          <w:szCs w:val="22"/>
        </w:rPr>
      </w:pPr>
    </w:p>
    <w:p w:rsidR="00E47DAC" w:rsidRPr="00734C2E" w:rsidRDefault="008409FA">
      <w:pPr>
        <w:pStyle w:val="Zkladn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Kontrolované osoby</w:t>
      </w:r>
      <w:r w:rsidR="00DD1F0E" w:rsidRPr="00734C2E">
        <w:rPr>
          <w:rFonts w:cs="Arial"/>
          <w:sz w:val="22"/>
          <w:szCs w:val="22"/>
        </w:rPr>
        <w:t>:</w:t>
      </w:r>
    </w:p>
    <w:p w:rsidR="00DF7DCC" w:rsidRDefault="008409FA">
      <w:pPr>
        <w:pStyle w:val="Zkladn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Ministerstvo dopravy (dále jen „MD“),</w:t>
      </w:r>
    </w:p>
    <w:p w:rsidR="008409FA" w:rsidRDefault="008409FA">
      <w:pPr>
        <w:pStyle w:val="Zkladn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Státní fond dopravní infrastruktury (dále </w:t>
      </w:r>
      <w:r w:rsidR="00B579C1">
        <w:rPr>
          <w:rFonts w:cs="Arial"/>
          <w:sz w:val="22"/>
          <w:szCs w:val="22"/>
        </w:rPr>
        <w:t>také</w:t>
      </w:r>
      <w:r>
        <w:rPr>
          <w:rFonts w:cs="Arial"/>
          <w:sz w:val="22"/>
          <w:szCs w:val="22"/>
        </w:rPr>
        <w:t xml:space="preserve"> „SFDI“),</w:t>
      </w:r>
    </w:p>
    <w:p w:rsidR="008409FA" w:rsidRDefault="004B4092">
      <w:pPr>
        <w:pStyle w:val="Zkladn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Ředitelství silnic a dálnic ČR (dále jen „ŘSD“).</w:t>
      </w:r>
    </w:p>
    <w:p w:rsidR="008409FA" w:rsidRPr="00734C2E" w:rsidRDefault="008409FA">
      <w:pPr>
        <w:pStyle w:val="Zkladn"/>
        <w:spacing w:before="0"/>
        <w:rPr>
          <w:rFonts w:cs="Arial"/>
          <w:sz w:val="22"/>
          <w:szCs w:val="22"/>
        </w:rPr>
      </w:pPr>
    </w:p>
    <w:p w:rsidR="00E47DAC" w:rsidRPr="005E04B5" w:rsidRDefault="00E47DAC">
      <w:pPr>
        <w:pStyle w:val="Zkladn"/>
        <w:spacing w:before="0"/>
        <w:rPr>
          <w:rFonts w:cs="Arial"/>
          <w:sz w:val="22"/>
          <w:szCs w:val="22"/>
        </w:rPr>
      </w:pPr>
      <w:r w:rsidRPr="008C521F">
        <w:rPr>
          <w:rFonts w:cs="Arial"/>
          <w:sz w:val="22"/>
          <w:szCs w:val="22"/>
        </w:rPr>
        <w:t>Námitky proti kontroln</w:t>
      </w:r>
      <w:r w:rsidR="00DD1F0E" w:rsidRPr="008C521F">
        <w:rPr>
          <w:rFonts w:cs="Arial"/>
          <w:sz w:val="22"/>
          <w:szCs w:val="22"/>
        </w:rPr>
        <w:t>ímu protokolu, které podaly</w:t>
      </w:r>
      <w:r w:rsidR="000C7BDF">
        <w:rPr>
          <w:rFonts w:cs="Arial"/>
          <w:sz w:val="22"/>
          <w:szCs w:val="22"/>
        </w:rPr>
        <w:t xml:space="preserve"> MD a</w:t>
      </w:r>
      <w:r w:rsidR="004B4092">
        <w:rPr>
          <w:rFonts w:cs="Arial"/>
          <w:sz w:val="22"/>
          <w:szCs w:val="22"/>
        </w:rPr>
        <w:t xml:space="preserve"> ŘSD –</w:t>
      </w:r>
      <w:r w:rsidR="00453D50">
        <w:rPr>
          <w:rFonts w:cs="Arial"/>
          <w:sz w:val="22"/>
          <w:szCs w:val="22"/>
        </w:rPr>
        <w:t xml:space="preserve"> G</w:t>
      </w:r>
      <w:r w:rsidR="000C7BDF">
        <w:rPr>
          <w:rFonts w:cs="Arial"/>
          <w:sz w:val="22"/>
          <w:szCs w:val="22"/>
        </w:rPr>
        <w:t>enerální ředitelství a z</w:t>
      </w:r>
      <w:r w:rsidR="004B4092">
        <w:rPr>
          <w:rFonts w:cs="Arial"/>
          <w:sz w:val="22"/>
          <w:szCs w:val="22"/>
        </w:rPr>
        <w:t>ávod</w:t>
      </w:r>
      <w:r w:rsidR="000C7BDF">
        <w:rPr>
          <w:rFonts w:cs="Arial"/>
          <w:sz w:val="22"/>
          <w:szCs w:val="22"/>
        </w:rPr>
        <w:t>y</w:t>
      </w:r>
      <w:r w:rsidR="004B4092">
        <w:rPr>
          <w:rFonts w:cs="Arial"/>
          <w:sz w:val="22"/>
          <w:szCs w:val="22"/>
        </w:rPr>
        <w:t xml:space="preserve"> Brno</w:t>
      </w:r>
      <w:r w:rsidR="000C7BDF">
        <w:rPr>
          <w:rFonts w:cs="Arial"/>
          <w:sz w:val="22"/>
          <w:szCs w:val="22"/>
        </w:rPr>
        <w:t xml:space="preserve"> a Praha, </w:t>
      </w:r>
      <w:r w:rsidR="00DD1F0E" w:rsidRPr="008C521F">
        <w:rPr>
          <w:rFonts w:cs="Arial"/>
          <w:sz w:val="22"/>
          <w:szCs w:val="22"/>
        </w:rPr>
        <w:t>byly</w:t>
      </w:r>
      <w:r w:rsidR="00C151B7" w:rsidRPr="008C521F">
        <w:rPr>
          <w:rFonts w:cs="Arial"/>
          <w:sz w:val="22"/>
          <w:szCs w:val="22"/>
        </w:rPr>
        <w:t xml:space="preserve"> vypořádány vedoucími skupi</w:t>
      </w:r>
      <w:r w:rsidR="000706B4" w:rsidRPr="008C521F">
        <w:rPr>
          <w:rFonts w:cs="Arial"/>
          <w:sz w:val="22"/>
          <w:szCs w:val="22"/>
        </w:rPr>
        <w:t>n kontrolujících rozhodnutími o</w:t>
      </w:r>
      <w:r w:rsidR="009B5435">
        <w:rPr>
          <w:rFonts w:cs="Arial"/>
          <w:sz w:val="22"/>
          <w:szCs w:val="22"/>
        </w:rPr>
        <w:t> </w:t>
      </w:r>
      <w:r w:rsidR="00C151B7" w:rsidRPr="008C521F">
        <w:rPr>
          <w:rFonts w:cs="Arial"/>
          <w:sz w:val="22"/>
          <w:szCs w:val="22"/>
        </w:rPr>
        <w:t>námitkách.</w:t>
      </w:r>
      <w:r w:rsidR="00042D81">
        <w:rPr>
          <w:rFonts w:cs="Arial"/>
          <w:sz w:val="22"/>
          <w:szCs w:val="22"/>
        </w:rPr>
        <w:t xml:space="preserve"> </w:t>
      </w:r>
      <w:r w:rsidR="00042D81" w:rsidRPr="009B1A55">
        <w:rPr>
          <w:rFonts w:cs="Arial"/>
          <w:sz w:val="22"/>
          <w:szCs w:val="22"/>
        </w:rPr>
        <w:t xml:space="preserve">Odvolání </w:t>
      </w:r>
      <w:r w:rsidR="00EC7404" w:rsidRPr="005E04B5">
        <w:rPr>
          <w:rFonts w:cs="Arial"/>
          <w:sz w:val="22"/>
          <w:szCs w:val="22"/>
        </w:rPr>
        <w:t>nebyla podána.</w:t>
      </w:r>
    </w:p>
    <w:p w:rsidR="003F75C8" w:rsidRDefault="003F75C8">
      <w:pPr>
        <w:ind w:right="70"/>
        <w:jc w:val="both"/>
        <w:rPr>
          <w:rFonts w:cs="Arial"/>
          <w:sz w:val="22"/>
          <w:szCs w:val="22"/>
        </w:rPr>
      </w:pPr>
    </w:p>
    <w:p w:rsidR="001A71B5" w:rsidRDefault="001A71B5">
      <w:pPr>
        <w:ind w:right="70"/>
        <w:jc w:val="both"/>
        <w:rPr>
          <w:rFonts w:cs="Arial"/>
          <w:sz w:val="22"/>
          <w:szCs w:val="22"/>
        </w:rPr>
      </w:pPr>
    </w:p>
    <w:p w:rsidR="00E47DAC" w:rsidRPr="003E0C7C" w:rsidRDefault="00E47DAC">
      <w:pPr>
        <w:ind w:right="70"/>
        <w:jc w:val="both"/>
        <w:rPr>
          <w:rFonts w:cs="Arial"/>
          <w:sz w:val="22"/>
          <w:szCs w:val="22"/>
        </w:rPr>
      </w:pPr>
      <w:proofErr w:type="gramStart"/>
      <w:r w:rsidRPr="003E0C7C">
        <w:rPr>
          <w:rFonts w:cs="Arial"/>
          <w:b/>
          <w:bCs/>
          <w:i/>
          <w:iCs/>
          <w:sz w:val="22"/>
          <w:szCs w:val="22"/>
        </w:rPr>
        <w:t>K o l e g i u m</w:t>
      </w:r>
      <w:r w:rsidRPr="003E0C7C">
        <w:rPr>
          <w:rFonts w:cs="Arial"/>
          <w:sz w:val="22"/>
          <w:szCs w:val="22"/>
        </w:rPr>
        <w:t xml:space="preserve">   </w:t>
      </w:r>
      <w:r w:rsidRPr="003E0C7C">
        <w:rPr>
          <w:rFonts w:cs="Arial"/>
          <w:b/>
          <w:bCs/>
          <w:i/>
          <w:iCs/>
          <w:sz w:val="22"/>
          <w:szCs w:val="22"/>
        </w:rPr>
        <w:t>N</w:t>
      </w:r>
      <w:r w:rsidR="008D64F9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K</w:t>
      </w:r>
      <w:r w:rsidR="005E266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Ú</w:t>
      </w:r>
      <w:r w:rsidR="002313A4" w:rsidRP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9A2ACD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2313A4" w:rsidRP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sz w:val="22"/>
          <w:szCs w:val="22"/>
        </w:rPr>
        <w:t>na</w:t>
      </w:r>
      <w:proofErr w:type="gramEnd"/>
      <w:r w:rsidR="00F57CC9" w:rsidRPr="003E0C7C">
        <w:rPr>
          <w:rFonts w:cs="Arial"/>
          <w:sz w:val="22"/>
          <w:szCs w:val="22"/>
        </w:rPr>
        <w:t xml:space="preserve"> </w:t>
      </w:r>
      <w:r w:rsidR="00F34AD3" w:rsidRPr="003E0C7C">
        <w:rPr>
          <w:rFonts w:cs="Arial"/>
          <w:sz w:val="22"/>
          <w:szCs w:val="22"/>
        </w:rPr>
        <w:t xml:space="preserve">svém </w:t>
      </w:r>
      <w:r w:rsidR="00632EAC">
        <w:rPr>
          <w:rFonts w:cs="Arial"/>
          <w:sz w:val="22"/>
          <w:szCs w:val="22"/>
        </w:rPr>
        <w:t>XI</w:t>
      </w:r>
      <w:r w:rsidR="001418C0">
        <w:rPr>
          <w:rFonts w:cs="Arial"/>
          <w:sz w:val="22"/>
          <w:szCs w:val="22"/>
        </w:rPr>
        <w:t xml:space="preserve">. </w:t>
      </w:r>
      <w:r w:rsidRPr="003E0C7C">
        <w:rPr>
          <w:rFonts w:cs="Arial"/>
          <w:sz w:val="22"/>
          <w:szCs w:val="22"/>
        </w:rPr>
        <w:t>zasedání, konaném dne</w:t>
      </w:r>
      <w:r w:rsidR="009A12AE" w:rsidRPr="003E0C7C">
        <w:rPr>
          <w:rFonts w:cs="Arial"/>
          <w:sz w:val="22"/>
          <w:szCs w:val="22"/>
        </w:rPr>
        <w:t xml:space="preserve"> </w:t>
      </w:r>
      <w:r w:rsidR="00043B6B">
        <w:rPr>
          <w:rFonts w:cs="Arial"/>
          <w:sz w:val="22"/>
          <w:szCs w:val="22"/>
        </w:rPr>
        <w:t>24</w:t>
      </w:r>
      <w:r w:rsidR="001418C0">
        <w:rPr>
          <w:rFonts w:cs="Arial"/>
          <w:sz w:val="22"/>
          <w:szCs w:val="22"/>
        </w:rPr>
        <w:t xml:space="preserve">. </w:t>
      </w:r>
      <w:r w:rsidR="004B4092">
        <w:rPr>
          <w:rFonts w:cs="Arial"/>
          <w:sz w:val="22"/>
          <w:szCs w:val="22"/>
        </w:rPr>
        <w:t>června</w:t>
      </w:r>
      <w:r w:rsidR="001418C0">
        <w:rPr>
          <w:rFonts w:cs="Arial"/>
          <w:sz w:val="22"/>
          <w:szCs w:val="22"/>
        </w:rPr>
        <w:t xml:space="preserve"> </w:t>
      </w:r>
      <w:r w:rsidRPr="003E0C7C">
        <w:rPr>
          <w:rFonts w:cs="Arial"/>
          <w:sz w:val="22"/>
          <w:szCs w:val="22"/>
        </w:rPr>
        <w:t>20</w:t>
      </w:r>
      <w:r w:rsidR="00B27B29" w:rsidRPr="003E0C7C">
        <w:rPr>
          <w:rFonts w:cs="Arial"/>
          <w:sz w:val="22"/>
          <w:szCs w:val="22"/>
        </w:rPr>
        <w:t>1</w:t>
      </w:r>
      <w:r w:rsidR="004B4092">
        <w:rPr>
          <w:rFonts w:cs="Arial"/>
          <w:sz w:val="22"/>
          <w:szCs w:val="22"/>
        </w:rPr>
        <w:t>3</w:t>
      </w:r>
      <w:r w:rsidRPr="003E0C7C">
        <w:rPr>
          <w:rFonts w:cs="Arial"/>
          <w:sz w:val="22"/>
          <w:szCs w:val="22"/>
        </w:rPr>
        <w:t xml:space="preserve">, </w:t>
      </w:r>
    </w:p>
    <w:p w:rsidR="00E47DAC" w:rsidRPr="003E0C7C" w:rsidRDefault="00A427F9" w:rsidP="00A427F9">
      <w:pPr>
        <w:ind w:right="68"/>
        <w:jc w:val="both"/>
        <w:rPr>
          <w:rFonts w:cs="Arial"/>
          <w:sz w:val="22"/>
          <w:szCs w:val="22"/>
        </w:rPr>
      </w:pPr>
      <w:proofErr w:type="gramStart"/>
      <w:r w:rsidRPr="003E0C7C">
        <w:rPr>
          <w:rFonts w:cs="Arial"/>
          <w:b/>
          <w:bCs/>
          <w:i/>
          <w:iCs/>
          <w:sz w:val="22"/>
          <w:szCs w:val="22"/>
        </w:rPr>
        <w:t>s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c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h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v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á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l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i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l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o</w:t>
      </w:r>
      <w:r w:rsidR="00E47DAC" w:rsidRPr="003E0C7C">
        <w:rPr>
          <w:rFonts w:cs="Arial"/>
          <w:sz w:val="22"/>
          <w:szCs w:val="22"/>
        </w:rPr>
        <w:t xml:space="preserve"> </w:t>
      </w:r>
      <w:r w:rsidR="002313A4" w:rsidRPr="003E0C7C">
        <w:rPr>
          <w:rFonts w:cs="Arial"/>
          <w:sz w:val="22"/>
          <w:szCs w:val="22"/>
        </w:rPr>
        <w:t xml:space="preserve">  </w:t>
      </w:r>
      <w:r w:rsidR="00E47DAC" w:rsidRPr="003E0C7C">
        <w:rPr>
          <w:rFonts w:cs="Arial"/>
          <w:sz w:val="22"/>
          <w:szCs w:val="22"/>
        </w:rPr>
        <w:t>usnesením č.</w:t>
      </w:r>
      <w:proofErr w:type="gramEnd"/>
      <w:r w:rsidR="009A12AE" w:rsidRPr="003E0C7C">
        <w:rPr>
          <w:rFonts w:cs="Arial"/>
          <w:sz w:val="22"/>
          <w:szCs w:val="22"/>
        </w:rPr>
        <w:t xml:space="preserve"> </w:t>
      </w:r>
      <w:r w:rsidR="00704BC9">
        <w:rPr>
          <w:rFonts w:cs="Arial"/>
          <w:sz w:val="22"/>
          <w:szCs w:val="22"/>
        </w:rPr>
        <w:t>7</w:t>
      </w:r>
      <w:r w:rsidR="00BD2316">
        <w:rPr>
          <w:rFonts w:cs="Arial"/>
          <w:sz w:val="22"/>
          <w:szCs w:val="22"/>
        </w:rPr>
        <w:t>/</w:t>
      </w:r>
      <w:r w:rsidR="00632EAC">
        <w:rPr>
          <w:rFonts w:cs="Arial"/>
          <w:sz w:val="22"/>
          <w:szCs w:val="22"/>
        </w:rPr>
        <w:t>XI</w:t>
      </w:r>
      <w:r w:rsidR="00BD2316">
        <w:rPr>
          <w:rFonts w:cs="Arial"/>
          <w:sz w:val="22"/>
          <w:szCs w:val="22"/>
        </w:rPr>
        <w:t>/201</w:t>
      </w:r>
      <w:r w:rsidR="004B4092">
        <w:rPr>
          <w:rFonts w:cs="Arial"/>
          <w:sz w:val="22"/>
          <w:szCs w:val="22"/>
        </w:rPr>
        <w:t>3</w:t>
      </w:r>
      <w:r w:rsidR="00E47DAC" w:rsidRPr="003E0C7C">
        <w:rPr>
          <w:rFonts w:cs="Arial"/>
          <w:sz w:val="22"/>
          <w:szCs w:val="22"/>
        </w:rPr>
        <w:t xml:space="preserve"> </w:t>
      </w:r>
    </w:p>
    <w:p w:rsidR="00E47DAC" w:rsidRPr="003E0C7C" w:rsidRDefault="00A427F9">
      <w:pPr>
        <w:ind w:right="70"/>
        <w:jc w:val="both"/>
        <w:rPr>
          <w:rFonts w:cs="Arial"/>
          <w:sz w:val="22"/>
          <w:szCs w:val="22"/>
        </w:rPr>
      </w:pPr>
      <w:proofErr w:type="gramStart"/>
      <w:r w:rsidRPr="003E0C7C">
        <w:rPr>
          <w:rFonts w:cs="Arial"/>
          <w:b/>
          <w:bCs/>
          <w:i/>
          <w:iCs/>
          <w:sz w:val="22"/>
          <w:szCs w:val="22"/>
        </w:rPr>
        <w:t>k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o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n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t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r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o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l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n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 xml:space="preserve">í </w:t>
      </w:r>
      <w:r w:rsidR="003E0C7C" w:rsidRP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z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á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v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ě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r</w:t>
      </w:r>
      <w:r w:rsidR="00E47DAC" w:rsidRPr="003E0C7C">
        <w:rPr>
          <w:rFonts w:cs="Arial"/>
          <w:sz w:val="22"/>
          <w:szCs w:val="22"/>
        </w:rPr>
        <w:t xml:space="preserve"> </w:t>
      </w:r>
      <w:r w:rsidR="002313A4" w:rsidRPr="003E0C7C">
        <w:rPr>
          <w:rFonts w:cs="Arial"/>
          <w:sz w:val="22"/>
          <w:szCs w:val="22"/>
        </w:rPr>
        <w:t xml:space="preserve">  </w:t>
      </w:r>
      <w:r w:rsidR="0013397D" w:rsidRPr="003E0C7C">
        <w:rPr>
          <w:rFonts w:cs="Arial"/>
          <w:sz w:val="22"/>
          <w:szCs w:val="22"/>
        </w:rPr>
        <w:t>v</w:t>
      </w:r>
      <w:r w:rsidR="006101EC" w:rsidRPr="003E0C7C">
        <w:rPr>
          <w:rFonts w:cs="Arial"/>
          <w:sz w:val="22"/>
          <w:szCs w:val="22"/>
        </w:rPr>
        <w:t xml:space="preserve"> </w:t>
      </w:r>
      <w:r w:rsidR="00E47DAC" w:rsidRPr="003E0C7C">
        <w:rPr>
          <w:rFonts w:cs="Arial"/>
          <w:sz w:val="22"/>
          <w:szCs w:val="22"/>
        </w:rPr>
        <w:t>tomto</w:t>
      </w:r>
      <w:proofErr w:type="gramEnd"/>
      <w:r w:rsidR="00E47DAC" w:rsidRPr="003E0C7C">
        <w:rPr>
          <w:rFonts w:cs="Arial"/>
          <w:sz w:val="22"/>
          <w:szCs w:val="22"/>
        </w:rPr>
        <w:t xml:space="preserve"> znění:</w:t>
      </w:r>
    </w:p>
    <w:p w:rsidR="003F75C8" w:rsidRPr="00734C2E" w:rsidRDefault="003F75C8">
      <w:pPr>
        <w:ind w:right="70"/>
        <w:jc w:val="both"/>
        <w:rPr>
          <w:rFonts w:cs="Arial"/>
          <w:sz w:val="22"/>
          <w:szCs w:val="22"/>
        </w:rPr>
      </w:pPr>
    </w:p>
    <w:p w:rsidR="004C6BC7" w:rsidRPr="00734C2E" w:rsidRDefault="004C6BC7">
      <w:pPr>
        <w:ind w:right="70"/>
        <w:jc w:val="both"/>
        <w:rPr>
          <w:rFonts w:cs="Arial"/>
          <w:sz w:val="22"/>
          <w:szCs w:val="22"/>
        </w:rPr>
      </w:pPr>
    </w:p>
    <w:p w:rsidR="00E47DAC" w:rsidRPr="00850DC1" w:rsidRDefault="005C2A50" w:rsidP="00850DC1">
      <w:pPr>
        <w:jc w:val="center"/>
        <w:rPr>
          <w:b/>
        </w:rPr>
      </w:pPr>
      <w:r w:rsidRPr="00850DC1">
        <w:rPr>
          <w:b/>
        </w:rPr>
        <w:t xml:space="preserve">I. </w:t>
      </w:r>
      <w:r w:rsidR="00E47DAC" w:rsidRPr="00850DC1">
        <w:rPr>
          <w:b/>
        </w:rPr>
        <w:t>Úvod</w:t>
      </w:r>
    </w:p>
    <w:p w:rsidR="00E47DAC" w:rsidRDefault="00E47DAC">
      <w:pPr>
        <w:rPr>
          <w:rFonts w:cs="Arial"/>
          <w:sz w:val="22"/>
          <w:szCs w:val="22"/>
        </w:rPr>
      </w:pPr>
    </w:p>
    <w:p w:rsidR="009612DD" w:rsidRDefault="009612DD" w:rsidP="00CC6BC7">
      <w:pPr>
        <w:jc w:val="both"/>
        <w:rPr>
          <w:rFonts w:cs="Arial"/>
          <w:sz w:val="22"/>
          <w:szCs w:val="22"/>
        </w:rPr>
      </w:pPr>
      <w:r w:rsidRPr="009612DD">
        <w:rPr>
          <w:rFonts w:cs="Arial"/>
          <w:sz w:val="22"/>
          <w:szCs w:val="22"/>
        </w:rPr>
        <w:t xml:space="preserve">Kontrola byla především zaměřena na významné problémy, které negativně ovlivňovaly hospodárnost, efektivnost a účelnost realizace akcí výstavby dálnic a rychlostních komunikací. </w:t>
      </w:r>
      <w:r>
        <w:rPr>
          <w:rFonts w:cs="Arial"/>
          <w:sz w:val="22"/>
          <w:szCs w:val="22"/>
        </w:rPr>
        <w:t>Z tohoto pohledu byly p</w:t>
      </w:r>
      <w:r w:rsidRPr="009612DD">
        <w:rPr>
          <w:rFonts w:cs="Arial"/>
          <w:sz w:val="22"/>
          <w:szCs w:val="22"/>
        </w:rPr>
        <w:t>rověřovány koncepční činnost, plnění účelu SFDI a</w:t>
      </w:r>
      <w:r w:rsidR="00704BC9">
        <w:rPr>
          <w:rFonts w:cs="Arial"/>
          <w:sz w:val="22"/>
          <w:szCs w:val="22"/>
        </w:rPr>
        <w:t> </w:t>
      </w:r>
      <w:r w:rsidRPr="009612DD">
        <w:rPr>
          <w:rFonts w:cs="Arial"/>
          <w:sz w:val="22"/>
          <w:szCs w:val="22"/>
        </w:rPr>
        <w:t>průběh přípravy a realizace akcí, včetně zadávacích řízení na výběr dodavatelů projekčních, stavebních a souvisejících prací</w:t>
      </w:r>
      <w:r w:rsidR="00385262">
        <w:rPr>
          <w:rFonts w:cs="Arial"/>
          <w:sz w:val="22"/>
          <w:szCs w:val="22"/>
        </w:rPr>
        <w:t>;</w:t>
      </w:r>
      <w:r>
        <w:rPr>
          <w:rFonts w:cs="Arial"/>
          <w:sz w:val="22"/>
          <w:szCs w:val="22"/>
        </w:rPr>
        <w:t xml:space="preserve"> </w:t>
      </w:r>
      <w:r w:rsidRPr="009612DD">
        <w:rPr>
          <w:rFonts w:cs="Arial"/>
          <w:sz w:val="22"/>
          <w:szCs w:val="22"/>
        </w:rPr>
        <w:t xml:space="preserve">zvláštní pozornost </w:t>
      </w:r>
      <w:r>
        <w:rPr>
          <w:rFonts w:cs="Arial"/>
          <w:sz w:val="22"/>
          <w:szCs w:val="22"/>
        </w:rPr>
        <w:t xml:space="preserve">byla </w:t>
      </w:r>
      <w:r w:rsidRPr="009612DD">
        <w:rPr>
          <w:rFonts w:cs="Arial"/>
          <w:sz w:val="22"/>
          <w:szCs w:val="22"/>
        </w:rPr>
        <w:t>věnována nákladům a</w:t>
      </w:r>
      <w:r w:rsidR="00704BC9">
        <w:rPr>
          <w:rFonts w:cs="Arial"/>
          <w:sz w:val="22"/>
          <w:szCs w:val="22"/>
        </w:rPr>
        <w:t> </w:t>
      </w:r>
      <w:r w:rsidRPr="009612DD">
        <w:rPr>
          <w:rFonts w:cs="Arial"/>
          <w:sz w:val="22"/>
          <w:szCs w:val="22"/>
        </w:rPr>
        <w:t>jejich analýze.</w:t>
      </w:r>
    </w:p>
    <w:p w:rsidR="009612DD" w:rsidRDefault="009612DD" w:rsidP="00CC6BC7">
      <w:pPr>
        <w:jc w:val="both"/>
        <w:rPr>
          <w:rFonts w:cs="Arial"/>
          <w:sz w:val="22"/>
          <w:szCs w:val="22"/>
        </w:rPr>
      </w:pPr>
    </w:p>
    <w:p w:rsidR="002A094F" w:rsidRDefault="002A094F" w:rsidP="00CC6BC7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Dálnice </w:t>
      </w:r>
      <w:r>
        <w:rPr>
          <w:rFonts w:cs="Arial"/>
          <w:sz w:val="22"/>
          <w:szCs w:val="22"/>
        </w:rPr>
        <w:t>(dále též „D“) je pozemní komunikace pro silniční motorová vozidla, která je budována bez úrovňových křížení</w:t>
      </w:r>
      <w:r>
        <w:rPr>
          <w:rStyle w:val="Znakapoznpodarou"/>
          <w:rFonts w:cs="Arial"/>
          <w:sz w:val="22"/>
          <w:szCs w:val="22"/>
        </w:rPr>
        <w:footnoteReference w:id="2"/>
      </w:r>
      <w:r>
        <w:rPr>
          <w:rFonts w:cs="Arial"/>
          <w:sz w:val="22"/>
          <w:szCs w:val="22"/>
        </w:rPr>
        <w:t>.</w:t>
      </w:r>
      <w:r w:rsidR="00CC6BC7"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Rychlostní komunikace </w:t>
      </w:r>
      <w:r>
        <w:rPr>
          <w:rFonts w:cs="Arial"/>
          <w:sz w:val="22"/>
          <w:szCs w:val="22"/>
        </w:rPr>
        <w:t xml:space="preserve">(dále též „R“) je pozemní </w:t>
      </w:r>
      <w:r>
        <w:rPr>
          <w:rFonts w:cs="Arial"/>
          <w:sz w:val="22"/>
          <w:szCs w:val="22"/>
        </w:rPr>
        <w:lastRenderedPageBreak/>
        <w:t>komunikace obdobného stavebně technického vybavení jako dálnice</w:t>
      </w:r>
      <w:r>
        <w:rPr>
          <w:rStyle w:val="Znakapoznpodarou"/>
          <w:rFonts w:cs="Arial"/>
          <w:sz w:val="22"/>
          <w:szCs w:val="22"/>
        </w:rPr>
        <w:footnoteReference w:id="3"/>
      </w:r>
      <w:r w:rsidR="00BB2409">
        <w:rPr>
          <w:rFonts w:cs="Arial"/>
          <w:sz w:val="22"/>
          <w:szCs w:val="22"/>
        </w:rPr>
        <w:t>, zpravidla však nižšího standardu.</w:t>
      </w:r>
      <w:r w:rsidR="00CC6BC7">
        <w:rPr>
          <w:rFonts w:cs="Arial"/>
          <w:sz w:val="22"/>
          <w:szCs w:val="22"/>
        </w:rPr>
        <w:t xml:space="preserve"> </w:t>
      </w:r>
    </w:p>
    <w:p w:rsidR="001A71B5" w:rsidRDefault="001A71B5" w:rsidP="00CC6BC7">
      <w:pPr>
        <w:jc w:val="both"/>
        <w:rPr>
          <w:rFonts w:cs="Arial"/>
          <w:sz w:val="22"/>
          <w:szCs w:val="22"/>
        </w:rPr>
      </w:pPr>
    </w:p>
    <w:p w:rsidR="00C47254" w:rsidRDefault="00C47254" w:rsidP="00CC6BC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Úloha a postavení kontrolovaných osob v procesu přípravy a realizace výstavby </w:t>
      </w:r>
      <w:r w:rsidR="005422D6">
        <w:rPr>
          <w:rFonts w:cs="Arial"/>
          <w:sz w:val="22"/>
          <w:szCs w:val="22"/>
        </w:rPr>
        <w:t>dálnic</w:t>
      </w:r>
      <w:r w:rsidR="00956B22">
        <w:rPr>
          <w:rFonts w:cs="Arial"/>
          <w:sz w:val="22"/>
          <w:szCs w:val="22"/>
        </w:rPr>
        <w:t xml:space="preserve"> a </w:t>
      </w:r>
      <w:r w:rsidR="005422D6">
        <w:rPr>
          <w:rFonts w:cs="Arial"/>
          <w:sz w:val="22"/>
          <w:szCs w:val="22"/>
        </w:rPr>
        <w:t>rychlostních komunikací</w:t>
      </w:r>
      <w:r>
        <w:rPr>
          <w:rFonts w:cs="Arial"/>
          <w:sz w:val="22"/>
          <w:szCs w:val="22"/>
        </w:rPr>
        <w:t>:</w:t>
      </w:r>
    </w:p>
    <w:p w:rsidR="00625684" w:rsidRPr="00043B6B" w:rsidRDefault="00C47254" w:rsidP="005D099E">
      <w:pPr>
        <w:pStyle w:val="Odstavecseseznamem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043B6B">
        <w:rPr>
          <w:rFonts w:cs="Arial"/>
          <w:b/>
          <w:sz w:val="22"/>
          <w:szCs w:val="22"/>
        </w:rPr>
        <w:t>MD</w:t>
      </w:r>
      <w:r w:rsidRPr="00043B6B">
        <w:rPr>
          <w:rFonts w:cs="Arial"/>
          <w:sz w:val="22"/>
          <w:szCs w:val="22"/>
        </w:rPr>
        <w:t xml:space="preserve"> odpovídá</w:t>
      </w:r>
      <w:r w:rsidR="00625684" w:rsidRPr="00043B6B">
        <w:rPr>
          <w:rFonts w:cs="Arial"/>
          <w:sz w:val="22"/>
          <w:szCs w:val="22"/>
        </w:rPr>
        <w:t xml:space="preserve"> za tvorbu státní politiky v oblasti dopravy a</w:t>
      </w:r>
      <w:r w:rsidR="003913FF" w:rsidRPr="00043B6B">
        <w:rPr>
          <w:rFonts w:cs="Arial"/>
          <w:sz w:val="22"/>
          <w:szCs w:val="22"/>
        </w:rPr>
        <w:t xml:space="preserve"> </w:t>
      </w:r>
      <w:r w:rsidR="00625684" w:rsidRPr="00043B6B">
        <w:rPr>
          <w:rFonts w:cs="Arial"/>
          <w:sz w:val="22"/>
          <w:szCs w:val="22"/>
        </w:rPr>
        <w:t>její uskutečňování</w:t>
      </w:r>
      <w:r w:rsidR="009F4D8D" w:rsidRPr="00043B6B">
        <w:rPr>
          <w:rFonts w:cs="Arial"/>
          <w:sz w:val="22"/>
          <w:szCs w:val="22"/>
        </w:rPr>
        <w:t xml:space="preserve">, zpracovává </w:t>
      </w:r>
      <w:r w:rsidRPr="00043B6B">
        <w:rPr>
          <w:rFonts w:cs="Arial"/>
          <w:sz w:val="22"/>
          <w:szCs w:val="22"/>
        </w:rPr>
        <w:t>k</w:t>
      </w:r>
      <w:r w:rsidR="009F4D8D" w:rsidRPr="00043B6B">
        <w:rPr>
          <w:rFonts w:cs="Arial"/>
          <w:sz w:val="22"/>
          <w:szCs w:val="22"/>
        </w:rPr>
        <w:t>oncepční a strategické materiály</w:t>
      </w:r>
      <w:r w:rsidRPr="00043B6B">
        <w:rPr>
          <w:rFonts w:cs="Arial"/>
          <w:sz w:val="22"/>
          <w:szCs w:val="22"/>
        </w:rPr>
        <w:t>,</w:t>
      </w:r>
      <w:r w:rsidR="009F4D8D" w:rsidRPr="00043B6B">
        <w:rPr>
          <w:rFonts w:cs="Arial"/>
          <w:sz w:val="22"/>
          <w:szCs w:val="22"/>
        </w:rPr>
        <w:t xml:space="preserve"> analyzuje dosahované výsledky a činí opatření k řešení a</w:t>
      </w:r>
      <w:r w:rsidR="003913FF" w:rsidRPr="00043B6B">
        <w:rPr>
          <w:rFonts w:cs="Arial"/>
          <w:sz w:val="22"/>
          <w:szCs w:val="22"/>
        </w:rPr>
        <w:t>ktuálních otázek</w:t>
      </w:r>
      <w:r w:rsidR="00533E8B">
        <w:rPr>
          <w:rStyle w:val="Znakapoznpodarou"/>
          <w:rFonts w:cs="Arial"/>
          <w:sz w:val="22"/>
          <w:szCs w:val="22"/>
        </w:rPr>
        <w:footnoteReference w:id="4"/>
      </w:r>
      <w:r w:rsidR="00E7377B">
        <w:rPr>
          <w:rFonts w:cs="Arial"/>
          <w:sz w:val="22"/>
          <w:szCs w:val="22"/>
        </w:rPr>
        <w:t>.</w:t>
      </w:r>
      <w:r w:rsidR="003913FF" w:rsidRPr="00043B6B">
        <w:rPr>
          <w:rFonts w:cs="Arial"/>
          <w:sz w:val="22"/>
          <w:szCs w:val="22"/>
        </w:rPr>
        <w:t xml:space="preserve"> Schvaluje stavby</w:t>
      </w:r>
      <w:r w:rsidR="006C6EEA" w:rsidRPr="00043B6B">
        <w:rPr>
          <w:rFonts w:cs="Arial"/>
          <w:sz w:val="22"/>
          <w:szCs w:val="22"/>
        </w:rPr>
        <w:t xml:space="preserve"> (akce)</w:t>
      </w:r>
      <w:r w:rsidR="003913FF" w:rsidRPr="00043B6B">
        <w:rPr>
          <w:rFonts w:cs="Arial"/>
          <w:sz w:val="22"/>
          <w:szCs w:val="22"/>
        </w:rPr>
        <w:t xml:space="preserve"> na D a R</w:t>
      </w:r>
      <w:r w:rsidR="008A6C63" w:rsidRPr="00043B6B">
        <w:rPr>
          <w:rFonts w:cs="Arial"/>
          <w:sz w:val="22"/>
          <w:szCs w:val="22"/>
        </w:rPr>
        <w:t xml:space="preserve"> k realizaci. Je zřizovatelem ŘSD.</w:t>
      </w:r>
    </w:p>
    <w:p w:rsidR="008A6C63" w:rsidRPr="00043B6B" w:rsidRDefault="008A6C63" w:rsidP="005D099E">
      <w:pPr>
        <w:pStyle w:val="Odstavecseseznamem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043B6B">
        <w:rPr>
          <w:rFonts w:cs="Arial"/>
          <w:b/>
          <w:sz w:val="22"/>
          <w:szCs w:val="22"/>
        </w:rPr>
        <w:t>SFDI</w:t>
      </w:r>
      <w:r w:rsidRPr="00043B6B">
        <w:rPr>
          <w:rFonts w:cs="Arial"/>
          <w:sz w:val="22"/>
          <w:szCs w:val="22"/>
        </w:rPr>
        <w:t xml:space="preserve"> </w:t>
      </w:r>
      <w:r w:rsidR="00956B22" w:rsidRPr="00043B6B">
        <w:rPr>
          <w:rFonts w:cs="Arial"/>
          <w:sz w:val="22"/>
          <w:szCs w:val="22"/>
        </w:rPr>
        <w:t>(státní fond, zřízen zákonem č. 104/2000 Sb.</w:t>
      </w:r>
      <w:r w:rsidR="00956B22">
        <w:rPr>
          <w:rStyle w:val="Znakapoznpodarou"/>
          <w:rFonts w:cs="Arial"/>
          <w:sz w:val="22"/>
          <w:szCs w:val="22"/>
        </w:rPr>
        <w:footnoteReference w:id="5"/>
      </w:r>
      <w:r w:rsidR="00956B22" w:rsidRPr="00043B6B">
        <w:rPr>
          <w:rFonts w:cs="Arial"/>
          <w:sz w:val="22"/>
          <w:szCs w:val="22"/>
        </w:rPr>
        <w:t xml:space="preserve">) </w:t>
      </w:r>
      <w:r w:rsidR="005E04B5" w:rsidRPr="00043B6B">
        <w:rPr>
          <w:rFonts w:cs="Arial"/>
          <w:sz w:val="22"/>
          <w:szCs w:val="22"/>
        </w:rPr>
        <w:t xml:space="preserve">odpovídá za financování akcí a efektivní využití finančních prostředků podle </w:t>
      </w:r>
      <w:r w:rsidR="00503750" w:rsidRPr="00043B6B">
        <w:rPr>
          <w:rFonts w:cs="Arial"/>
          <w:sz w:val="22"/>
          <w:szCs w:val="22"/>
        </w:rPr>
        <w:t>rozpočtu projednaného vládou a </w:t>
      </w:r>
      <w:r w:rsidR="005E04B5" w:rsidRPr="00043B6B">
        <w:rPr>
          <w:rFonts w:cs="Arial"/>
          <w:sz w:val="22"/>
          <w:szCs w:val="22"/>
        </w:rPr>
        <w:t xml:space="preserve">schváleného Poslaneckou sněmovnou Parlamentu České republiky. </w:t>
      </w:r>
      <w:r w:rsidR="00956B22" w:rsidRPr="00043B6B">
        <w:rPr>
          <w:rFonts w:cs="Arial"/>
          <w:sz w:val="22"/>
          <w:szCs w:val="22"/>
        </w:rPr>
        <w:t>J</w:t>
      </w:r>
      <w:r w:rsidR="001A71B5" w:rsidRPr="00043B6B">
        <w:rPr>
          <w:rFonts w:cs="Arial"/>
          <w:sz w:val="22"/>
          <w:szCs w:val="22"/>
        </w:rPr>
        <w:t>e podřízen</w:t>
      </w:r>
      <w:r w:rsidRPr="00043B6B">
        <w:rPr>
          <w:rFonts w:cs="Arial"/>
          <w:sz w:val="22"/>
          <w:szCs w:val="22"/>
        </w:rPr>
        <w:t xml:space="preserve"> MD.</w:t>
      </w:r>
      <w:r w:rsidR="00C47254" w:rsidRPr="00043B6B">
        <w:rPr>
          <w:rFonts w:cs="Arial"/>
          <w:sz w:val="22"/>
          <w:szCs w:val="22"/>
        </w:rPr>
        <w:t xml:space="preserve"> </w:t>
      </w:r>
    </w:p>
    <w:p w:rsidR="004B4092" w:rsidRPr="00043B6B" w:rsidRDefault="008A6C63" w:rsidP="005D099E">
      <w:pPr>
        <w:pStyle w:val="Odstavecseseznamem"/>
        <w:numPr>
          <w:ilvl w:val="0"/>
          <w:numId w:val="1"/>
        </w:numPr>
        <w:ind w:left="284" w:hanging="284"/>
        <w:jc w:val="both"/>
        <w:rPr>
          <w:rFonts w:cs="Arial"/>
          <w:sz w:val="22"/>
          <w:szCs w:val="22"/>
        </w:rPr>
      </w:pPr>
      <w:r w:rsidRPr="00043B6B">
        <w:rPr>
          <w:rFonts w:cs="Arial"/>
          <w:b/>
          <w:sz w:val="22"/>
          <w:szCs w:val="22"/>
        </w:rPr>
        <w:t>ŘSD</w:t>
      </w:r>
      <w:r w:rsidR="00956B22" w:rsidRPr="00043B6B">
        <w:rPr>
          <w:rFonts w:cs="Arial"/>
          <w:b/>
          <w:sz w:val="22"/>
          <w:szCs w:val="22"/>
        </w:rPr>
        <w:t xml:space="preserve"> </w:t>
      </w:r>
      <w:r w:rsidR="00956B22" w:rsidRPr="00043B6B">
        <w:rPr>
          <w:rFonts w:cs="Arial"/>
          <w:sz w:val="22"/>
          <w:szCs w:val="22"/>
        </w:rPr>
        <w:t>(</w:t>
      </w:r>
      <w:r w:rsidR="00B75F16" w:rsidRPr="00043B6B">
        <w:rPr>
          <w:rFonts w:cs="Arial"/>
          <w:sz w:val="22"/>
          <w:szCs w:val="22"/>
        </w:rPr>
        <w:t>státní příspěvková organizace</w:t>
      </w:r>
      <w:r w:rsidR="000A46D3" w:rsidRPr="00043B6B">
        <w:rPr>
          <w:rFonts w:cs="Arial"/>
          <w:sz w:val="22"/>
          <w:szCs w:val="22"/>
        </w:rPr>
        <w:t>, zřízen</w:t>
      </w:r>
      <w:r w:rsidR="00B579C1">
        <w:rPr>
          <w:rFonts w:cs="Arial"/>
          <w:sz w:val="22"/>
          <w:szCs w:val="22"/>
        </w:rPr>
        <w:t>a</w:t>
      </w:r>
      <w:r w:rsidR="000A46D3" w:rsidRPr="00043B6B">
        <w:rPr>
          <w:rFonts w:cs="Arial"/>
          <w:sz w:val="22"/>
          <w:szCs w:val="22"/>
        </w:rPr>
        <w:t xml:space="preserve"> MD</w:t>
      </w:r>
      <w:r w:rsidR="00956B22" w:rsidRPr="00043B6B">
        <w:rPr>
          <w:rFonts w:cs="Arial"/>
          <w:sz w:val="22"/>
          <w:szCs w:val="22"/>
        </w:rPr>
        <w:t>) z</w:t>
      </w:r>
      <w:r w:rsidR="00B75F16" w:rsidRPr="00043B6B">
        <w:rPr>
          <w:rFonts w:cs="Arial"/>
          <w:sz w:val="22"/>
          <w:szCs w:val="22"/>
        </w:rPr>
        <w:t>abezpečuje podklady pro stanovení koncepcí a realizuje schválené dopravní politiky a koncepce. Vykonává veškeré investorské činnosti, včetně zadávání veřejných zakázek.</w:t>
      </w:r>
      <w:r w:rsidR="00956B22" w:rsidRPr="00043B6B">
        <w:rPr>
          <w:rFonts w:cs="Arial"/>
          <w:sz w:val="22"/>
          <w:szCs w:val="22"/>
        </w:rPr>
        <w:t xml:space="preserve"> Svou činnost</w:t>
      </w:r>
      <w:r w:rsidR="00D469C0" w:rsidRPr="00043B6B">
        <w:rPr>
          <w:rFonts w:cs="Arial"/>
          <w:sz w:val="22"/>
          <w:szCs w:val="22"/>
        </w:rPr>
        <w:t xml:space="preserve"> zabezpečuje prostřednictvím Generálního ředitelství (dále jen „GŘ“), dvou závodů a 11 správ. Kontrola byla provedena </w:t>
      </w:r>
      <w:r w:rsidR="00385262">
        <w:rPr>
          <w:rFonts w:cs="Arial"/>
          <w:sz w:val="22"/>
          <w:szCs w:val="22"/>
        </w:rPr>
        <w:t>u</w:t>
      </w:r>
      <w:r w:rsidR="00D469C0" w:rsidRPr="00043B6B">
        <w:rPr>
          <w:rFonts w:cs="Arial"/>
          <w:sz w:val="22"/>
          <w:szCs w:val="22"/>
        </w:rPr>
        <w:t xml:space="preserve"> GŘ, </w:t>
      </w:r>
      <w:r w:rsidR="00385262">
        <w:rPr>
          <w:rFonts w:cs="Arial"/>
          <w:sz w:val="22"/>
          <w:szCs w:val="22"/>
        </w:rPr>
        <w:t>závodů</w:t>
      </w:r>
      <w:r w:rsidR="00D469C0" w:rsidRPr="00043B6B">
        <w:rPr>
          <w:rFonts w:cs="Arial"/>
          <w:sz w:val="22"/>
          <w:szCs w:val="22"/>
        </w:rPr>
        <w:t xml:space="preserve"> Praha a Brno a </w:t>
      </w:r>
      <w:r w:rsidR="00385262">
        <w:rPr>
          <w:rFonts w:cs="Arial"/>
          <w:sz w:val="22"/>
          <w:szCs w:val="22"/>
        </w:rPr>
        <w:t>u správ</w:t>
      </w:r>
      <w:r w:rsidR="00D469C0" w:rsidRPr="00043B6B">
        <w:rPr>
          <w:rFonts w:cs="Arial"/>
          <w:sz w:val="22"/>
          <w:szCs w:val="22"/>
        </w:rPr>
        <w:t xml:space="preserve"> Karlovy Vary, Chomutov, Olomouc a Zlín. </w:t>
      </w:r>
    </w:p>
    <w:p w:rsidR="00D469C0" w:rsidRDefault="00D469C0" w:rsidP="00C47254">
      <w:pPr>
        <w:ind w:left="142" w:hanging="142"/>
        <w:jc w:val="both"/>
        <w:rPr>
          <w:rFonts w:cs="Arial"/>
          <w:sz w:val="22"/>
          <w:szCs w:val="22"/>
        </w:rPr>
      </w:pPr>
    </w:p>
    <w:p w:rsidR="00830BDF" w:rsidRDefault="00D17B52" w:rsidP="00D17B5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Kontrolní zjištění a závěry vycháze</w:t>
      </w:r>
      <w:r w:rsidR="006B1D78">
        <w:rPr>
          <w:rFonts w:cs="Arial"/>
          <w:sz w:val="22"/>
          <w:szCs w:val="22"/>
        </w:rPr>
        <w:t>jí</w:t>
      </w:r>
      <w:r>
        <w:rPr>
          <w:rFonts w:cs="Arial"/>
          <w:sz w:val="22"/>
          <w:szCs w:val="22"/>
        </w:rPr>
        <w:t xml:space="preserve"> z poznatků o všech akcích výstavby D a R, které byly v kontrolovaném období v</w:t>
      </w:r>
      <w:r w:rsidR="00332DC7">
        <w:rPr>
          <w:rFonts w:cs="Arial"/>
          <w:sz w:val="22"/>
          <w:szCs w:val="22"/>
        </w:rPr>
        <w:t xml:space="preserve"> přípravě nebo</w:t>
      </w:r>
      <w:r w:rsidR="00F2491C">
        <w:rPr>
          <w:rFonts w:cs="Arial"/>
          <w:sz w:val="22"/>
          <w:szCs w:val="22"/>
        </w:rPr>
        <w:t xml:space="preserve"> </w:t>
      </w:r>
      <w:r w:rsidR="00332DC7">
        <w:rPr>
          <w:rFonts w:cs="Arial"/>
          <w:sz w:val="22"/>
          <w:szCs w:val="22"/>
        </w:rPr>
        <w:t>realizaci</w:t>
      </w:r>
      <w:r>
        <w:rPr>
          <w:rFonts w:cs="Arial"/>
          <w:sz w:val="22"/>
          <w:szCs w:val="22"/>
        </w:rPr>
        <w:t>. Jednalo se o</w:t>
      </w:r>
      <w:r w:rsidR="00332DC7">
        <w:rPr>
          <w:rFonts w:cs="Arial"/>
          <w:sz w:val="22"/>
          <w:szCs w:val="22"/>
        </w:rPr>
        <w:t xml:space="preserve"> </w:t>
      </w:r>
      <w:r w:rsidR="00332DC7" w:rsidRPr="0075463A">
        <w:rPr>
          <w:rFonts w:cs="Arial"/>
          <w:sz w:val="22"/>
          <w:szCs w:val="22"/>
        </w:rPr>
        <w:t>7</w:t>
      </w:r>
      <w:r w:rsidR="007062DB" w:rsidRPr="0075463A">
        <w:rPr>
          <w:rFonts w:cs="Arial"/>
          <w:sz w:val="22"/>
          <w:szCs w:val="22"/>
        </w:rPr>
        <w:t>4</w:t>
      </w:r>
      <w:r w:rsidR="00332DC7">
        <w:rPr>
          <w:rFonts w:cs="Arial"/>
          <w:sz w:val="22"/>
          <w:szCs w:val="22"/>
        </w:rPr>
        <w:t xml:space="preserve"> staveb</w:t>
      </w:r>
      <w:r w:rsidR="00503750">
        <w:rPr>
          <w:rFonts w:cs="Arial"/>
          <w:sz w:val="22"/>
          <w:szCs w:val="22"/>
        </w:rPr>
        <w:t>, z toho bylo 33 </w:t>
      </w:r>
      <w:r w:rsidR="000E62B1">
        <w:rPr>
          <w:rFonts w:cs="Arial"/>
          <w:sz w:val="22"/>
          <w:szCs w:val="22"/>
        </w:rPr>
        <w:t>staveb na D a 41 staveb na R</w:t>
      </w:r>
      <w:r w:rsidR="00EB6E9A">
        <w:rPr>
          <w:rFonts w:cs="Arial"/>
          <w:sz w:val="22"/>
          <w:szCs w:val="22"/>
        </w:rPr>
        <w:t xml:space="preserve"> (příloha č. 1)</w:t>
      </w:r>
      <w:r w:rsidR="000E62B1">
        <w:rPr>
          <w:rFonts w:cs="Arial"/>
          <w:sz w:val="22"/>
          <w:szCs w:val="22"/>
        </w:rPr>
        <w:t>,</w:t>
      </w:r>
      <w:r w:rsidR="007062DB">
        <w:rPr>
          <w:rFonts w:cs="Arial"/>
          <w:sz w:val="22"/>
          <w:szCs w:val="22"/>
        </w:rPr>
        <w:t xml:space="preserve"> </w:t>
      </w:r>
      <w:r w:rsidR="00332DC7">
        <w:rPr>
          <w:rFonts w:cs="Arial"/>
          <w:sz w:val="22"/>
          <w:szCs w:val="22"/>
        </w:rPr>
        <w:t xml:space="preserve">s celkovými náklady </w:t>
      </w:r>
      <w:r w:rsidR="0075463A">
        <w:rPr>
          <w:rFonts w:cs="Arial"/>
          <w:sz w:val="22"/>
          <w:szCs w:val="22"/>
        </w:rPr>
        <w:t>215</w:t>
      </w:r>
      <w:r w:rsidR="006E0E9F">
        <w:rPr>
          <w:rFonts w:cs="Arial"/>
          <w:sz w:val="22"/>
          <w:szCs w:val="22"/>
        </w:rPr>
        <w:t xml:space="preserve"> m</w:t>
      </w:r>
      <w:r w:rsidR="00332DC7">
        <w:rPr>
          <w:rFonts w:cs="Arial"/>
          <w:sz w:val="22"/>
          <w:szCs w:val="22"/>
        </w:rPr>
        <w:t>l</w:t>
      </w:r>
      <w:r w:rsidR="006E0E9F">
        <w:rPr>
          <w:rFonts w:cs="Arial"/>
          <w:sz w:val="22"/>
          <w:szCs w:val="22"/>
        </w:rPr>
        <w:t>d</w:t>
      </w:r>
      <w:r w:rsidR="00332DC7">
        <w:rPr>
          <w:rFonts w:cs="Arial"/>
          <w:sz w:val="22"/>
          <w:szCs w:val="22"/>
        </w:rPr>
        <w:t>. Kč</w:t>
      </w:r>
      <w:r w:rsidR="006E0E9F">
        <w:rPr>
          <w:rStyle w:val="Znakapoznpodarou"/>
          <w:rFonts w:cs="Arial"/>
          <w:sz w:val="22"/>
          <w:szCs w:val="22"/>
        </w:rPr>
        <w:footnoteReference w:id="6"/>
      </w:r>
      <w:r w:rsidR="00332DC7">
        <w:rPr>
          <w:rFonts w:cs="Arial"/>
          <w:sz w:val="22"/>
          <w:szCs w:val="22"/>
        </w:rPr>
        <w:t>.</w:t>
      </w:r>
      <w:r w:rsidR="007062DB">
        <w:rPr>
          <w:rFonts w:cs="Arial"/>
          <w:sz w:val="22"/>
          <w:szCs w:val="22"/>
        </w:rPr>
        <w:t xml:space="preserve"> Podrobně</w:t>
      </w:r>
      <w:r w:rsidR="00EB6E9A">
        <w:rPr>
          <w:rFonts w:cs="Arial"/>
          <w:sz w:val="22"/>
          <w:szCs w:val="22"/>
        </w:rPr>
        <w:t xml:space="preserve"> </w:t>
      </w:r>
      <w:r w:rsidR="007062DB">
        <w:rPr>
          <w:rFonts w:cs="Arial"/>
          <w:sz w:val="22"/>
          <w:szCs w:val="22"/>
        </w:rPr>
        <w:t xml:space="preserve">bylo kontrolováno </w:t>
      </w:r>
      <w:r w:rsidR="0075463A" w:rsidRPr="0075463A">
        <w:rPr>
          <w:rFonts w:cs="Arial"/>
          <w:sz w:val="22"/>
          <w:szCs w:val="22"/>
        </w:rPr>
        <w:t>29</w:t>
      </w:r>
      <w:r w:rsidR="00830BDF">
        <w:rPr>
          <w:rFonts w:cs="Arial"/>
          <w:sz w:val="22"/>
          <w:szCs w:val="22"/>
        </w:rPr>
        <w:t xml:space="preserve"> staveb</w:t>
      </w:r>
      <w:r w:rsidR="00772362">
        <w:rPr>
          <w:rFonts w:cs="Arial"/>
          <w:sz w:val="22"/>
          <w:szCs w:val="22"/>
        </w:rPr>
        <w:t>, z toho 6 staveb na D a 23 na R,</w:t>
      </w:r>
      <w:r w:rsidR="00830BDF">
        <w:rPr>
          <w:rFonts w:cs="Arial"/>
          <w:sz w:val="22"/>
          <w:szCs w:val="22"/>
        </w:rPr>
        <w:t xml:space="preserve"> s celkovými náklady </w:t>
      </w:r>
      <w:r w:rsidR="0075463A">
        <w:rPr>
          <w:rFonts w:cs="Arial"/>
          <w:sz w:val="22"/>
          <w:szCs w:val="22"/>
        </w:rPr>
        <w:t>83</w:t>
      </w:r>
      <w:r w:rsidR="00927D99">
        <w:rPr>
          <w:rFonts w:cs="Arial"/>
          <w:sz w:val="22"/>
          <w:szCs w:val="22"/>
        </w:rPr>
        <w:t> </w:t>
      </w:r>
      <w:r w:rsidR="00EB6E9A">
        <w:rPr>
          <w:rFonts w:cs="Arial"/>
          <w:sz w:val="22"/>
          <w:szCs w:val="22"/>
        </w:rPr>
        <w:t>mld. </w:t>
      </w:r>
      <w:r w:rsidR="00830BDF">
        <w:rPr>
          <w:rFonts w:cs="Arial"/>
          <w:sz w:val="22"/>
          <w:szCs w:val="22"/>
        </w:rPr>
        <w:t>Kč.</w:t>
      </w:r>
      <w:r w:rsidR="009C20CC">
        <w:rPr>
          <w:rFonts w:cs="Arial"/>
          <w:sz w:val="22"/>
          <w:szCs w:val="22"/>
        </w:rPr>
        <w:t xml:space="preserve"> </w:t>
      </w:r>
    </w:p>
    <w:p w:rsidR="009C20CC" w:rsidRDefault="009C20CC" w:rsidP="00D17B52">
      <w:pPr>
        <w:jc w:val="both"/>
        <w:rPr>
          <w:rFonts w:cs="Arial"/>
          <w:sz w:val="22"/>
          <w:szCs w:val="22"/>
        </w:rPr>
      </w:pPr>
    </w:p>
    <w:p w:rsidR="00830BDF" w:rsidRPr="00043B6B" w:rsidRDefault="00830BDF" w:rsidP="00922C08">
      <w:pPr>
        <w:ind w:left="567" w:hanging="567"/>
        <w:jc w:val="both"/>
        <w:rPr>
          <w:rFonts w:cs="Arial"/>
          <w:sz w:val="18"/>
          <w:szCs w:val="18"/>
        </w:rPr>
      </w:pPr>
      <w:r w:rsidRPr="008151D1">
        <w:rPr>
          <w:rFonts w:cs="Arial"/>
          <w:b/>
          <w:sz w:val="18"/>
          <w:szCs w:val="18"/>
        </w:rPr>
        <w:t>Pozn</w:t>
      </w:r>
      <w:r w:rsidR="00B579C1">
        <w:rPr>
          <w:rFonts w:cs="Arial"/>
          <w:b/>
          <w:sz w:val="18"/>
          <w:szCs w:val="18"/>
        </w:rPr>
        <w:t>.:</w:t>
      </w:r>
      <w:r w:rsidRPr="00043B6B">
        <w:rPr>
          <w:rFonts w:cs="Arial"/>
          <w:sz w:val="18"/>
          <w:szCs w:val="18"/>
        </w:rPr>
        <w:tab/>
        <w:t>Právní předpisy uvedené v tomto kontrolním závěru jsou aplikovány ve znění účinném pro kontrolované období.</w:t>
      </w:r>
    </w:p>
    <w:p w:rsidR="00830BDF" w:rsidRPr="00850DC1" w:rsidRDefault="00830BDF" w:rsidP="00830BDF">
      <w:pPr>
        <w:ind w:left="1134" w:hanging="1134"/>
        <w:jc w:val="both"/>
        <w:rPr>
          <w:rFonts w:cs="Arial"/>
          <w:sz w:val="22"/>
          <w:szCs w:val="22"/>
        </w:rPr>
      </w:pPr>
    </w:p>
    <w:p w:rsidR="00332DC7" w:rsidRPr="00850DC1" w:rsidRDefault="00332DC7" w:rsidP="00830BDF">
      <w:pPr>
        <w:ind w:left="1134" w:hanging="1134"/>
        <w:jc w:val="both"/>
        <w:rPr>
          <w:rFonts w:cs="Arial"/>
          <w:sz w:val="22"/>
          <w:szCs w:val="22"/>
        </w:rPr>
      </w:pPr>
    </w:p>
    <w:p w:rsidR="00332DC7" w:rsidRDefault="00830BDF" w:rsidP="00830BDF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</w:rPr>
        <w:t>II. Skutečnosti zjištěn</w:t>
      </w:r>
      <w:r w:rsidR="00B579C1">
        <w:rPr>
          <w:rFonts w:cs="Arial"/>
          <w:b/>
        </w:rPr>
        <w:t>é</w:t>
      </w:r>
      <w:r>
        <w:rPr>
          <w:rFonts w:cs="Arial"/>
          <w:b/>
        </w:rPr>
        <w:t xml:space="preserve"> při kontrole</w:t>
      </w:r>
    </w:p>
    <w:p w:rsidR="00830BDF" w:rsidRDefault="00830BDF" w:rsidP="00850DC1">
      <w:pPr>
        <w:rPr>
          <w:rFonts w:cs="Arial"/>
          <w:b/>
          <w:sz w:val="22"/>
          <w:szCs w:val="22"/>
        </w:rPr>
      </w:pPr>
    </w:p>
    <w:p w:rsidR="00830BDF" w:rsidRDefault="00830BDF" w:rsidP="00830BDF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1. Koncepční činnost</w:t>
      </w:r>
    </w:p>
    <w:p w:rsidR="00830BDF" w:rsidRPr="00B579C1" w:rsidRDefault="00830BDF" w:rsidP="00830BDF">
      <w:pPr>
        <w:jc w:val="both"/>
        <w:rPr>
          <w:rFonts w:cs="Arial"/>
          <w:sz w:val="22"/>
          <w:szCs w:val="22"/>
        </w:rPr>
      </w:pPr>
    </w:p>
    <w:p w:rsidR="00544FA1" w:rsidRPr="00544FA1" w:rsidRDefault="005F0C85" w:rsidP="00982AF5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1.1 </w:t>
      </w:r>
      <w:r w:rsidR="00CA5FD8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 xml:space="preserve">elková </w:t>
      </w:r>
      <w:r w:rsidR="00982AF5">
        <w:rPr>
          <w:rFonts w:cs="Arial"/>
          <w:sz w:val="22"/>
          <w:szCs w:val="22"/>
        </w:rPr>
        <w:t>délka sítě D a R</w:t>
      </w:r>
      <w:r w:rsidR="00CA5FD8">
        <w:rPr>
          <w:rFonts w:cs="Arial"/>
          <w:sz w:val="22"/>
          <w:szCs w:val="22"/>
        </w:rPr>
        <w:t xml:space="preserve"> má podle MD</w:t>
      </w:r>
      <w:r w:rsidR="00982AF5">
        <w:rPr>
          <w:rFonts w:cs="Arial"/>
          <w:sz w:val="22"/>
          <w:szCs w:val="22"/>
        </w:rPr>
        <w:t xml:space="preserve"> činit 2 179 km,</w:t>
      </w:r>
      <w:r>
        <w:rPr>
          <w:rFonts w:cs="Arial"/>
          <w:sz w:val="22"/>
          <w:szCs w:val="22"/>
        </w:rPr>
        <w:t xml:space="preserve"> </w:t>
      </w:r>
      <w:r w:rsidR="00982AF5">
        <w:rPr>
          <w:rFonts w:cs="Arial"/>
          <w:sz w:val="22"/>
          <w:szCs w:val="22"/>
        </w:rPr>
        <w:t>k 31. </w:t>
      </w:r>
      <w:r w:rsidR="00927D99">
        <w:rPr>
          <w:rFonts w:cs="Arial"/>
          <w:sz w:val="22"/>
          <w:szCs w:val="22"/>
        </w:rPr>
        <w:t>prosinci</w:t>
      </w:r>
      <w:r w:rsidR="00B579C1">
        <w:rPr>
          <w:rFonts w:cs="Arial"/>
          <w:sz w:val="22"/>
          <w:szCs w:val="22"/>
        </w:rPr>
        <w:t xml:space="preserve"> </w:t>
      </w:r>
      <w:r w:rsidR="00982AF5">
        <w:rPr>
          <w:rFonts w:cs="Arial"/>
          <w:sz w:val="22"/>
          <w:szCs w:val="22"/>
        </w:rPr>
        <w:t>2012 bylo zprovozněno 1 18</w:t>
      </w:r>
      <w:r w:rsidR="00A70277">
        <w:rPr>
          <w:rFonts w:cs="Arial"/>
          <w:sz w:val="22"/>
          <w:szCs w:val="22"/>
        </w:rPr>
        <w:t>7</w:t>
      </w:r>
      <w:r w:rsidR="00982AF5">
        <w:rPr>
          <w:rFonts w:cs="Arial"/>
          <w:sz w:val="22"/>
          <w:szCs w:val="22"/>
        </w:rPr>
        <w:t xml:space="preserve"> km, tj. 54 %. </w:t>
      </w:r>
      <w:r w:rsidR="00544FA1">
        <w:rPr>
          <w:rFonts w:cs="Arial"/>
          <w:sz w:val="22"/>
          <w:szCs w:val="22"/>
        </w:rPr>
        <w:t>V letech 2000 až 2012 bylo postaveno 402 km D a R s náklady</w:t>
      </w:r>
      <w:r w:rsidR="00927D99">
        <w:rPr>
          <w:rFonts w:cs="Arial"/>
          <w:sz w:val="22"/>
          <w:szCs w:val="22"/>
        </w:rPr>
        <w:t xml:space="preserve"> 212 mld. </w:t>
      </w:r>
      <w:r w:rsidR="00772362">
        <w:rPr>
          <w:rFonts w:cs="Arial"/>
          <w:sz w:val="22"/>
          <w:szCs w:val="22"/>
        </w:rPr>
        <w:t>Kč, tj. 34 % z celkově</w:t>
      </w:r>
      <w:r w:rsidR="00544FA1">
        <w:rPr>
          <w:rFonts w:cs="Arial"/>
          <w:sz w:val="22"/>
          <w:szCs w:val="22"/>
        </w:rPr>
        <w:t xml:space="preserve"> zprovozněných úseků. </w:t>
      </w:r>
      <w:r w:rsidR="00772362">
        <w:rPr>
          <w:rFonts w:cs="Arial"/>
          <w:b/>
          <w:sz w:val="22"/>
          <w:szCs w:val="22"/>
        </w:rPr>
        <w:t>Výstavba</w:t>
      </w:r>
      <w:r w:rsidR="00544FA1" w:rsidRPr="00672956">
        <w:rPr>
          <w:rFonts w:cs="Arial"/>
          <w:b/>
          <w:sz w:val="22"/>
          <w:szCs w:val="22"/>
        </w:rPr>
        <w:t xml:space="preserve"> sítě D a R</w:t>
      </w:r>
      <w:r w:rsidR="00772362">
        <w:rPr>
          <w:rFonts w:cs="Arial"/>
          <w:b/>
          <w:sz w:val="22"/>
          <w:szCs w:val="22"/>
        </w:rPr>
        <w:t xml:space="preserve"> však</w:t>
      </w:r>
      <w:r w:rsidR="00544FA1" w:rsidRPr="00672956">
        <w:rPr>
          <w:rFonts w:cs="Arial"/>
          <w:b/>
          <w:sz w:val="22"/>
          <w:szCs w:val="22"/>
        </w:rPr>
        <w:t xml:space="preserve"> </w:t>
      </w:r>
      <w:r w:rsidR="00544FA1">
        <w:rPr>
          <w:rFonts w:cs="Arial"/>
          <w:b/>
          <w:sz w:val="22"/>
          <w:szCs w:val="22"/>
        </w:rPr>
        <w:t>neodpovídala</w:t>
      </w:r>
      <w:r w:rsidR="00544FA1" w:rsidRPr="00672956">
        <w:rPr>
          <w:rFonts w:cs="Arial"/>
          <w:b/>
          <w:sz w:val="22"/>
          <w:szCs w:val="22"/>
        </w:rPr>
        <w:t xml:space="preserve"> předpokladům</w:t>
      </w:r>
      <w:r w:rsidR="00544FA1" w:rsidRPr="008151D1">
        <w:rPr>
          <w:rFonts w:cs="Arial"/>
          <w:b/>
          <w:sz w:val="22"/>
          <w:szCs w:val="22"/>
        </w:rPr>
        <w:t>.</w:t>
      </w:r>
      <w:r w:rsidR="00772362">
        <w:rPr>
          <w:rFonts w:cs="Arial"/>
          <w:sz w:val="22"/>
          <w:szCs w:val="22"/>
        </w:rPr>
        <w:t xml:space="preserve"> Především se posouvaly t</w:t>
      </w:r>
      <w:r w:rsidR="00544FA1" w:rsidRPr="00544FA1">
        <w:rPr>
          <w:rFonts w:cs="Arial"/>
          <w:bCs/>
          <w:sz w:val="22"/>
          <w:szCs w:val="22"/>
        </w:rPr>
        <w:t>ermíny a</w:t>
      </w:r>
      <w:r w:rsidR="00544FA1">
        <w:rPr>
          <w:rFonts w:cs="Arial"/>
          <w:bCs/>
          <w:sz w:val="22"/>
          <w:szCs w:val="22"/>
        </w:rPr>
        <w:t xml:space="preserve"> </w:t>
      </w:r>
      <w:r w:rsidR="00772362" w:rsidRPr="00544FA1">
        <w:rPr>
          <w:rFonts w:cs="Arial"/>
          <w:bCs/>
          <w:sz w:val="22"/>
          <w:szCs w:val="22"/>
        </w:rPr>
        <w:t>zvyšovaly</w:t>
      </w:r>
      <w:r w:rsidR="00772362">
        <w:rPr>
          <w:rFonts w:cs="Arial"/>
          <w:bCs/>
          <w:sz w:val="22"/>
          <w:szCs w:val="22"/>
        </w:rPr>
        <w:t xml:space="preserve"> </w:t>
      </w:r>
      <w:r w:rsidR="00544FA1">
        <w:rPr>
          <w:rFonts w:cs="Arial"/>
          <w:bCs/>
          <w:sz w:val="22"/>
          <w:szCs w:val="22"/>
        </w:rPr>
        <w:t>předpokládané</w:t>
      </w:r>
      <w:r w:rsidR="00544FA1" w:rsidRPr="00544FA1">
        <w:rPr>
          <w:rFonts w:cs="Arial"/>
          <w:bCs/>
          <w:sz w:val="22"/>
          <w:szCs w:val="22"/>
        </w:rPr>
        <w:t xml:space="preserve"> náklady na realizaci</w:t>
      </w:r>
      <w:r w:rsidR="003A6650">
        <w:rPr>
          <w:rFonts w:cs="Arial"/>
          <w:bCs/>
          <w:sz w:val="22"/>
          <w:szCs w:val="22"/>
        </w:rPr>
        <w:t xml:space="preserve"> koncepčních záměrů</w:t>
      </w:r>
      <w:r w:rsidR="00544FA1">
        <w:rPr>
          <w:rFonts w:cs="Arial"/>
          <w:bCs/>
          <w:sz w:val="22"/>
          <w:szCs w:val="22"/>
        </w:rPr>
        <w:t xml:space="preserve">. </w:t>
      </w:r>
    </w:p>
    <w:p w:rsidR="00982AF5" w:rsidRDefault="00982AF5" w:rsidP="00982AF5">
      <w:pPr>
        <w:jc w:val="both"/>
        <w:rPr>
          <w:rFonts w:cs="Arial"/>
          <w:sz w:val="22"/>
          <w:szCs w:val="22"/>
        </w:rPr>
      </w:pPr>
    </w:p>
    <w:p w:rsidR="00982AF5" w:rsidRPr="008151D1" w:rsidRDefault="00982AF5" w:rsidP="00F74B37">
      <w:pPr>
        <w:ind w:left="284"/>
        <w:jc w:val="both"/>
        <w:rPr>
          <w:rFonts w:cs="Arial"/>
          <w:sz w:val="22"/>
          <w:szCs w:val="22"/>
        </w:rPr>
      </w:pPr>
      <w:r w:rsidRPr="008151D1">
        <w:rPr>
          <w:rFonts w:cs="Arial"/>
          <w:sz w:val="22"/>
          <w:szCs w:val="22"/>
        </w:rPr>
        <w:t xml:space="preserve">Například podle </w:t>
      </w:r>
      <w:r w:rsidRPr="008151D1">
        <w:rPr>
          <w:rFonts w:cs="Arial"/>
          <w:i/>
          <w:sz w:val="22"/>
          <w:szCs w:val="22"/>
        </w:rPr>
        <w:t>Návrhu rozvoje dopravních sítí v České republice do roku 2010</w:t>
      </w:r>
      <w:r w:rsidR="00672956" w:rsidRPr="008151D1">
        <w:rPr>
          <w:rStyle w:val="Znakapoznpodarou"/>
          <w:rFonts w:cs="Arial"/>
          <w:sz w:val="22"/>
          <w:szCs w:val="22"/>
        </w:rPr>
        <w:footnoteReference w:id="7"/>
      </w:r>
      <w:r w:rsidRPr="008151D1">
        <w:rPr>
          <w:rFonts w:cs="Arial"/>
          <w:sz w:val="22"/>
          <w:szCs w:val="22"/>
        </w:rPr>
        <w:t xml:space="preserve"> </w:t>
      </w:r>
      <w:r w:rsidR="00672956" w:rsidRPr="008151D1">
        <w:rPr>
          <w:rFonts w:cs="Arial"/>
          <w:sz w:val="22"/>
          <w:szCs w:val="22"/>
        </w:rPr>
        <w:t>mělo být v období let 2000 až 2010 s náklady 317 mld. Kč postaveno 1 419 km D a R</w:t>
      </w:r>
      <w:r w:rsidR="00551769" w:rsidRPr="008151D1">
        <w:rPr>
          <w:rFonts w:cs="Arial"/>
          <w:sz w:val="22"/>
          <w:szCs w:val="22"/>
        </w:rPr>
        <w:t xml:space="preserve"> a </w:t>
      </w:r>
      <w:r w:rsidR="00672956" w:rsidRPr="008151D1">
        <w:rPr>
          <w:rFonts w:cs="Arial"/>
          <w:sz w:val="22"/>
          <w:szCs w:val="22"/>
        </w:rPr>
        <w:t xml:space="preserve">síť </w:t>
      </w:r>
      <w:r w:rsidR="00551769" w:rsidRPr="008151D1">
        <w:rPr>
          <w:rFonts w:cs="Arial"/>
          <w:sz w:val="22"/>
          <w:szCs w:val="22"/>
        </w:rPr>
        <w:t xml:space="preserve">D a R </w:t>
      </w:r>
      <w:r w:rsidR="00672956" w:rsidRPr="008151D1">
        <w:rPr>
          <w:rFonts w:cs="Arial"/>
          <w:sz w:val="22"/>
          <w:szCs w:val="22"/>
        </w:rPr>
        <w:t>měla být dobudována.</w:t>
      </w:r>
      <w:r w:rsidR="00551769" w:rsidRPr="008151D1">
        <w:rPr>
          <w:rFonts w:cs="Arial"/>
          <w:sz w:val="22"/>
          <w:szCs w:val="22"/>
        </w:rPr>
        <w:t xml:space="preserve"> Ve skutečnosti bylo postaveno 391 km</w:t>
      </w:r>
      <w:r w:rsidR="00485900" w:rsidRPr="008151D1">
        <w:rPr>
          <w:rFonts w:cs="Arial"/>
          <w:sz w:val="22"/>
          <w:szCs w:val="22"/>
        </w:rPr>
        <w:t xml:space="preserve"> </w:t>
      </w:r>
      <w:r w:rsidR="00927D99" w:rsidRPr="008151D1">
        <w:rPr>
          <w:rFonts w:cs="Arial"/>
          <w:sz w:val="22"/>
          <w:szCs w:val="22"/>
        </w:rPr>
        <w:t>s náklady 185 </w:t>
      </w:r>
      <w:r w:rsidR="00485900" w:rsidRPr="008151D1">
        <w:rPr>
          <w:rFonts w:cs="Arial"/>
          <w:sz w:val="22"/>
          <w:szCs w:val="22"/>
        </w:rPr>
        <w:t xml:space="preserve">mld. Kč. </w:t>
      </w:r>
      <w:r w:rsidR="00485900" w:rsidRPr="008151D1">
        <w:rPr>
          <w:rFonts w:cs="Arial"/>
          <w:b/>
          <w:sz w:val="22"/>
          <w:szCs w:val="22"/>
        </w:rPr>
        <w:t xml:space="preserve">Věcný záměr tak </w:t>
      </w:r>
      <w:r w:rsidR="006C6EEA" w:rsidRPr="008151D1">
        <w:rPr>
          <w:rFonts w:cs="Arial"/>
          <w:b/>
          <w:sz w:val="22"/>
          <w:szCs w:val="22"/>
        </w:rPr>
        <w:t xml:space="preserve">byl </w:t>
      </w:r>
      <w:r w:rsidR="00927D99" w:rsidRPr="008151D1">
        <w:rPr>
          <w:rFonts w:cs="Arial"/>
          <w:b/>
          <w:sz w:val="22"/>
          <w:szCs w:val="22"/>
        </w:rPr>
        <w:t>splněn v rozsahu 28 </w:t>
      </w:r>
      <w:r w:rsidR="00485900" w:rsidRPr="008151D1">
        <w:rPr>
          <w:rFonts w:cs="Arial"/>
          <w:b/>
          <w:sz w:val="22"/>
          <w:szCs w:val="22"/>
        </w:rPr>
        <w:t xml:space="preserve">%, přičemž </w:t>
      </w:r>
      <w:r w:rsidR="006C6EEA" w:rsidRPr="008151D1">
        <w:rPr>
          <w:rFonts w:cs="Arial"/>
          <w:b/>
          <w:sz w:val="22"/>
          <w:szCs w:val="22"/>
        </w:rPr>
        <w:t>předpokládané náklady byly čerpány na</w:t>
      </w:r>
      <w:r w:rsidR="00485900" w:rsidRPr="008151D1">
        <w:rPr>
          <w:rFonts w:cs="Arial"/>
          <w:b/>
          <w:sz w:val="22"/>
          <w:szCs w:val="22"/>
        </w:rPr>
        <w:t xml:space="preserve"> 58 %</w:t>
      </w:r>
      <w:r w:rsidR="00551769" w:rsidRPr="008151D1">
        <w:rPr>
          <w:rFonts w:cs="Arial"/>
          <w:b/>
          <w:sz w:val="22"/>
          <w:szCs w:val="22"/>
        </w:rPr>
        <w:t>.</w:t>
      </w:r>
    </w:p>
    <w:p w:rsidR="00066D9F" w:rsidRDefault="00066D9F" w:rsidP="001671F8">
      <w:pPr>
        <w:jc w:val="both"/>
        <w:rPr>
          <w:rFonts w:cs="Arial"/>
          <w:b/>
          <w:sz w:val="22"/>
          <w:szCs w:val="22"/>
        </w:rPr>
      </w:pPr>
    </w:p>
    <w:p w:rsidR="00D52757" w:rsidRPr="00982AF5" w:rsidRDefault="006C6EEA" w:rsidP="00D52757">
      <w:pPr>
        <w:jc w:val="both"/>
        <w:rPr>
          <w:rFonts w:cs="Arial"/>
          <w:sz w:val="22"/>
          <w:szCs w:val="22"/>
        </w:rPr>
      </w:pPr>
      <w:r w:rsidRPr="003C0EB0">
        <w:rPr>
          <w:rFonts w:cs="Arial"/>
          <w:b/>
          <w:sz w:val="22"/>
          <w:szCs w:val="22"/>
        </w:rPr>
        <w:lastRenderedPageBreak/>
        <w:t xml:space="preserve">MD </w:t>
      </w:r>
      <w:r w:rsidR="001671F8" w:rsidRPr="003C0EB0">
        <w:rPr>
          <w:rFonts w:cs="Arial"/>
          <w:b/>
          <w:sz w:val="22"/>
          <w:szCs w:val="22"/>
        </w:rPr>
        <w:t xml:space="preserve">nedisponovalo </w:t>
      </w:r>
      <w:r>
        <w:rPr>
          <w:rFonts w:cs="Arial"/>
          <w:b/>
          <w:sz w:val="22"/>
          <w:szCs w:val="22"/>
        </w:rPr>
        <w:t>v</w:t>
      </w:r>
      <w:r w:rsidRPr="003C0EB0">
        <w:rPr>
          <w:rFonts w:cs="Arial"/>
          <w:b/>
          <w:sz w:val="22"/>
          <w:szCs w:val="22"/>
        </w:rPr>
        <w:t xml:space="preserve"> době kontroly </w:t>
      </w:r>
      <w:r w:rsidR="001671F8" w:rsidRPr="003C0EB0">
        <w:rPr>
          <w:rFonts w:cs="Arial"/>
          <w:b/>
          <w:sz w:val="22"/>
          <w:szCs w:val="22"/>
        </w:rPr>
        <w:t xml:space="preserve">žádným koncepčním materiálem, ze kterého by bylo možno zjistit termíny a náklady dokončení sítě </w:t>
      </w:r>
      <w:r w:rsidR="000E1CA1">
        <w:rPr>
          <w:rFonts w:cs="Arial"/>
          <w:b/>
          <w:sz w:val="22"/>
          <w:szCs w:val="22"/>
        </w:rPr>
        <w:t>D</w:t>
      </w:r>
      <w:r w:rsidR="001671F8" w:rsidRPr="003C0EB0">
        <w:rPr>
          <w:rFonts w:cs="Arial"/>
          <w:b/>
          <w:sz w:val="22"/>
          <w:szCs w:val="22"/>
        </w:rPr>
        <w:t xml:space="preserve"> a </w:t>
      </w:r>
      <w:r w:rsidR="000E1CA1">
        <w:rPr>
          <w:rFonts w:cs="Arial"/>
          <w:b/>
          <w:sz w:val="22"/>
          <w:szCs w:val="22"/>
        </w:rPr>
        <w:t>R</w:t>
      </w:r>
      <w:r w:rsidR="001671F8" w:rsidRPr="008151D1">
        <w:rPr>
          <w:rFonts w:cs="Arial"/>
          <w:b/>
          <w:sz w:val="22"/>
          <w:szCs w:val="22"/>
        </w:rPr>
        <w:t>.</w:t>
      </w:r>
      <w:r w:rsidR="001671F8">
        <w:rPr>
          <w:rFonts w:cs="Arial"/>
          <w:sz w:val="22"/>
          <w:szCs w:val="22"/>
        </w:rPr>
        <w:t xml:space="preserve"> Z předložených materiálů lze pouze usuzovat</w:t>
      </w:r>
      <w:r w:rsidR="00D52757">
        <w:rPr>
          <w:rFonts w:cs="Arial"/>
          <w:sz w:val="22"/>
          <w:szCs w:val="22"/>
        </w:rPr>
        <w:t>, že</w:t>
      </w:r>
      <w:r w:rsidR="00174F59">
        <w:rPr>
          <w:rFonts w:cs="Arial"/>
          <w:sz w:val="22"/>
          <w:szCs w:val="22"/>
        </w:rPr>
        <w:t xml:space="preserve"> MD předpokládá </w:t>
      </w:r>
      <w:r w:rsidR="001671F8">
        <w:rPr>
          <w:rFonts w:cs="Arial"/>
          <w:sz w:val="22"/>
          <w:szCs w:val="22"/>
        </w:rPr>
        <w:t>její dokončení za horizontem roku 2020.</w:t>
      </w:r>
      <w:r w:rsidR="00D52757">
        <w:rPr>
          <w:rFonts w:cs="Arial"/>
          <w:sz w:val="22"/>
          <w:szCs w:val="22"/>
        </w:rPr>
        <w:t xml:space="preserve"> Podle dosavadního vývoje plnění záměrů však bude dokončení výstavby sítě D a R trvat</w:t>
      </w:r>
      <w:r w:rsidR="00174F59">
        <w:rPr>
          <w:rFonts w:cs="Arial"/>
          <w:sz w:val="22"/>
          <w:szCs w:val="22"/>
        </w:rPr>
        <w:t xml:space="preserve"> ještě</w:t>
      </w:r>
      <w:r w:rsidR="00C12F37">
        <w:rPr>
          <w:rFonts w:cs="Arial"/>
          <w:sz w:val="22"/>
          <w:szCs w:val="22"/>
        </w:rPr>
        <w:t xml:space="preserve"> 32 </w:t>
      </w:r>
      <w:r w:rsidR="00D52757">
        <w:rPr>
          <w:rFonts w:cs="Arial"/>
          <w:sz w:val="22"/>
          <w:szCs w:val="22"/>
        </w:rPr>
        <w:t>let</w:t>
      </w:r>
      <w:r>
        <w:rPr>
          <w:rFonts w:cs="Arial"/>
          <w:sz w:val="22"/>
          <w:szCs w:val="22"/>
        </w:rPr>
        <w:t xml:space="preserve"> a na dokončení bude potřeba vynaložit</w:t>
      </w:r>
      <w:r w:rsidR="00D52757">
        <w:rPr>
          <w:rFonts w:cs="Arial"/>
          <w:sz w:val="22"/>
          <w:szCs w:val="22"/>
        </w:rPr>
        <w:t xml:space="preserve"> přes 520 mld. Kč, tj. o 64 % více, než bylo </w:t>
      </w:r>
      <w:r w:rsidR="00174F59">
        <w:rPr>
          <w:rFonts w:cs="Arial"/>
          <w:sz w:val="22"/>
          <w:szCs w:val="22"/>
        </w:rPr>
        <w:t xml:space="preserve">na dokončení </w:t>
      </w:r>
      <w:r w:rsidR="00D52757">
        <w:rPr>
          <w:rFonts w:cs="Arial"/>
          <w:sz w:val="22"/>
          <w:szCs w:val="22"/>
        </w:rPr>
        <w:t xml:space="preserve">předpokládáno v roce 1999. </w:t>
      </w:r>
      <w:r w:rsidR="00174F59">
        <w:rPr>
          <w:rFonts w:cs="Arial"/>
          <w:sz w:val="22"/>
          <w:szCs w:val="22"/>
        </w:rPr>
        <w:t xml:space="preserve"> </w:t>
      </w:r>
      <w:r w:rsidR="00D52757">
        <w:rPr>
          <w:rFonts w:cs="Arial"/>
          <w:sz w:val="22"/>
          <w:szCs w:val="22"/>
        </w:rPr>
        <w:t xml:space="preserve">  </w:t>
      </w:r>
    </w:p>
    <w:p w:rsidR="0075463A" w:rsidRPr="00B579C1" w:rsidRDefault="0075463A" w:rsidP="001671F8">
      <w:pPr>
        <w:jc w:val="both"/>
        <w:rPr>
          <w:rFonts w:cs="Arial"/>
          <w:sz w:val="22"/>
          <w:szCs w:val="22"/>
        </w:rPr>
      </w:pPr>
    </w:p>
    <w:p w:rsidR="00046CD6" w:rsidRDefault="001671F8" w:rsidP="001671F8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1.2 </w:t>
      </w:r>
      <w:r w:rsidR="00046CD6">
        <w:rPr>
          <w:rFonts w:cs="Arial"/>
          <w:b/>
          <w:sz w:val="22"/>
          <w:szCs w:val="22"/>
        </w:rPr>
        <w:t>Příprava</w:t>
      </w:r>
      <w:r w:rsidR="00046CD6" w:rsidRPr="00025E01">
        <w:rPr>
          <w:rFonts w:cs="Arial"/>
          <w:b/>
          <w:sz w:val="22"/>
          <w:szCs w:val="22"/>
        </w:rPr>
        <w:t xml:space="preserve"> a</w:t>
      </w:r>
      <w:r w:rsidR="006B1D78">
        <w:rPr>
          <w:rFonts w:cs="Arial"/>
          <w:b/>
          <w:sz w:val="22"/>
          <w:szCs w:val="22"/>
        </w:rPr>
        <w:t>ni</w:t>
      </w:r>
      <w:r w:rsidR="00046CD6" w:rsidRPr="00025E01">
        <w:rPr>
          <w:rFonts w:cs="Arial"/>
          <w:b/>
          <w:sz w:val="22"/>
          <w:szCs w:val="22"/>
        </w:rPr>
        <w:t xml:space="preserve"> realizace </w:t>
      </w:r>
      <w:r w:rsidR="00025E01" w:rsidRPr="00025E01">
        <w:rPr>
          <w:rFonts w:cs="Arial"/>
          <w:b/>
          <w:sz w:val="22"/>
          <w:szCs w:val="22"/>
        </w:rPr>
        <w:t>akcí</w:t>
      </w:r>
      <w:r w:rsidR="005422D6">
        <w:rPr>
          <w:rFonts w:cs="Arial"/>
          <w:b/>
          <w:sz w:val="22"/>
          <w:szCs w:val="22"/>
        </w:rPr>
        <w:t xml:space="preserve"> na</w:t>
      </w:r>
      <w:r w:rsidR="00025E01" w:rsidRPr="00025E01">
        <w:rPr>
          <w:rFonts w:cs="Arial"/>
          <w:b/>
          <w:sz w:val="22"/>
          <w:szCs w:val="22"/>
        </w:rPr>
        <w:t xml:space="preserve"> D a R </w:t>
      </w:r>
      <w:r w:rsidR="00046CD6">
        <w:rPr>
          <w:rFonts w:cs="Arial"/>
          <w:b/>
          <w:sz w:val="22"/>
          <w:szCs w:val="22"/>
        </w:rPr>
        <w:t>nevycházel</w:t>
      </w:r>
      <w:r w:rsidR="00A97480">
        <w:rPr>
          <w:rFonts w:cs="Arial"/>
          <w:b/>
          <w:sz w:val="22"/>
          <w:szCs w:val="22"/>
        </w:rPr>
        <w:t>y</w:t>
      </w:r>
      <w:r w:rsidR="00025E01" w:rsidRPr="00025E01">
        <w:rPr>
          <w:rFonts w:cs="Arial"/>
          <w:b/>
          <w:sz w:val="22"/>
          <w:szCs w:val="22"/>
        </w:rPr>
        <w:t xml:space="preserve"> z</w:t>
      </w:r>
      <w:r w:rsidR="008F6808">
        <w:rPr>
          <w:rFonts w:cs="Arial"/>
          <w:b/>
          <w:sz w:val="22"/>
          <w:szCs w:val="22"/>
        </w:rPr>
        <w:t xml:space="preserve"> vládou</w:t>
      </w:r>
      <w:r w:rsidR="00025E01" w:rsidRPr="00025E01">
        <w:rPr>
          <w:rFonts w:cs="Arial"/>
          <w:b/>
          <w:sz w:val="22"/>
          <w:szCs w:val="22"/>
        </w:rPr>
        <w:t xml:space="preserve"> schváleného koncepčního materiál</w:t>
      </w:r>
      <w:r w:rsidR="0056233B">
        <w:rPr>
          <w:rFonts w:cs="Arial"/>
          <w:b/>
          <w:sz w:val="22"/>
          <w:szCs w:val="22"/>
        </w:rPr>
        <w:t>u</w:t>
      </w:r>
      <w:r w:rsidR="00025E01" w:rsidRPr="00025E01">
        <w:rPr>
          <w:rFonts w:cs="Arial"/>
          <w:b/>
          <w:sz w:val="22"/>
          <w:szCs w:val="22"/>
        </w:rPr>
        <w:t>, který by</w:t>
      </w:r>
      <w:r w:rsidR="008F6808">
        <w:rPr>
          <w:rFonts w:cs="Arial"/>
          <w:b/>
          <w:sz w:val="22"/>
          <w:szCs w:val="22"/>
        </w:rPr>
        <w:t xml:space="preserve"> měl dlouhodobou závaznost a</w:t>
      </w:r>
      <w:r w:rsidR="00025E01" w:rsidRPr="00025E01">
        <w:rPr>
          <w:rFonts w:cs="Arial"/>
          <w:b/>
          <w:sz w:val="22"/>
          <w:szCs w:val="22"/>
        </w:rPr>
        <w:t xml:space="preserve"> vymezoval </w:t>
      </w:r>
      <w:r w:rsidR="006B1D78">
        <w:rPr>
          <w:rFonts w:cs="Arial"/>
          <w:b/>
          <w:sz w:val="22"/>
          <w:szCs w:val="22"/>
        </w:rPr>
        <w:t>priority a </w:t>
      </w:r>
      <w:r w:rsidR="00025E01" w:rsidRPr="00025E01">
        <w:rPr>
          <w:rFonts w:cs="Arial"/>
          <w:b/>
          <w:sz w:val="22"/>
          <w:szCs w:val="22"/>
        </w:rPr>
        <w:t>naléhavost realizace staveb při zohlednění reálných zdrojů financování</w:t>
      </w:r>
      <w:r w:rsidR="00025E01" w:rsidRPr="008151D1">
        <w:rPr>
          <w:rFonts w:cs="Arial"/>
          <w:b/>
          <w:sz w:val="22"/>
          <w:szCs w:val="22"/>
        </w:rPr>
        <w:t>.</w:t>
      </w:r>
      <w:r w:rsidR="00E25F2A">
        <w:rPr>
          <w:rFonts w:cs="Arial"/>
          <w:sz w:val="22"/>
          <w:szCs w:val="22"/>
        </w:rPr>
        <w:t xml:space="preserve"> </w:t>
      </w:r>
      <w:r w:rsidR="00046CD6">
        <w:rPr>
          <w:rFonts w:cs="Arial"/>
          <w:sz w:val="22"/>
          <w:szCs w:val="22"/>
        </w:rPr>
        <w:t>Na tento stav NKÚ již několikrát upozorňoval v minulých</w:t>
      </w:r>
      <w:r w:rsidR="006B1D78">
        <w:rPr>
          <w:rFonts w:cs="Arial"/>
          <w:sz w:val="22"/>
          <w:szCs w:val="22"/>
        </w:rPr>
        <w:t xml:space="preserve"> </w:t>
      </w:r>
      <w:r w:rsidR="00046CD6">
        <w:rPr>
          <w:rFonts w:cs="Arial"/>
          <w:sz w:val="22"/>
          <w:szCs w:val="22"/>
        </w:rPr>
        <w:t>kontrolních akcích zaměřených na výsta</w:t>
      </w:r>
      <w:r w:rsidR="006B1D78">
        <w:rPr>
          <w:rFonts w:cs="Arial"/>
          <w:sz w:val="22"/>
          <w:szCs w:val="22"/>
        </w:rPr>
        <w:t>vbu D a </w:t>
      </w:r>
      <w:r w:rsidR="00046CD6">
        <w:rPr>
          <w:rFonts w:cs="Arial"/>
          <w:sz w:val="22"/>
          <w:szCs w:val="22"/>
        </w:rPr>
        <w:t xml:space="preserve">R. </w:t>
      </w:r>
      <w:r w:rsidR="00046CD6" w:rsidRPr="00046CD6">
        <w:rPr>
          <w:rFonts w:cs="Arial"/>
          <w:b/>
          <w:sz w:val="22"/>
          <w:szCs w:val="22"/>
        </w:rPr>
        <w:t xml:space="preserve">MD </w:t>
      </w:r>
      <w:r w:rsidR="004B4192" w:rsidRPr="00525B84">
        <w:rPr>
          <w:rFonts w:cs="Arial"/>
          <w:b/>
          <w:sz w:val="22"/>
          <w:szCs w:val="22"/>
        </w:rPr>
        <w:t>od roku 2007 nedisponuje žádným schváleným střednědobým ani dlouhodobým koncepčním materiálem</w:t>
      </w:r>
      <w:r w:rsidR="004B4192">
        <w:rPr>
          <w:rFonts w:cs="Arial"/>
          <w:b/>
          <w:sz w:val="22"/>
          <w:szCs w:val="22"/>
        </w:rPr>
        <w:t xml:space="preserve">, </w:t>
      </w:r>
      <w:r w:rsidR="00087ABD">
        <w:rPr>
          <w:rFonts w:cs="Arial"/>
          <w:b/>
          <w:sz w:val="22"/>
          <w:szCs w:val="22"/>
        </w:rPr>
        <w:t>přitom</w:t>
      </w:r>
      <w:r w:rsidR="004B4192">
        <w:rPr>
          <w:rFonts w:cs="Arial"/>
          <w:b/>
          <w:sz w:val="22"/>
          <w:szCs w:val="22"/>
        </w:rPr>
        <w:t xml:space="preserve"> </w:t>
      </w:r>
      <w:r w:rsidR="0073329F">
        <w:rPr>
          <w:rFonts w:cs="Arial"/>
          <w:b/>
          <w:sz w:val="22"/>
          <w:szCs w:val="22"/>
        </w:rPr>
        <w:t xml:space="preserve">v letech </w:t>
      </w:r>
      <w:r w:rsidR="00046CD6">
        <w:rPr>
          <w:rFonts w:cs="Arial"/>
          <w:b/>
          <w:sz w:val="22"/>
          <w:szCs w:val="22"/>
        </w:rPr>
        <w:t>1999</w:t>
      </w:r>
      <w:r w:rsidR="0073329F">
        <w:rPr>
          <w:rFonts w:cs="Arial"/>
          <w:b/>
          <w:sz w:val="22"/>
          <w:szCs w:val="22"/>
        </w:rPr>
        <w:t xml:space="preserve"> až 2012</w:t>
      </w:r>
      <w:r w:rsidR="00046CD6" w:rsidRPr="00E25F2A">
        <w:rPr>
          <w:rFonts w:cs="Arial"/>
          <w:b/>
          <w:sz w:val="22"/>
          <w:szCs w:val="22"/>
        </w:rPr>
        <w:t xml:space="preserve"> </w:t>
      </w:r>
      <w:r w:rsidR="0073329F" w:rsidRPr="00E25F2A">
        <w:rPr>
          <w:rFonts w:cs="Arial"/>
          <w:b/>
          <w:sz w:val="22"/>
          <w:szCs w:val="22"/>
        </w:rPr>
        <w:t>zpracovalo</w:t>
      </w:r>
      <w:r w:rsidR="0073329F">
        <w:rPr>
          <w:rFonts w:cs="Arial"/>
          <w:b/>
          <w:sz w:val="22"/>
          <w:szCs w:val="22"/>
        </w:rPr>
        <w:t xml:space="preserve"> </w:t>
      </w:r>
      <w:r w:rsidR="00046CD6" w:rsidRPr="00E25F2A">
        <w:rPr>
          <w:rFonts w:cs="Arial"/>
          <w:b/>
          <w:sz w:val="22"/>
          <w:szCs w:val="22"/>
        </w:rPr>
        <w:t>několik materiálů</w:t>
      </w:r>
      <w:r w:rsidR="0073329F">
        <w:rPr>
          <w:rFonts w:cs="Arial"/>
          <w:b/>
          <w:sz w:val="22"/>
          <w:szCs w:val="22"/>
        </w:rPr>
        <w:t xml:space="preserve"> koncepčního char</w:t>
      </w:r>
      <w:r w:rsidR="004B4192">
        <w:rPr>
          <w:rFonts w:cs="Arial"/>
          <w:b/>
          <w:sz w:val="22"/>
          <w:szCs w:val="22"/>
        </w:rPr>
        <w:t>akteru</w:t>
      </w:r>
      <w:r w:rsidR="0073329F" w:rsidRPr="008151D1">
        <w:rPr>
          <w:rFonts w:cs="Arial"/>
          <w:b/>
          <w:sz w:val="22"/>
          <w:szCs w:val="22"/>
        </w:rPr>
        <w:t>:</w:t>
      </w:r>
    </w:p>
    <w:p w:rsidR="0073329F" w:rsidRPr="00043B6B" w:rsidRDefault="003C0EB0" w:rsidP="005D099E">
      <w:pPr>
        <w:pStyle w:val="Odstavecseseznamem"/>
        <w:numPr>
          <w:ilvl w:val="0"/>
          <w:numId w:val="2"/>
        </w:numPr>
        <w:ind w:left="284" w:hanging="284"/>
        <w:jc w:val="both"/>
        <w:rPr>
          <w:rFonts w:cs="Arial"/>
          <w:sz w:val="22"/>
          <w:szCs w:val="22"/>
        </w:rPr>
      </w:pPr>
      <w:r w:rsidRPr="00043B6B">
        <w:rPr>
          <w:rFonts w:cs="Arial"/>
          <w:sz w:val="22"/>
          <w:szCs w:val="22"/>
        </w:rPr>
        <w:t>Na roky</w:t>
      </w:r>
      <w:r w:rsidR="00586B32" w:rsidRPr="00043B6B">
        <w:rPr>
          <w:rFonts w:cs="Arial"/>
          <w:sz w:val="22"/>
          <w:szCs w:val="22"/>
        </w:rPr>
        <w:t xml:space="preserve"> 2005 až 2013 </w:t>
      </w:r>
      <w:r w:rsidR="0056233B" w:rsidRPr="00043B6B">
        <w:rPr>
          <w:rFonts w:cs="Arial"/>
          <w:sz w:val="22"/>
          <w:szCs w:val="22"/>
        </w:rPr>
        <w:t>byla</w:t>
      </w:r>
      <w:r w:rsidR="00586B32" w:rsidRPr="00043B6B">
        <w:rPr>
          <w:rFonts w:cs="Arial"/>
          <w:sz w:val="22"/>
          <w:szCs w:val="22"/>
        </w:rPr>
        <w:t xml:space="preserve"> výchozím strategickým dokumentem pro koncepční plánování </w:t>
      </w:r>
      <w:r w:rsidR="00586B32" w:rsidRPr="00043B6B">
        <w:rPr>
          <w:rFonts w:cs="Arial"/>
          <w:i/>
          <w:sz w:val="22"/>
          <w:szCs w:val="22"/>
        </w:rPr>
        <w:t>Dopravní politika Č</w:t>
      </w:r>
      <w:r w:rsidR="00225AD3" w:rsidRPr="00043B6B">
        <w:rPr>
          <w:rFonts w:cs="Arial"/>
          <w:i/>
          <w:sz w:val="22"/>
          <w:szCs w:val="22"/>
        </w:rPr>
        <w:t>R</w:t>
      </w:r>
      <w:r w:rsidR="00586B32">
        <w:rPr>
          <w:rStyle w:val="Znakapoznpodarou"/>
          <w:rFonts w:cs="Arial"/>
          <w:sz w:val="22"/>
          <w:szCs w:val="22"/>
        </w:rPr>
        <w:footnoteReference w:id="8"/>
      </w:r>
      <w:r w:rsidR="00586B32" w:rsidRPr="00043B6B">
        <w:rPr>
          <w:rFonts w:cs="Arial"/>
          <w:sz w:val="22"/>
          <w:szCs w:val="22"/>
        </w:rPr>
        <w:t>. Její cíle</w:t>
      </w:r>
      <w:r w:rsidR="00225AD3" w:rsidRPr="00043B6B">
        <w:rPr>
          <w:rFonts w:cs="Arial"/>
          <w:sz w:val="22"/>
          <w:szCs w:val="22"/>
        </w:rPr>
        <w:t xml:space="preserve"> a opatření pro období let 2007</w:t>
      </w:r>
      <w:r w:rsidR="00C12F37" w:rsidRPr="00043B6B">
        <w:rPr>
          <w:rFonts w:cs="Arial"/>
          <w:sz w:val="22"/>
          <w:szCs w:val="22"/>
        </w:rPr>
        <w:t>–</w:t>
      </w:r>
      <w:r w:rsidR="00225AD3" w:rsidRPr="00043B6B">
        <w:rPr>
          <w:rFonts w:cs="Arial"/>
          <w:sz w:val="22"/>
          <w:szCs w:val="22"/>
        </w:rPr>
        <w:t>2013 měly být konkretizovány v </w:t>
      </w:r>
      <w:r w:rsidR="00225AD3" w:rsidRPr="00043B6B">
        <w:rPr>
          <w:rFonts w:cs="Arial"/>
          <w:i/>
          <w:sz w:val="22"/>
          <w:szCs w:val="22"/>
        </w:rPr>
        <w:t>Generálním plánu rozvoje dopravní infrastruktury</w:t>
      </w:r>
      <w:r w:rsidR="0056233B" w:rsidRPr="00043B6B">
        <w:rPr>
          <w:rFonts w:cs="Arial"/>
          <w:sz w:val="22"/>
          <w:szCs w:val="22"/>
        </w:rPr>
        <w:t xml:space="preserve">, který </w:t>
      </w:r>
      <w:r w:rsidR="00225AD3" w:rsidRPr="00043B6B">
        <w:rPr>
          <w:rFonts w:cs="Arial"/>
          <w:sz w:val="22"/>
          <w:szCs w:val="22"/>
        </w:rPr>
        <w:t>měl stanovit harmonogram plnění</w:t>
      </w:r>
      <w:r w:rsidR="00087ABD" w:rsidRPr="00043B6B">
        <w:rPr>
          <w:rFonts w:cs="Arial"/>
          <w:sz w:val="22"/>
          <w:szCs w:val="22"/>
        </w:rPr>
        <w:t xml:space="preserve"> a </w:t>
      </w:r>
      <w:r w:rsidR="00225AD3" w:rsidRPr="00043B6B">
        <w:rPr>
          <w:rFonts w:cs="Arial"/>
          <w:sz w:val="22"/>
          <w:szCs w:val="22"/>
        </w:rPr>
        <w:t>priority a</w:t>
      </w:r>
      <w:r w:rsidR="00087ABD" w:rsidRPr="00043B6B">
        <w:rPr>
          <w:rFonts w:cs="Arial"/>
          <w:sz w:val="22"/>
          <w:szCs w:val="22"/>
        </w:rPr>
        <w:t xml:space="preserve"> měl</w:t>
      </w:r>
      <w:r w:rsidR="00225AD3" w:rsidRPr="00043B6B">
        <w:rPr>
          <w:rFonts w:cs="Arial"/>
          <w:sz w:val="22"/>
          <w:szCs w:val="22"/>
        </w:rPr>
        <w:t xml:space="preserve"> zajistit</w:t>
      </w:r>
      <w:r w:rsidR="00087ABD" w:rsidRPr="00043B6B">
        <w:rPr>
          <w:rFonts w:cs="Arial"/>
          <w:sz w:val="22"/>
          <w:szCs w:val="22"/>
        </w:rPr>
        <w:t xml:space="preserve"> </w:t>
      </w:r>
      <w:r w:rsidR="00225AD3" w:rsidRPr="00043B6B">
        <w:rPr>
          <w:rFonts w:cs="Arial"/>
          <w:sz w:val="22"/>
          <w:szCs w:val="22"/>
        </w:rPr>
        <w:t>rozsah investic rozvoje dopravní infrastruktury odpovídající</w:t>
      </w:r>
      <w:r w:rsidR="00B143B3" w:rsidRPr="00043B6B">
        <w:rPr>
          <w:rFonts w:cs="Arial"/>
          <w:sz w:val="22"/>
          <w:szCs w:val="22"/>
        </w:rPr>
        <w:t xml:space="preserve"> reálným možnostem a potřebám. MD generální plán</w:t>
      </w:r>
      <w:r w:rsidR="00230AF7" w:rsidRPr="00043B6B">
        <w:rPr>
          <w:rFonts w:cs="Arial"/>
          <w:sz w:val="22"/>
          <w:szCs w:val="22"/>
        </w:rPr>
        <w:t xml:space="preserve"> </w:t>
      </w:r>
      <w:r w:rsidR="00B143B3" w:rsidRPr="00043B6B">
        <w:rPr>
          <w:rFonts w:cs="Arial"/>
          <w:sz w:val="22"/>
          <w:szCs w:val="22"/>
        </w:rPr>
        <w:t>vypracovalo</w:t>
      </w:r>
      <w:r w:rsidR="00087ABD" w:rsidRPr="00043B6B">
        <w:rPr>
          <w:rFonts w:cs="Arial"/>
          <w:sz w:val="22"/>
          <w:szCs w:val="22"/>
        </w:rPr>
        <w:t xml:space="preserve"> v roce 2006</w:t>
      </w:r>
      <w:r w:rsidR="00B143B3" w:rsidRPr="00043B6B">
        <w:rPr>
          <w:rFonts w:cs="Arial"/>
          <w:sz w:val="22"/>
          <w:szCs w:val="22"/>
        </w:rPr>
        <w:t>, ale vláda jej neschválila</w:t>
      </w:r>
      <w:r w:rsidR="00B143B3">
        <w:rPr>
          <w:rStyle w:val="Znakapoznpodarou"/>
          <w:rFonts w:cs="Arial"/>
          <w:sz w:val="22"/>
          <w:szCs w:val="22"/>
        </w:rPr>
        <w:footnoteReference w:id="9"/>
      </w:r>
      <w:r w:rsidR="00EB126F">
        <w:rPr>
          <w:rFonts w:cs="Arial"/>
          <w:sz w:val="22"/>
          <w:szCs w:val="22"/>
        </w:rPr>
        <w:t>.</w:t>
      </w:r>
    </w:p>
    <w:p w:rsidR="0073329F" w:rsidRPr="00043B6B" w:rsidRDefault="000D6416" w:rsidP="005D099E">
      <w:pPr>
        <w:pStyle w:val="Odstavecseseznamem"/>
        <w:numPr>
          <w:ilvl w:val="0"/>
          <w:numId w:val="2"/>
        </w:numPr>
        <w:ind w:left="284" w:hanging="284"/>
        <w:jc w:val="both"/>
        <w:rPr>
          <w:rFonts w:cs="Arial"/>
          <w:sz w:val="22"/>
          <w:szCs w:val="22"/>
        </w:rPr>
      </w:pPr>
      <w:r w:rsidRPr="00043B6B">
        <w:rPr>
          <w:rFonts w:cs="Arial"/>
          <w:sz w:val="22"/>
          <w:szCs w:val="22"/>
        </w:rPr>
        <w:t>Od roku 2007 vycházela</w:t>
      </w:r>
      <w:r w:rsidR="00C66B7F" w:rsidRPr="00043B6B">
        <w:rPr>
          <w:rFonts w:cs="Arial"/>
          <w:sz w:val="22"/>
          <w:szCs w:val="22"/>
        </w:rPr>
        <w:t xml:space="preserve"> realizace akcí</w:t>
      </w:r>
      <w:r w:rsidR="005422D6" w:rsidRPr="00043B6B">
        <w:rPr>
          <w:rFonts w:cs="Arial"/>
          <w:sz w:val="22"/>
          <w:szCs w:val="22"/>
        </w:rPr>
        <w:t xml:space="preserve"> na</w:t>
      </w:r>
      <w:r w:rsidR="00C66B7F" w:rsidRPr="00043B6B">
        <w:rPr>
          <w:rFonts w:cs="Arial"/>
          <w:sz w:val="22"/>
          <w:szCs w:val="22"/>
        </w:rPr>
        <w:t xml:space="preserve"> D a R z </w:t>
      </w:r>
      <w:r w:rsidR="00C66B7F" w:rsidRPr="00043B6B">
        <w:rPr>
          <w:rFonts w:cs="Arial"/>
          <w:i/>
          <w:sz w:val="22"/>
          <w:szCs w:val="22"/>
        </w:rPr>
        <w:t>Harmonogramu výstavby dopravní infrastruktury</w:t>
      </w:r>
      <w:r w:rsidR="00C66B7F" w:rsidRPr="008151D1">
        <w:rPr>
          <w:rStyle w:val="Znakapoznpodarou"/>
          <w:rFonts w:cs="Arial"/>
          <w:sz w:val="22"/>
          <w:szCs w:val="22"/>
        </w:rPr>
        <w:footnoteReference w:id="10"/>
      </w:r>
      <w:r w:rsidR="00C66B7F" w:rsidRPr="00043B6B">
        <w:rPr>
          <w:rFonts w:cs="Arial"/>
          <w:sz w:val="22"/>
          <w:szCs w:val="22"/>
        </w:rPr>
        <w:t xml:space="preserve">. </w:t>
      </w:r>
      <w:r w:rsidR="00BA79E1" w:rsidRPr="00043B6B">
        <w:rPr>
          <w:rFonts w:cs="Arial"/>
          <w:sz w:val="22"/>
          <w:szCs w:val="22"/>
        </w:rPr>
        <w:t>Tento materiál</w:t>
      </w:r>
      <w:r w:rsidR="00DE6583" w:rsidRPr="00043B6B">
        <w:rPr>
          <w:rFonts w:cs="Arial"/>
          <w:sz w:val="22"/>
          <w:szCs w:val="22"/>
        </w:rPr>
        <w:t>,</w:t>
      </w:r>
      <w:r w:rsidR="00533E8B" w:rsidRPr="00043B6B">
        <w:rPr>
          <w:rFonts w:cs="Arial"/>
          <w:sz w:val="22"/>
          <w:szCs w:val="22"/>
        </w:rPr>
        <w:t xml:space="preserve"> který</w:t>
      </w:r>
      <w:r w:rsidR="00DE6583" w:rsidRPr="00043B6B">
        <w:rPr>
          <w:rFonts w:cs="Arial"/>
          <w:sz w:val="22"/>
          <w:szCs w:val="22"/>
        </w:rPr>
        <w:t xml:space="preserve"> </w:t>
      </w:r>
      <w:r w:rsidR="00533E8B" w:rsidRPr="00043B6B">
        <w:rPr>
          <w:rFonts w:cs="Arial"/>
          <w:sz w:val="22"/>
          <w:szCs w:val="22"/>
        </w:rPr>
        <w:t>měl nahradit</w:t>
      </w:r>
      <w:r w:rsidR="00DE6583" w:rsidRPr="00043B6B">
        <w:rPr>
          <w:rFonts w:cs="Arial"/>
          <w:sz w:val="22"/>
          <w:szCs w:val="22"/>
        </w:rPr>
        <w:t xml:space="preserve"> generální plán, však nebyl</w:t>
      </w:r>
      <w:r w:rsidR="00BA79E1" w:rsidRPr="00043B6B">
        <w:rPr>
          <w:rFonts w:cs="Arial"/>
          <w:sz w:val="22"/>
          <w:szCs w:val="22"/>
        </w:rPr>
        <w:t xml:space="preserve"> koncepčním materiálem.</w:t>
      </w:r>
      <w:r w:rsidR="00382C5D" w:rsidRPr="00043B6B">
        <w:rPr>
          <w:rFonts w:cs="Arial"/>
          <w:sz w:val="22"/>
          <w:szCs w:val="22"/>
        </w:rPr>
        <w:t xml:space="preserve"> </w:t>
      </w:r>
      <w:r w:rsidR="00BA79E1" w:rsidRPr="00043B6B">
        <w:rPr>
          <w:rFonts w:cs="Arial"/>
          <w:sz w:val="22"/>
          <w:szCs w:val="22"/>
        </w:rPr>
        <w:t>Jednalo se v podstatě o </w:t>
      </w:r>
      <w:r w:rsidR="00382C5D" w:rsidRPr="00043B6B">
        <w:rPr>
          <w:rFonts w:cs="Arial"/>
          <w:sz w:val="22"/>
          <w:szCs w:val="22"/>
        </w:rPr>
        <w:t xml:space="preserve">seznam staveb na příslušný rok s výhledem na další dva roky. Podle MD šlo o </w:t>
      </w:r>
      <w:r w:rsidR="00BA79E1" w:rsidRPr="00043B6B">
        <w:rPr>
          <w:rFonts w:cs="Arial"/>
          <w:sz w:val="22"/>
          <w:szCs w:val="22"/>
        </w:rPr>
        <w:t>překlenovací</w:t>
      </w:r>
      <w:r w:rsidR="006F1F5A">
        <w:rPr>
          <w:rFonts w:cs="Arial"/>
          <w:sz w:val="22"/>
          <w:szCs w:val="22"/>
        </w:rPr>
        <w:t xml:space="preserve"> </w:t>
      </w:r>
      <w:r w:rsidR="00BA79E1" w:rsidRPr="00043B6B">
        <w:rPr>
          <w:rFonts w:cs="Arial"/>
          <w:sz w:val="22"/>
          <w:szCs w:val="22"/>
        </w:rPr>
        <w:t>materiál, který byl vypracován pro čerpání evropských prostředků.</w:t>
      </w:r>
      <w:r w:rsidR="00DE6583" w:rsidRPr="00043B6B">
        <w:rPr>
          <w:rFonts w:cs="Arial"/>
          <w:sz w:val="22"/>
          <w:szCs w:val="22"/>
        </w:rPr>
        <w:t xml:space="preserve"> </w:t>
      </w:r>
      <w:r w:rsidR="00BA79E1" w:rsidRPr="00043B6B">
        <w:rPr>
          <w:rFonts w:cs="Arial"/>
          <w:sz w:val="22"/>
          <w:szCs w:val="22"/>
        </w:rPr>
        <w:t>Priorita navrhovaných staveb byla dána především jejich investiční připraveností. Termíny</w:t>
      </w:r>
      <w:r w:rsidR="00DE6583" w:rsidRPr="00043B6B">
        <w:rPr>
          <w:rFonts w:cs="Arial"/>
          <w:sz w:val="22"/>
          <w:szCs w:val="22"/>
        </w:rPr>
        <w:t xml:space="preserve"> jejich</w:t>
      </w:r>
      <w:r w:rsidR="00BA79E1" w:rsidRPr="00043B6B">
        <w:rPr>
          <w:rFonts w:cs="Arial"/>
          <w:sz w:val="22"/>
          <w:szCs w:val="22"/>
        </w:rPr>
        <w:t xml:space="preserve"> realizace a finanční zdroje</w:t>
      </w:r>
      <w:r w:rsidR="00DE6583" w:rsidRPr="00043B6B">
        <w:rPr>
          <w:rFonts w:cs="Arial"/>
          <w:sz w:val="22"/>
          <w:szCs w:val="22"/>
        </w:rPr>
        <w:t xml:space="preserve"> byly upravovány podle aktuálního stavu.</w:t>
      </w:r>
      <w:r w:rsidR="00BA79E1" w:rsidRPr="00043B6B">
        <w:rPr>
          <w:rFonts w:cs="Arial"/>
          <w:sz w:val="22"/>
          <w:szCs w:val="22"/>
        </w:rPr>
        <w:t xml:space="preserve"> </w:t>
      </w:r>
      <w:r w:rsidR="0073329F" w:rsidRPr="00043B6B">
        <w:rPr>
          <w:rFonts w:cs="Arial"/>
          <w:sz w:val="22"/>
          <w:szCs w:val="22"/>
        </w:rPr>
        <w:t xml:space="preserve">Harmonogram výstavby byl každoročně aktualizován a jeho finanční rámec byl závazně stanoven pouze na příslušný rok. </w:t>
      </w:r>
    </w:p>
    <w:p w:rsidR="0073329F" w:rsidRPr="00A87228" w:rsidRDefault="00382C5D" w:rsidP="00A87228">
      <w:pPr>
        <w:ind w:left="284"/>
        <w:jc w:val="both"/>
        <w:rPr>
          <w:rFonts w:cs="Arial"/>
          <w:sz w:val="22"/>
          <w:szCs w:val="22"/>
        </w:rPr>
      </w:pPr>
      <w:r w:rsidRPr="00A87228">
        <w:rPr>
          <w:rFonts w:cs="Arial"/>
          <w:sz w:val="22"/>
          <w:szCs w:val="22"/>
        </w:rPr>
        <w:t>Od roku 2010 byl harmonogram výstavby zásadně ovlivněn</w:t>
      </w:r>
      <w:r w:rsidR="007077E9" w:rsidRPr="00A87228">
        <w:rPr>
          <w:rFonts w:cs="Arial"/>
          <w:sz w:val="22"/>
          <w:szCs w:val="22"/>
        </w:rPr>
        <w:t xml:space="preserve"> restrikcemi ve zdrojích určených na financování rozvoje dopravní infrastruktury. U řady akcí došlo ke změně</w:t>
      </w:r>
      <w:r w:rsidRPr="00A87228">
        <w:rPr>
          <w:rFonts w:cs="Arial"/>
          <w:sz w:val="22"/>
          <w:szCs w:val="22"/>
        </w:rPr>
        <w:t xml:space="preserve"> nebo prodloužení</w:t>
      </w:r>
      <w:r w:rsidR="007077E9" w:rsidRPr="00A87228">
        <w:rPr>
          <w:rFonts w:cs="Arial"/>
          <w:sz w:val="22"/>
          <w:szCs w:val="22"/>
        </w:rPr>
        <w:t xml:space="preserve"> termínů přípravy a realizace, některé akce byly úplně zastaveny.</w:t>
      </w:r>
      <w:r w:rsidRPr="00A87228">
        <w:rPr>
          <w:rFonts w:cs="Arial"/>
          <w:sz w:val="22"/>
          <w:szCs w:val="22"/>
        </w:rPr>
        <w:t xml:space="preserve"> </w:t>
      </w:r>
      <w:r w:rsidR="007077E9" w:rsidRPr="00A87228">
        <w:rPr>
          <w:rFonts w:cs="Arial"/>
          <w:sz w:val="22"/>
          <w:szCs w:val="22"/>
        </w:rPr>
        <w:t>Aktualizaci harmonogramu výstavby na rok 2011</w:t>
      </w:r>
      <w:r w:rsidRPr="00A87228">
        <w:rPr>
          <w:rFonts w:cs="Arial"/>
          <w:sz w:val="22"/>
          <w:szCs w:val="22"/>
        </w:rPr>
        <w:t xml:space="preserve"> MD vládě ke schválení nepředložilo s tím, že</w:t>
      </w:r>
      <w:r w:rsidR="00302146" w:rsidRPr="00A87228">
        <w:rPr>
          <w:rFonts w:cs="Arial"/>
          <w:sz w:val="22"/>
          <w:szCs w:val="22"/>
        </w:rPr>
        <w:t xml:space="preserve"> předpokládalo do konce roku 2010 </w:t>
      </w:r>
      <w:r w:rsidR="00087ABD" w:rsidRPr="00A87228">
        <w:rPr>
          <w:rFonts w:cs="Arial"/>
          <w:sz w:val="22"/>
          <w:szCs w:val="22"/>
        </w:rPr>
        <w:t>vypracovat</w:t>
      </w:r>
      <w:r w:rsidR="00CD3B88" w:rsidRPr="00A87228">
        <w:rPr>
          <w:rFonts w:cs="Arial"/>
          <w:sz w:val="22"/>
          <w:szCs w:val="22"/>
        </w:rPr>
        <w:t xml:space="preserve"> </w:t>
      </w:r>
      <w:r w:rsidRPr="00A87228">
        <w:rPr>
          <w:rFonts w:cs="Arial"/>
          <w:sz w:val="22"/>
          <w:szCs w:val="22"/>
        </w:rPr>
        <w:t>novou strategii ro</w:t>
      </w:r>
      <w:r w:rsidR="00FD215A" w:rsidRPr="00A87228">
        <w:rPr>
          <w:rFonts w:cs="Arial"/>
          <w:sz w:val="22"/>
          <w:szCs w:val="22"/>
        </w:rPr>
        <w:t>zvoje dopravní infrastruktury</w:t>
      </w:r>
      <w:r w:rsidR="00CD3B88">
        <w:rPr>
          <w:rStyle w:val="Znakapoznpodarou"/>
          <w:rFonts w:cs="Arial"/>
          <w:sz w:val="22"/>
          <w:szCs w:val="22"/>
        </w:rPr>
        <w:footnoteReference w:id="11"/>
      </w:r>
      <w:r w:rsidR="00FD215A" w:rsidRPr="00A87228">
        <w:rPr>
          <w:rFonts w:cs="Arial"/>
          <w:sz w:val="22"/>
          <w:szCs w:val="22"/>
        </w:rPr>
        <w:t>. MD však předložilo vládě strategii až v lednu 2012</w:t>
      </w:r>
      <w:r w:rsidR="00277434" w:rsidRPr="00A87228">
        <w:rPr>
          <w:rFonts w:cs="Arial"/>
          <w:sz w:val="22"/>
          <w:szCs w:val="22"/>
        </w:rPr>
        <w:t>. R</w:t>
      </w:r>
      <w:r w:rsidR="00FD215A" w:rsidRPr="00A87228">
        <w:rPr>
          <w:rFonts w:cs="Arial"/>
          <w:sz w:val="22"/>
          <w:szCs w:val="22"/>
        </w:rPr>
        <w:t>ealizace akcí</w:t>
      </w:r>
      <w:r w:rsidR="005422D6" w:rsidRPr="00A87228">
        <w:rPr>
          <w:rFonts w:cs="Arial"/>
          <w:sz w:val="22"/>
          <w:szCs w:val="22"/>
        </w:rPr>
        <w:t xml:space="preserve"> na</w:t>
      </w:r>
      <w:r w:rsidR="00FD215A" w:rsidRPr="00A87228">
        <w:rPr>
          <w:rFonts w:cs="Arial"/>
          <w:sz w:val="22"/>
          <w:szCs w:val="22"/>
        </w:rPr>
        <w:t xml:space="preserve"> D a</w:t>
      </w:r>
      <w:r w:rsidR="00043B6B" w:rsidRPr="00A87228">
        <w:rPr>
          <w:rFonts w:cs="Arial"/>
          <w:sz w:val="22"/>
          <w:szCs w:val="22"/>
        </w:rPr>
        <w:t> </w:t>
      </w:r>
      <w:r w:rsidR="00FD215A" w:rsidRPr="00A87228">
        <w:rPr>
          <w:rFonts w:cs="Arial"/>
          <w:sz w:val="22"/>
          <w:szCs w:val="22"/>
        </w:rPr>
        <w:t>R tak v roce 2012 vycházela opět z aktualizace harmonogramu výstavby</w:t>
      </w:r>
      <w:r w:rsidR="00FD215A">
        <w:rPr>
          <w:rStyle w:val="Znakapoznpodarou"/>
          <w:rFonts w:cs="Arial"/>
          <w:sz w:val="22"/>
          <w:szCs w:val="22"/>
        </w:rPr>
        <w:footnoteReference w:id="12"/>
      </w:r>
      <w:r w:rsidR="0073329F" w:rsidRPr="00A87228">
        <w:rPr>
          <w:rFonts w:cs="Arial"/>
          <w:sz w:val="22"/>
          <w:szCs w:val="22"/>
        </w:rPr>
        <w:t xml:space="preserve">. </w:t>
      </w:r>
    </w:p>
    <w:p w:rsidR="004B4192" w:rsidRPr="00043B6B" w:rsidRDefault="0073329F" w:rsidP="005D099E">
      <w:pPr>
        <w:pStyle w:val="Odstavecseseznamem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043B6B">
        <w:rPr>
          <w:rFonts w:cs="Arial"/>
          <w:sz w:val="22"/>
          <w:szCs w:val="22"/>
        </w:rPr>
        <w:t>V lednu 2012 vzala v</w:t>
      </w:r>
      <w:r w:rsidR="00D57D9E" w:rsidRPr="00043B6B">
        <w:rPr>
          <w:rFonts w:cs="Arial"/>
          <w:sz w:val="22"/>
          <w:szCs w:val="22"/>
        </w:rPr>
        <w:t xml:space="preserve">láda </w:t>
      </w:r>
      <w:r w:rsidRPr="00043B6B">
        <w:rPr>
          <w:rFonts w:cs="Arial"/>
          <w:sz w:val="22"/>
          <w:szCs w:val="22"/>
        </w:rPr>
        <w:t xml:space="preserve">na vědomí </w:t>
      </w:r>
      <w:r w:rsidR="00D57D9E" w:rsidRPr="00043B6B">
        <w:rPr>
          <w:rFonts w:cs="Arial"/>
          <w:sz w:val="22"/>
          <w:szCs w:val="22"/>
        </w:rPr>
        <w:t xml:space="preserve">strategii </w:t>
      </w:r>
      <w:r w:rsidR="00277434" w:rsidRPr="00043B6B">
        <w:rPr>
          <w:rFonts w:cs="Arial"/>
          <w:sz w:val="22"/>
          <w:szCs w:val="22"/>
        </w:rPr>
        <w:t>rozvoje dopravní infrastruktury</w:t>
      </w:r>
      <w:r w:rsidR="004B4192" w:rsidRPr="00043B6B">
        <w:rPr>
          <w:rFonts w:cs="Arial"/>
          <w:sz w:val="22"/>
          <w:szCs w:val="22"/>
        </w:rPr>
        <w:t xml:space="preserve"> vypracovanou MD</w:t>
      </w:r>
      <w:r w:rsidR="00277434" w:rsidRPr="00043B6B">
        <w:rPr>
          <w:rFonts w:cs="Arial"/>
          <w:sz w:val="22"/>
          <w:szCs w:val="22"/>
        </w:rPr>
        <w:t xml:space="preserve"> </w:t>
      </w:r>
      <w:r w:rsidR="00D57D9E" w:rsidRPr="00043B6B">
        <w:rPr>
          <w:rFonts w:cs="Arial"/>
          <w:sz w:val="22"/>
          <w:szCs w:val="22"/>
        </w:rPr>
        <w:t xml:space="preserve">a uložila ministru dopravy předložit do května 2013 </w:t>
      </w:r>
      <w:r w:rsidR="000D6416" w:rsidRPr="00043B6B">
        <w:rPr>
          <w:i/>
          <w:sz w:val="22"/>
          <w:szCs w:val="22"/>
        </w:rPr>
        <w:t>D</w:t>
      </w:r>
      <w:r w:rsidR="005422D6" w:rsidRPr="00043B6B">
        <w:rPr>
          <w:i/>
          <w:sz w:val="22"/>
          <w:szCs w:val="22"/>
        </w:rPr>
        <w:t>opravní sektorové strategie 2. </w:t>
      </w:r>
      <w:r w:rsidR="006B1D78">
        <w:rPr>
          <w:i/>
          <w:sz w:val="22"/>
          <w:szCs w:val="22"/>
        </w:rPr>
        <w:t>f</w:t>
      </w:r>
      <w:r w:rsidR="00D57D9E" w:rsidRPr="00043B6B">
        <w:rPr>
          <w:i/>
          <w:sz w:val="22"/>
          <w:szCs w:val="22"/>
        </w:rPr>
        <w:t>áze</w:t>
      </w:r>
      <w:r w:rsidR="00666C65" w:rsidRPr="00043B6B">
        <w:rPr>
          <w:i/>
          <w:sz w:val="22"/>
          <w:szCs w:val="22"/>
        </w:rPr>
        <w:t xml:space="preserve"> – </w:t>
      </w:r>
      <w:r w:rsidR="00D57D9E" w:rsidRPr="00043B6B">
        <w:rPr>
          <w:i/>
          <w:sz w:val="22"/>
          <w:szCs w:val="22"/>
        </w:rPr>
        <w:t>Střednědobý plán rozvoje dopravní infrastruktury s</w:t>
      </w:r>
      <w:r w:rsidR="00043B6B">
        <w:rPr>
          <w:i/>
          <w:sz w:val="22"/>
          <w:szCs w:val="22"/>
        </w:rPr>
        <w:t> </w:t>
      </w:r>
      <w:r w:rsidR="00D57D9E" w:rsidRPr="00043B6B">
        <w:rPr>
          <w:i/>
          <w:sz w:val="22"/>
          <w:szCs w:val="22"/>
        </w:rPr>
        <w:t>dlouhodobým výhledem (časový horizont 2014</w:t>
      </w:r>
      <w:r w:rsidR="00666C65" w:rsidRPr="00043B6B">
        <w:rPr>
          <w:i/>
          <w:sz w:val="22"/>
          <w:szCs w:val="22"/>
        </w:rPr>
        <w:t>–</w:t>
      </w:r>
      <w:r w:rsidR="00D57D9E" w:rsidRPr="00043B6B">
        <w:rPr>
          <w:i/>
          <w:sz w:val="22"/>
          <w:szCs w:val="22"/>
        </w:rPr>
        <w:t>2020)</w:t>
      </w:r>
      <w:r w:rsidR="00D57D9E" w:rsidRPr="008151D1">
        <w:rPr>
          <w:rStyle w:val="Znakapoznpodarou"/>
          <w:sz w:val="22"/>
          <w:szCs w:val="22"/>
        </w:rPr>
        <w:footnoteReference w:id="13"/>
      </w:r>
      <w:r w:rsidR="00D57D9E" w:rsidRPr="00043B6B">
        <w:rPr>
          <w:sz w:val="22"/>
          <w:szCs w:val="22"/>
        </w:rPr>
        <w:t>. Strategie nebyla koncepčním materiálem rozvoje dopravní infrastruktury</w:t>
      </w:r>
      <w:r w:rsidR="00544718" w:rsidRPr="00043B6B">
        <w:rPr>
          <w:sz w:val="22"/>
          <w:szCs w:val="22"/>
        </w:rPr>
        <w:t>, neřešila otázku financování a nevycházela z priorit realizace jednotlivých projektů. V</w:t>
      </w:r>
      <w:r w:rsidR="00302146" w:rsidRPr="00043B6B">
        <w:rPr>
          <w:sz w:val="22"/>
          <w:szCs w:val="22"/>
        </w:rPr>
        <w:t> podstatě byla informací</w:t>
      </w:r>
      <w:r w:rsidR="00544718" w:rsidRPr="00043B6B">
        <w:rPr>
          <w:sz w:val="22"/>
          <w:szCs w:val="22"/>
        </w:rPr>
        <w:t xml:space="preserve"> o obtížnosti zpracování strategie s tím, že hotova bude na přelomu </w:t>
      </w:r>
      <w:r w:rsidR="00302146" w:rsidRPr="00043B6B">
        <w:rPr>
          <w:sz w:val="22"/>
          <w:szCs w:val="22"/>
        </w:rPr>
        <w:t>let</w:t>
      </w:r>
      <w:r w:rsidR="00544718" w:rsidRPr="00043B6B">
        <w:rPr>
          <w:sz w:val="22"/>
          <w:szCs w:val="22"/>
        </w:rPr>
        <w:t xml:space="preserve"> 2012 a 2013.</w:t>
      </w:r>
    </w:p>
    <w:p w:rsidR="004B4192" w:rsidRPr="00043B6B" w:rsidRDefault="004B4192" w:rsidP="005D099E">
      <w:pPr>
        <w:pStyle w:val="Odstavecseseznamem"/>
        <w:numPr>
          <w:ilvl w:val="0"/>
          <w:numId w:val="2"/>
        </w:numPr>
        <w:ind w:left="284" w:hanging="284"/>
        <w:jc w:val="both"/>
        <w:rPr>
          <w:rFonts w:cs="Arial"/>
          <w:sz w:val="22"/>
          <w:szCs w:val="22"/>
        </w:rPr>
      </w:pPr>
      <w:r w:rsidRPr="00043B6B">
        <w:rPr>
          <w:rFonts w:cs="Arial"/>
          <w:sz w:val="22"/>
          <w:szCs w:val="22"/>
        </w:rPr>
        <w:t>P</w:t>
      </w:r>
      <w:r w:rsidR="00D57D9E" w:rsidRPr="00043B6B">
        <w:rPr>
          <w:rFonts w:cs="Arial"/>
          <w:sz w:val="22"/>
          <w:szCs w:val="22"/>
        </w:rPr>
        <w:t>ředtím v</w:t>
      </w:r>
      <w:r w:rsidR="00941EA2" w:rsidRPr="00043B6B">
        <w:rPr>
          <w:rFonts w:cs="Arial"/>
          <w:sz w:val="22"/>
          <w:szCs w:val="22"/>
        </w:rPr>
        <w:t xml:space="preserve"> březnu 2010 </w:t>
      </w:r>
      <w:r w:rsidR="000F3776" w:rsidRPr="00043B6B">
        <w:rPr>
          <w:rFonts w:cs="Arial"/>
          <w:sz w:val="22"/>
          <w:szCs w:val="22"/>
        </w:rPr>
        <w:t xml:space="preserve">zpracovalo </w:t>
      </w:r>
      <w:r w:rsidR="00941EA2" w:rsidRPr="00043B6B">
        <w:rPr>
          <w:rFonts w:cs="Arial"/>
          <w:sz w:val="22"/>
          <w:szCs w:val="22"/>
        </w:rPr>
        <w:t xml:space="preserve">MD </w:t>
      </w:r>
      <w:r w:rsidR="000F3776" w:rsidRPr="00043B6B">
        <w:rPr>
          <w:rFonts w:cs="Arial"/>
          <w:sz w:val="22"/>
          <w:szCs w:val="22"/>
        </w:rPr>
        <w:t xml:space="preserve">strategický dokument </w:t>
      </w:r>
      <w:r w:rsidR="000F3776" w:rsidRPr="00043B6B">
        <w:rPr>
          <w:rFonts w:cs="Arial"/>
          <w:i/>
          <w:sz w:val="22"/>
          <w:szCs w:val="22"/>
        </w:rPr>
        <w:t>Dopravní sektorová strategie</w:t>
      </w:r>
      <w:r w:rsidR="00FD215A" w:rsidRPr="00043B6B">
        <w:rPr>
          <w:rFonts w:cs="Arial"/>
          <w:sz w:val="22"/>
          <w:szCs w:val="22"/>
        </w:rPr>
        <w:t xml:space="preserve">, který </w:t>
      </w:r>
      <w:r w:rsidR="00302146" w:rsidRPr="00043B6B">
        <w:rPr>
          <w:rFonts w:cs="Arial"/>
          <w:sz w:val="22"/>
          <w:szCs w:val="22"/>
        </w:rPr>
        <w:t>měl být</w:t>
      </w:r>
      <w:r w:rsidR="00FD215A" w:rsidRPr="00043B6B">
        <w:rPr>
          <w:rFonts w:cs="Arial"/>
          <w:sz w:val="22"/>
          <w:szCs w:val="22"/>
        </w:rPr>
        <w:t xml:space="preserve"> krátkodobým konceptem do roku 2013. Měl </w:t>
      </w:r>
      <w:r w:rsidR="00087ABD" w:rsidRPr="00043B6B">
        <w:rPr>
          <w:rFonts w:cs="Arial"/>
          <w:sz w:val="22"/>
          <w:szCs w:val="22"/>
        </w:rPr>
        <w:t>být</w:t>
      </w:r>
      <w:r w:rsidR="00FD215A" w:rsidRPr="00043B6B">
        <w:rPr>
          <w:rFonts w:cs="Arial"/>
          <w:sz w:val="22"/>
          <w:szCs w:val="22"/>
        </w:rPr>
        <w:t xml:space="preserve"> základ</w:t>
      </w:r>
      <w:r w:rsidR="00087ABD" w:rsidRPr="00043B6B">
        <w:rPr>
          <w:rFonts w:cs="Arial"/>
          <w:sz w:val="22"/>
          <w:szCs w:val="22"/>
        </w:rPr>
        <w:t>em</w:t>
      </w:r>
      <w:r w:rsidR="00FD215A" w:rsidRPr="00043B6B">
        <w:rPr>
          <w:rFonts w:cs="Arial"/>
          <w:sz w:val="22"/>
          <w:szCs w:val="22"/>
        </w:rPr>
        <w:t xml:space="preserve"> pro </w:t>
      </w:r>
      <w:r w:rsidR="00FD215A" w:rsidRPr="00043B6B">
        <w:rPr>
          <w:rFonts w:cs="Arial"/>
          <w:sz w:val="22"/>
          <w:szCs w:val="22"/>
        </w:rPr>
        <w:lastRenderedPageBreak/>
        <w:t xml:space="preserve">druhou fázi dokumentu, která </w:t>
      </w:r>
      <w:r w:rsidR="006B1D78">
        <w:rPr>
          <w:rFonts w:cs="Arial"/>
          <w:sz w:val="22"/>
          <w:szCs w:val="22"/>
        </w:rPr>
        <w:t>měla</w:t>
      </w:r>
      <w:r w:rsidR="00FD215A" w:rsidRPr="00043B6B">
        <w:rPr>
          <w:rFonts w:cs="Arial"/>
          <w:sz w:val="22"/>
          <w:szCs w:val="22"/>
        </w:rPr>
        <w:t xml:space="preserve"> podro</w:t>
      </w:r>
      <w:r w:rsidR="006B1D78">
        <w:rPr>
          <w:rFonts w:cs="Arial"/>
          <w:sz w:val="22"/>
          <w:szCs w:val="22"/>
        </w:rPr>
        <w:t>bně rozpracovávat střednědobý a </w:t>
      </w:r>
      <w:r w:rsidR="00FD215A" w:rsidRPr="00043B6B">
        <w:rPr>
          <w:rFonts w:cs="Arial"/>
          <w:sz w:val="22"/>
          <w:szCs w:val="22"/>
        </w:rPr>
        <w:t xml:space="preserve">dlouhodobý výhled až do roku 2030. </w:t>
      </w:r>
      <w:r w:rsidR="00941EA2" w:rsidRPr="00043B6B">
        <w:rPr>
          <w:rFonts w:cs="Arial"/>
          <w:sz w:val="22"/>
          <w:szCs w:val="22"/>
        </w:rPr>
        <w:t>MD sektorovou strategii vládě k projednání nepředložilo.</w:t>
      </w:r>
    </w:p>
    <w:p w:rsidR="000F3776" w:rsidRPr="00043B6B" w:rsidRDefault="00941EA2" w:rsidP="005D099E">
      <w:pPr>
        <w:pStyle w:val="Odstavecseseznamem"/>
        <w:numPr>
          <w:ilvl w:val="0"/>
          <w:numId w:val="2"/>
        </w:numPr>
        <w:ind w:left="284" w:hanging="284"/>
        <w:jc w:val="both"/>
        <w:rPr>
          <w:rFonts w:cs="Arial"/>
          <w:sz w:val="22"/>
          <w:szCs w:val="22"/>
        </w:rPr>
      </w:pPr>
      <w:r w:rsidRPr="00043B6B">
        <w:rPr>
          <w:rFonts w:cs="Arial"/>
          <w:sz w:val="22"/>
          <w:szCs w:val="22"/>
        </w:rPr>
        <w:t xml:space="preserve">V lednu 2011 zpracovalo MD další materiál </w:t>
      </w:r>
      <w:r w:rsidRPr="00043B6B">
        <w:rPr>
          <w:rFonts w:cs="Arial"/>
          <w:i/>
          <w:sz w:val="22"/>
          <w:szCs w:val="22"/>
        </w:rPr>
        <w:t>Strategie dopravy jako nevyhnutelná součást rozvoje ČR do roku 2025 (</w:t>
      </w:r>
      <w:proofErr w:type="spellStart"/>
      <w:r w:rsidRPr="00043B6B">
        <w:rPr>
          <w:rFonts w:cs="Arial"/>
          <w:i/>
          <w:sz w:val="22"/>
          <w:szCs w:val="22"/>
        </w:rPr>
        <w:t>Superstrategie</w:t>
      </w:r>
      <w:proofErr w:type="spellEnd"/>
      <w:r w:rsidRPr="00043B6B">
        <w:rPr>
          <w:rFonts w:cs="Arial"/>
          <w:i/>
          <w:sz w:val="22"/>
          <w:szCs w:val="22"/>
        </w:rPr>
        <w:t xml:space="preserve"> – green </w:t>
      </w:r>
      <w:proofErr w:type="spellStart"/>
      <w:r w:rsidRPr="00043B6B">
        <w:rPr>
          <w:rFonts w:cs="Arial"/>
          <w:i/>
          <w:sz w:val="22"/>
          <w:szCs w:val="22"/>
        </w:rPr>
        <w:t>paper</w:t>
      </w:r>
      <w:proofErr w:type="spellEnd"/>
      <w:r w:rsidRPr="00043B6B">
        <w:rPr>
          <w:rFonts w:cs="Arial"/>
          <w:i/>
          <w:sz w:val="22"/>
          <w:szCs w:val="22"/>
        </w:rPr>
        <w:t>)</w:t>
      </w:r>
      <w:r w:rsidRPr="00043B6B">
        <w:rPr>
          <w:rFonts w:cs="Arial"/>
          <w:sz w:val="22"/>
          <w:szCs w:val="22"/>
        </w:rPr>
        <w:t>. V materiálu bylo uvedeno, že mj. reaguje na kritický nedostatek finančních prostředků vyvolaný hospodářskou situac</w:t>
      </w:r>
      <w:r w:rsidR="008E7A1E">
        <w:rPr>
          <w:rFonts w:cs="Arial"/>
          <w:sz w:val="22"/>
          <w:szCs w:val="22"/>
        </w:rPr>
        <w:t>í a </w:t>
      </w:r>
      <w:r w:rsidRPr="00043B6B">
        <w:rPr>
          <w:rFonts w:cs="Arial"/>
          <w:sz w:val="22"/>
          <w:szCs w:val="22"/>
        </w:rPr>
        <w:t xml:space="preserve">na absenci dlouhodobého plánu rozvoje dopravní infrastruktury. Materiál nebyl ucelenou koncepcí rozvoje dopravní infrastruktury a nebyl zpracován na základě příslušných analýz a hodnocení. Materiál měl být dopracován do podoby </w:t>
      </w:r>
      <w:proofErr w:type="spellStart"/>
      <w:r w:rsidRPr="00043B6B">
        <w:rPr>
          <w:rFonts w:cs="Arial"/>
          <w:i/>
          <w:sz w:val="22"/>
          <w:szCs w:val="22"/>
        </w:rPr>
        <w:t>Superstrategie</w:t>
      </w:r>
      <w:proofErr w:type="spellEnd"/>
      <w:r w:rsidRPr="00043B6B">
        <w:rPr>
          <w:rFonts w:cs="Arial"/>
          <w:i/>
          <w:sz w:val="22"/>
          <w:szCs w:val="22"/>
        </w:rPr>
        <w:t xml:space="preserve"> – </w:t>
      </w:r>
      <w:proofErr w:type="spellStart"/>
      <w:r w:rsidRPr="00043B6B">
        <w:rPr>
          <w:rFonts w:cs="Arial"/>
          <w:i/>
          <w:sz w:val="22"/>
          <w:szCs w:val="22"/>
        </w:rPr>
        <w:t>white</w:t>
      </w:r>
      <w:proofErr w:type="spellEnd"/>
      <w:r w:rsidRPr="00043B6B">
        <w:rPr>
          <w:rFonts w:cs="Arial"/>
          <w:i/>
          <w:sz w:val="22"/>
          <w:szCs w:val="22"/>
        </w:rPr>
        <w:t xml:space="preserve"> </w:t>
      </w:r>
      <w:proofErr w:type="spellStart"/>
      <w:r w:rsidRPr="00043B6B">
        <w:rPr>
          <w:rFonts w:cs="Arial"/>
          <w:i/>
          <w:sz w:val="22"/>
          <w:szCs w:val="22"/>
        </w:rPr>
        <w:t>paper</w:t>
      </w:r>
      <w:proofErr w:type="spellEnd"/>
      <w:r w:rsidRPr="00043B6B">
        <w:rPr>
          <w:rFonts w:cs="Arial"/>
          <w:sz w:val="22"/>
          <w:szCs w:val="22"/>
        </w:rPr>
        <w:t xml:space="preserve"> a dále využit </w:t>
      </w:r>
      <w:r w:rsidR="00CD3B88" w:rsidRPr="00043B6B">
        <w:rPr>
          <w:rFonts w:cs="Arial"/>
          <w:sz w:val="22"/>
          <w:szCs w:val="22"/>
        </w:rPr>
        <w:t xml:space="preserve">při zpracování </w:t>
      </w:r>
      <w:r w:rsidR="00F74B37" w:rsidRPr="005B3EC4">
        <w:rPr>
          <w:rFonts w:cs="Arial"/>
          <w:sz w:val="22"/>
          <w:szCs w:val="22"/>
        </w:rPr>
        <w:t>d</w:t>
      </w:r>
      <w:r w:rsidR="00CD3B88" w:rsidRPr="005B3EC4">
        <w:rPr>
          <w:rFonts w:cs="Arial"/>
          <w:sz w:val="22"/>
          <w:szCs w:val="22"/>
        </w:rPr>
        <w:t>opravní sektorov</w:t>
      </w:r>
      <w:r w:rsidR="00F74B37" w:rsidRPr="005B3EC4">
        <w:rPr>
          <w:rFonts w:cs="Arial"/>
          <w:sz w:val="22"/>
          <w:szCs w:val="22"/>
        </w:rPr>
        <w:t>é</w:t>
      </w:r>
      <w:r w:rsidR="00CD3B88" w:rsidRPr="005B3EC4">
        <w:rPr>
          <w:sz w:val="22"/>
        </w:rPr>
        <w:t xml:space="preserve"> strategie</w:t>
      </w:r>
      <w:r w:rsidR="00747358">
        <w:rPr>
          <w:sz w:val="22"/>
        </w:rPr>
        <w:t xml:space="preserve"> </w:t>
      </w:r>
      <w:r w:rsidR="004D1B5A">
        <w:rPr>
          <w:sz w:val="22"/>
        </w:rPr>
        <w:t xml:space="preserve">– </w:t>
      </w:r>
      <w:r w:rsidR="00747358">
        <w:rPr>
          <w:sz w:val="22"/>
        </w:rPr>
        <w:t>2. fáze</w:t>
      </w:r>
      <w:r w:rsidR="00CD3B88" w:rsidRPr="00043B6B">
        <w:rPr>
          <w:rFonts w:cs="Arial"/>
          <w:sz w:val="22"/>
          <w:szCs w:val="22"/>
        </w:rPr>
        <w:t xml:space="preserve">. Ani tento materiál MD </w:t>
      </w:r>
      <w:r w:rsidR="00277434" w:rsidRPr="00043B6B">
        <w:rPr>
          <w:rFonts w:cs="Arial"/>
          <w:sz w:val="22"/>
          <w:szCs w:val="22"/>
        </w:rPr>
        <w:t>nepředložilo vládě k projednání a v</w:t>
      </w:r>
      <w:r w:rsidR="00CD3B88" w:rsidRPr="00043B6B">
        <w:rPr>
          <w:rFonts w:cs="Arial"/>
          <w:sz w:val="22"/>
          <w:szCs w:val="22"/>
        </w:rPr>
        <w:t> době kontroly již s tímto materiálem nepracovalo.</w:t>
      </w:r>
    </w:p>
    <w:p w:rsidR="00CD3B88" w:rsidRDefault="00CD3B88" w:rsidP="000F3776">
      <w:pPr>
        <w:jc w:val="both"/>
        <w:rPr>
          <w:rFonts w:cs="Arial"/>
          <w:sz w:val="22"/>
          <w:szCs w:val="22"/>
        </w:rPr>
      </w:pPr>
    </w:p>
    <w:p w:rsidR="004B4192" w:rsidRDefault="00B874EA" w:rsidP="004B419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Plánování akcí</w:t>
      </w:r>
      <w:r w:rsidR="005422D6">
        <w:rPr>
          <w:rFonts w:cs="Arial"/>
          <w:sz w:val="22"/>
          <w:szCs w:val="22"/>
        </w:rPr>
        <w:t xml:space="preserve"> výstavby</w:t>
      </w:r>
      <w:r>
        <w:rPr>
          <w:rFonts w:cs="Arial"/>
          <w:sz w:val="22"/>
          <w:szCs w:val="22"/>
        </w:rPr>
        <w:t xml:space="preserve"> D a R</w:t>
      </w:r>
      <w:r w:rsidR="00087ABD">
        <w:rPr>
          <w:rFonts w:cs="Arial"/>
          <w:sz w:val="22"/>
          <w:szCs w:val="22"/>
        </w:rPr>
        <w:t xml:space="preserve"> tak od roku 2007</w:t>
      </w:r>
      <w:r>
        <w:rPr>
          <w:rFonts w:cs="Arial"/>
          <w:sz w:val="22"/>
          <w:szCs w:val="22"/>
        </w:rPr>
        <w:t xml:space="preserve"> vycházelo z</w:t>
      </w:r>
      <w:r w:rsidR="00525B84">
        <w:rPr>
          <w:rFonts w:cs="Arial"/>
          <w:sz w:val="22"/>
          <w:szCs w:val="22"/>
        </w:rPr>
        <w:t xml:space="preserve"> ročně aktualizovaných </w:t>
      </w:r>
      <w:r>
        <w:rPr>
          <w:rFonts w:cs="Arial"/>
          <w:sz w:val="22"/>
          <w:szCs w:val="22"/>
        </w:rPr>
        <w:t xml:space="preserve">harmonogramů. </w:t>
      </w:r>
      <w:r w:rsidR="004B4192">
        <w:rPr>
          <w:rFonts w:cs="Arial"/>
          <w:sz w:val="22"/>
          <w:szCs w:val="22"/>
        </w:rPr>
        <w:t xml:space="preserve">Kritériem pro schválení akcí k realizaci byla především jejich stavební připravenost a možnost financování z prostředků EU, </w:t>
      </w:r>
      <w:r w:rsidR="006B1D78">
        <w:rPr>
          <w:rFonts w:cs="Arial"/>
          <w:sz w:val="22"/>
          <w:szCs w:val="22"/>
        </w:rPr>
        <w:t>a to bez ohledu na potřebnost a </w:t>
      </w:r>
      <w:r w:rsidR="004B4192">
        <w:rPr>
          <w:rFonts w:cs="Arial"/>
          <w:sz w:val="22"/>
          <w:szCs w:val="22"/>
        </w:rPr>
        <w:t xml:space="preserve">realizování například ucelených souvislých tahů. Tato praxe nevedla k dosahování optimálních přínosů z realizace akcí. Byla </w:t>
      </w:r>
      <w:r w:rsidR="004B4192" w:rsidRPr="007A3B72">
        <w:rPr>
          <w:rFonts w:cs="Arial"/>
          <w:sz w:val="22"/>
          <w:szCs w:val="22"/>
        </w:rPr>
        <w:t>i jednou z</w:t>
      </w:r>
      <w:r w:rsidR="004B4192">
        <w:rPr>
          <w:rFonts w:cs="Arial"/>
          <w:sz w:val="22"/>
          <w:szCs w:val="22"/>
        </w:rPr>
        <w:t> </w:t>
      </w:r>
      <w:r w:rsidR="004B4192" w:rsidRPr="007A3B72">
        <w:rPr>
          <w:rFonts w:cs="Arial"/>
          <w:sz w:val="22"/>
          <w:szCs w:val="22"/>
        </w:rPr>
        <w:t>příčin</w:t>
      </w:r>
      <w:r w:rsidR="004B4192">
        <w:rPr>
          <w:rFonts w:cs="Arial"/>
          <w:sz w:val="22"/>
          <w:szCs w:val="22"/>
        </w:rPr>
        <w:t xml:space="preserve"> neúměrného</w:t>
      </w:r>
      <w:r w:rsidR="004B4192" w:rsidRPr="007A3B72">
        <w:rPr>
          <w:rFonts w:cs="Arial"/>
          <w:sz w:val="22"/>
          <w:szCs w:val="22"/>
        </w:rPr>
        <w:t xml:space="preserve"> </w:t>
      </w:r>
      <w:r w:rsidR="004B4192">
        <w:rPr>
          <w:rFonts w:cs="Arial"/>
          <w:sz w:val="22"/>
          <w:szCs w:val="22"/>
        </w:rPr>
        <w:t>růstu</w:t>
      </w:r>
      <w:r w:rsidR="004B4192" w:rsidRPr="007A3B72">
        <w:rPr>
          <w:rFonts w:cs="Arial"/>
          <w:sz w:val="22"/>
          <w:szCs w:val="22"/>
        </w:rPr>
        <w:t xml:space="preserve"> rozestavěnosti</w:t>
      </w:r>
      <w:r w:rsidR="004B4192">
        <w:rPr>
          <w:rFonts w:cs="Arial"/>
          <w:sz w:val="22"/>
          <w:szCs w:val="22"/>
        </w:rPr>
        <w:t xml:space="preserve"> akcí v minulých obdobích. </w:t>
      </w:r>
    </w:p>
    <w:p w:rsidR="004B4192" w:rsidRDefault="004B4192" w:rsidP="001671F8">
      <w:pPr>
        <w:jc w:val="both"/>
        <w:rPr>
          <w:rFonts w:cs="Arial"/>
          <w:sz w:val="22"/>
          <w:szCs w:val="22"/>
        </w:rPr>
      </w:pPr>
    </w:p>
    <w:p w:rsidR="003A0932" w:rsidRDefault="00B874EA" w:rsidP="001671F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</w:t>
      </w:r>
      <w:r w:rsidR="00BB2409">
        <w:rPr>
          <w:rFonts w:cs="Arial"/>
          <w:sz w:val="22"/>
          <w:szCs w:val="22"/>
        </w:rPr>
        <w:t xml:space="preserve"> zpracování koncepčních materiálů, kromě harmonogramů výstavby dopravní infrastruktury,</w:t>
      </w:r>
      <w:r w:rsidR="004B4192">
        <w:rPr>
          <w:rFonts w:cs="Arial"/>
          <w:sz w:val="22"/>
          <w:szCs w:val="22"/>
        </w:rPr>
        <w:t xml:space="preserve"> </w:t>
      </w:r>
      <w:r w:rsidR="00BB2409">
        <w:rPr>
          <w:rFonts w:cs="Arial"/>
          <w:sz w:val="22"/>
          <w:szCs w:val="22"/>
        </w:rPr>
        <w:t xml:space="preserve">vynaložilo </w:t>
      </w:r>
      <w:r w:rsidR="00A97480">
        <w:rPr>
          <w:rFonts w:cs="Arial"/>
          <w:sz w:val="22"/>
          <w:szCs w:val="22"/>
        </w:rPr>
        <w:t xml:space="preserve">MD </w:t>
      </w:r>
      <w:r w:rsidR="00952490">
        <w:rPr>
          <w:rFonts w:cs="Arial"/>
          <w:sz w:val="22"/>
          <w:szCs w:val="22"/>
        </w:rPr>
        <w:t>10</w:t>
      </w:r>
      <w:r w:rsidR="00BB2409">
        <w:rPr>
          <w:rFonts w:cs="Arial"/>
          <w:sz w:val="22"/>
          <w:szCs w:val="22"/>
        </w:rPr>
        <w:t>,</w:t>
      </w:r>
      <w:r w:rsidR="00952490">
        <w:rPr>
          <w:rFonts w:cs="Arial"/>
          <w:sz w:val="22"/>
          <w:szCs w:val="22"/>
        </w:rPr>
        <w:t>7</w:t>
      </w:r>
      <w:r w:rsidR="00BB2409">
        <w:rPr>
          <w:rFonts w:cs="Arial"/>
          <w:sz w:val="22"/>
          <w:szCs w:val="22"/>
        </w:rPr>
        <w:t xml:space="preserve"> mil. Kč</w:t>
      </w:r>
      <w:r w:rsidR="00952490">
        <w:rPr>
          <w:rFonts w:cs="Arial"/>
          <w:sz w:val="22"/>
          <w:szCs w:val="22"/>
        </w:rPr>
        <w:t xml:space="preserve"> a </w:t>
      </w:r>
      <w:r w:rsidR="00BB2409">
        <w:rPr>
          <w:rFonts w:cs="Arial"/>
          <w:sz w:val="22"/>
          <w:szCs w:val="22"/>
        </w:rPr>
        <w:t xml:space="preserve">na zpracování </w:t>
      </w:r>
      <w:r w:rsidR="00952490">
        <w:rPr>
          <w:rFonts w:cs="Arial"/>
          <w:sz w:val="22"/>
          <w:szCs w:val="22"/>
        </w:rPr>
        <w:t xml:space="preserve">dopravní sektorové strategie </w:t>
      </w:r>
      <w:r w:rsidR="004D1B5A">
        <w:rPr>
          <w:rFonts w:cs="Arial"/>
          <w:sz w:val="22"/>
          <w:szCs w:val="22"/>
        </w:rPr>
        <w:t xml:space="preserve">– </w:t>
      </w:r>
      <w:r w:rsidR="00952490">
        <w:rPr>
          <w:rFonts w:cs="Arial"/>
          <w:sz w:val="22"/>
          <w:szCs w:val="22"/>
        </w:rPr>
        <w:t>2. </w:t>
      </w:r>
      <w:r w:rsidR="00BB2409">
        <w:rPr>
          <w:rFonts w:cs="Arial"/>
          <w:sz w:val="22"/>
          <w:szCs w:val="22"/>
        </w:rPr>
        <w:t>fáze</w:t>
      </w:r>
      <w:r w:rsidR="00525B84">
        <w:rPr>
          <w:rFonts w:cs="Arial"/>
          <w:sz w:val="22"/>
          <w:szCs w:val="22"/>
        </w:rPr>
        <w:t>, kterou</w:t>
      </w:r>
      <w:r w:rsidR="003C0EB0">
        <w:rPr>
          <w:rFonts w:cs="Arial"/>
          <w:sz w:val="22"/>
          <w:szCs w:val="22"/>
        </w:rPr>
        <w:t xml:space="preserve"> má </w:t>
      </w:r>
      <w:r w:rsidR="00525B84">
        <w:rPr>
          <w:rFonts w:cs="Arial"/>
          <w:sz w:val="22"/>
          <w:szCs w:val="22"/>
        </w:rPr>
        <w:t>vládě předložit</w:t>
      </w:r>
      <w:r w:rsidR="003C0EB0">
        <w:rPr>
          <w:rFonts w:cs="Arial"/>
          <w:sz w:val="22"/>
          <w:szCs w:val="22"/>
        </w:rPr>
        <w:t xml:space="preserve"> do května 2013, předpokládá vynaložit</w:t>
      </w:r>
      <w:r w:rsidR="00D642D5">
        <w:rPr>
          <w:rFonts w:cs="Arial"/>
          <w:sz w:val="22"/>
          <w:szCs w:val="22"/>
        </w:rPr>
        <w:t xml:space="preserve"> 19,2 </w:t>
      </w:r>
      <w:r w:rsidR="00BB2409">
        <w:rPr>
          <w:rFonts w:cs="Arial"/>
          <w:sz w:val="22"/>
          <w:szCs w:val="22"/>
        </w:rPr>
        <w:t>mil.</w:t>
      </w:r>
      <w:r w:rsidR="00D642D5">
        <w:rPr>
          <w:rFonts w:cs="Arial"/>
          <w:sz w:val="22"/>
          <w:szCs w:val="22"/>
        </w:rPr>
        <w:t> </w:t>
      </w:r>
      <w:r w:rsidR="00BB2409">
        <w:rPr>
          <w:rFonts w:cs="Arial"/>
          <w:sz w:val="22"/>
          <w:szCs w:val="22"/>
        </w:rPr>
        <w:t>Kč.</w:t>
      </w:r>
      <w:r w:rsidR="003C0EB0">
        <w:rPr>
          <w:rFonts w:cs="Arial"/>
          <w:sz w:val="22"/>
          <w:szCs w:val="22"/>
        </w:rPr>
        <w:t xml:space="preserve"> </w:t>
      </w:r>
      <w:r w:rsidR="00525B84">
        <w:rPr>
          <w:rFonts w:cs="Arial"/>
          <w:sz w:val="22"/>
          <w:szCs w:val="22"/>
        </w:rPr>
        <w:t>MD n</w:t>
      </w:r>
      <w:r w:rsidR="003C0EB0">
        <w:rPr>
          <w:rFonts w:cs="Arial"/>
          <w:sz w:val="22"/>
          <w:szCs w:val="22"/>
        </w:rPr>
        <w:t>a její zpracování uzavřelo dodavatelskou</w:t>
      </w:r>
      <w:r w:rsidR="00D642D5">
        <w:rPr>
          <w:rFonts w:cs="Arial"/>
          <w:sz w:val="22"/>
          <w:szCs w:val="22"/>
        </w:rPr>
        <w:t xml:space="preserve"> smlouvu. Náklady mají být z 85 </w:t>
      </w:r>
      <w:r w:rsidR="003C0EB0">
        <w:rPr>
          <w:rFonts w:cs="Arial"/>
          <w:sz w:val="22"/>
          <w:szCs w:val="22"/>
        </w:rPr>
        <w:t>% hrazeny z prostředků EU.</w:t>
      </w:r>
    </w:p>
    <w:p w:rsidR="00046CD6" w:rsidRDefault="00046CD6" w:rsidP="001671F8">
      <w:pPr>
        <w:jc w:val="both"/>
        <w:rPr>
          <w:rFonts w:cs="Arial"/>
          <w:sz w:val="22"/>
          <w:szCs w:val="22"/>
        </w:rPr>
      </w:pPr>
    </w:p>
    <w:p w:rsidR="001B2F10" w:rsidRDefault="001523C1" w:rsidP="001671F8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1.3</w:t>
      </w:r>
      <w:r w:rsidR="00225AD3">
        <w:rPr>
          <w:rFonts w:cs="Arial"/>
          <w:b/>
          <w:sz w:val="22"/>
          <w:szCs w:val="22"/>
        </w:rPr>
        <w:t xml:space="preserve"> </w:t>
      </w:r>
      <w:r w:rsidR="001B2F10">
        <w:rPr>
          <w:rFonts w:cs="Arial"/>
          <w:sz w:val="22"/>
          <w:szCs w:val="22"/>
        </w:rPr>
        <w:t xml:space="preserve">V souvislosti s koncepčními záměry rozvoje dopravní infrastruktury </w:t>
      </w:r>
      <w:r w:rsidR="00867B06">
        <w:rPr>
          <w:rFonts w:cs="Arial"/>
          <w:sz w:val="22"/>
          <w:szCs w:val="22"/>
        </w:rPr>
        <w:t xml:space="preserve">předpokládalo MD realizaci řady opatření, zejména v oblasti finančních zdrojů. </w:t>
      </w:r>
      <w:r w:rsidR="00867B06" w:rsidRPr="00867B06">
        <w:rPr>
          <w:rFonts w:cs="Arial"/>
          <w:b/>
          <w:sz w:val="22"/>
          <w:szCs w:val="22"/>
        </w:rPr>
        <w:t>O</w:t>
      </w:r>
      <w:r w:rsidR="00867B06" w:rsidRPr="004E42B9">
        <w:rPr>
          <w:rFonts w:cs="Arial"/>
          <w:b/>
          <w:sz w:val="22"/>
          <w:szCs w:val="22"/>
        </w:rPr>
        <w:t>patření</w:t>
      </w:r>
      <w:r w:rsidR="00867B06">
        <w:rPr>
          <w:rFonts w:cs="Arial"/>
          <w:b/>
          <w:sz w:val="22"/>
          <w:szCs w:val="22"/>
        </w:rPr>
        <w:t xml:space="preserve"> však nebyla často naplněna nebo jejich</w:t>
      </w:r>
      <w:r w:rsidR="00867B06" w:rsidRPr="004E42B9">
        <w:rPr>
          <w:rFonts w:cs="Arial"/>
          <w:b/>
          <w:sz w:val="22"/>
          <w:szCs w:val="22"/>
        </w:rPr>
        <w:t xml:space="preserve"> přínos byl</w:t>
      </w:r>
      <w:r w:rsidR="00867B06">
        <w:rPr>
          <w:rFonts w:cs="Arial"/>
          <w:b/>
          <w:sz w:val="22"/>
          <w:szCs w:val="22"/>
        </w:rPr>
        <w:t xml:space="preserve"> ve skutečnosti</w:t>
      </w:r>
      <w:r w:rsidR="00867B06" w:rsidRPr="004E42B9">
        <w:rPr>
          <w:rFonts w:cs="Arial"/>
          <w:b/>
          <w:sz w:val="22"/>
          <w:szCs w:val="22"/>
        </w:rPr>
        <w:t xml:space="preserve"> minimální</w:t>
      </w:r>
      <w:r w:rsidR="00867B06" w:rsidRPr="00970E3A">
        <w:rPr>
          <w:rFonts w:cs="Arial"/>
          <w:b/>
          <w:sz w:val="22"/>
          <w:szCs w:val="22"/>
        </w:rPr>
        <w:t>.</w:t>
      </w:r>
      <w:r w:rsidR="00867B06">
        <w:rPr>
          <w:rFonts w:cs="Arial"/>
          <w:sz w:val="22"/>
          <w:szCs w:val="22"/>
        </w:rPr>
        <w:t xml:space="preserve">   </w:t>
      </w:r>
    </w:p>
    <w:p w:rsidR="001B2F10" w:rsidRDefault="001B2F10" w:rsidP="001671F8">
      <w:pPr>
        <w:jc w:val="both"/>
        <w:rPr>
          <w:rFonts w:cs="Arial"/>
          <w:sz w:val="22"/>
          <w:szCs w:val="22"/>
        </w:rPr>
      </w:pPr>
    </w:p>
    <w:p w:rsidR="00AD39A2" w:rsidRDefault="00CB514A" w:rsidP="00867B0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souvislosti s přijetím </w:t>
      </w:r>
      <w:r>
        <w:rPr>
          <w:rFonts w:cs="Arial"/>
          <w:i/>
          <w:sz w:val="22"/>
          <w:szCs w:val="22"/>
        </w:rPr>
        <w:t>Dopravní politiky ČR pro léta 2005 až 2013</w:t>
      </w:r>
      <w:r w:rsidR="000979E8">
        <w:rPr>
          <w:rFonts w:cs="Arial"/>
          <w:sz w:val="22"/>
          <w:szCs w:val="22"/>
        </w:rPr>
        <w:t xml:space="preserve"> nebylo realizováno žádné z těchto MD předpokládaných opatření</w:t>
      </w:r>
      <w:r w:rsidR="00AD39A2">
        <w:rPr>
          <w:rFonts w:cs="Arial"/>
          <w:sz w:val="22"/>
          <w:szCs w:val="22"/>
        </w:rPr>
        <w:t>:</w:t>
      </w:r>
      <w:r w:rsidR="000979E8">
        <w:rPr>
          <w:rFonts w:cs="Arial"/>
          <w:sz w:val="22"/>
          <w:szCs w:val="22"/>
        </w:rPr>
        <w:t xml:space="preserve"> </w:t>
      </w:r>
    </w:p>
    <w:p w:rsidR="00AD39A2" w:rsidRPr="00043B6B" w:rsidRDefault="00AD39A2" w:rsidP="005D099E">
      <w:pPr>
        <w:pStyle w:val="Odstavecseseznamem"/>
        <w:numPr>
          <w:ilvl w:val="0"/>
          <w:numId w:val="3"/>
        </w:numPr>
        <w:ind w:left="284" w:hanging="284"/>
        <w:jc w:val="both"/>
        <w:rPr>
          <w:rFonts w:cs="Arial"/>
          <w:sz w:val="22"/>
          <w:szCs w:val="22"/>
        </w:rPr>
      </w:pPr>
      <w:r w:rsidRPr="00043B6B">
        <w:rPr>
          <w:rFonts w:cs="Arial"/>
          <w:sz w:val="22"/>
          <w:szCs w:val="22"/>
        </w:rPr>
        <w:t>možnost zvýšení zdrojů SFDI navýšením podílu na výnosu ze spotřební daně z minerálních olejů</w:t>
      </w:r>
      <w:r w:rsidR="00D642D5">
        <w:rPr>
          <w:rFonts w:cs="Arial"/>
          <w:sz w:val="22"/>
          <w:szCs w:val="22"/>
        </w:rPr>
        <w:t>;</w:t>
      </w:r>
    </w:p>
    <w:p w:rsidR="00AD39A2" w:rsidRPr="00043B6B" w:rsidRDefault="000979E8" w:rsidP="005D099E">
      <w:pPr>
        <w:pStyle w:val="Odstavecseseznamem"/>
        <w:numPr>
          <w:ilvl w:val="0"/>
          <w:numId w:val="3"/>
        </w:numPr>
        <w:ind w:left="284" w:hanging="284"/>
        <w:jc w:val="both"/>
        <w:rPr>
          <w:rFonts w:cs="Arial"/>
          <w:sz w:val="22"/>
          <w:szCs w:val="22"/>
        </w:rPr>
      </w:pPr>
      <w:r w:rsidRPr="00043B6B">
        <w:rPr>
          <w:rFonts w:cs="Arial"/>
          <w:sz w:val="22"/>
          <w:szCs w:val="22"/>
        </w:rPr>
        <w:t>stabilizov</w:t>
      </w:r>
      <w:r w:rsidR="00D642D5">
        <w:rPr>
          <w:rFonts w:cs="Arial"/>
          <w:sz w:val="22"/>
          <w:szCs w:val="22"/>
        </w:rPr>
        <w:t>ání</w:t>
      </w:r>
      <w:r w:rsidR="00951EAE" w:rsidRPr="00043B6B">
        <w:rPr>
          <w:rFonts w:cs="Arial"/>
          <w:sz w:val="22"/>
          <w:szCs w:val="22"/>
        </w:rPr>
        <w:t xml:space="preserve"> zdroj</w:t>
      </w:r>
      <w:r w:rsidR="00D642D5">
        <w:rPr>
          <w:rFonts w:cs="Arial"/>
          <w:sz w:val="22"/>
          <w:szCs w:val="22"/>
        </w:rPr>
        <w:t>ů</w:t>
      </w:r>
      <w:r w:rsidR="00AD39A2" w:rsidRPr="00043B6B">
        <w:rPr>
          <w:rFonts w:cs="Arial"/>
          <w:sz w:val="22"/>
          <w:szCs w:val="22"/>
        </w:rPr>
        <w:t xml:space="preserve"> SFDI na úrovni 2,5</w:t>
      </w:r>
      <w:r w:rsidR="00E41393" w:rsidRPr="00043B6B">
        <w:rPr>
          <w:rFonts w:cs="Arial"/>
          <w:sz w:val="22"/>
          <w:szCs w:val="22"/>
        </w:rPr>
        <w:t xml:space="preserve"> %</w:t>
      </w:r>
      <w:r w:rsidR="00AD39A2" w:rsidRPr="00043B6B">
        <w:rPr>
          <w:rFonts w:cs="Arial"/>
          <w:sz w:val="22"/>
          <w:szCs w:val="22"/>
        </w:rPr>
        <w:t xml:space="preserve"> hrubého domácího produktu</w:t>
      </w:r>
      <w:r w:rsidR="00D642D5">
        <w:rPr>
          <w:rFonts w:cs="Arial"/>
          <w:sz w:val="22"/>
          <w:szCs w:val="22"/>
        </w:rPr>
        <w:t>;</w:t>
      </w:r>
    </w:p>
    <w:p w:rsidR="00AD39A2" w:rsidRPr="00043B6B" w:rsidRDefault="000979E8" w:rsidP="005D099E">
      <w:pPr>
        <w:pStyle w:val="Odstavecseseznamem"/>
        <w:numPr>
          <w:ilvl w:val="0"/>
          <w:numId w:val="3"/>
        </w:numPr>
        <w:ind w:left="284" w:hanging="284"/>
        <w:jc w:val="both"/>
        <w:rPr>
          <w:rFonts w:cs="Arial"/>
          <w:sz w:val="22"/>
          <w:szCs w:val="22"/>
        </w:rPr>
      </w:pPr>
      <w:r w:rsidRPr="00043B6B">
        <w:rPr>
          <w:rFonts w:cs="Arial"/>
          <w:sz w:val="22"/>
          <w:szCs w:val="22"/>
        </w:rPr>
        <w:t>zapoj</w:t>
      </w:r>
      <w:r w:rsidR="00D642D5">
        <w:rPr>
          <w:rFonts w:cs="Arial"/>
          <w:sz w:val="22"/>
          <w:szCs w:val="22"/>
        </w:rPr>
        <w:t>ení</w:t>
      </w:r>
      <w:r w:rsidRPr="00043B6B">
        <w:rPr>
          <w:rFonts w:cs="Arial"/>
          <w:sz w:val="22"/>
          <w:szCs w:val="22"/>
        </w:rPr>
        <w:t xml:space="preserve"> soukrom</w:t>
      </w:r>
      <w:r w:rsidR="00D642D5">
        <w:rPr>
          <w:rFonts w:cs="Arial"/>
          <w:sz w:val="22"/>
          <w:szCs w:val="22"/>
        </w:rPr>
        <w:t>ých</w:t>
      </w:r>
      <w:r w:rsidRPr="00043B6B">
        <w:rPr>
          <w:rFonts w:cs="Arial"/>
          <w:sz w:val="22"/>
          <w:szCs w:val="22"/>
        </w:rPr>
        <w:t xml:space="preserve"> zdroj</w:t>
      </w:r>
      <w:r w:rsidR="00D642D5">
        <w:rPr>
          <w:rFonts w:cs="Arial"/>
          <w:sz w:val="22"/>
          <w:szCs w:val="22"/>
        </w:rPr>
        <w:t>ů</w:t>
      </w:r>
      <w:r w:rsidR="00AD39A2" w:rsidRPr="00043B6B">
        <w:rPr>
          <w:rFonts w:cs="Arial"/>
          <w:sz w:val="22"/>
          <w:szCs w:val="22"/>
        </w:rPr>
        <w:t xml:space="preserve"> do financování údržby a rozvoje dopravní infrastruktury formou realizace projektů partnerství veřejného a soukromého sektoru</w:t>
      </w:r>
      <w:r w:rsidRPr="00043B6B">
        <w:rPr>
          <w:rFonts w:cs="Arial"/>
          <w:sz w:val="22"/>
          <w:szCs w:val="22"/>
        </w:rPr>
        <w:t xml:space="preserve"> (například na přípravu těchto projektů, týkajících se dálnice D3, vynaložil</w:t>
      </w:r>
      <w:r w:rsidR="00F42CAE">
        <w:rPr>
          <w:rFonts w:cs="Arial"/>
          <w:sz w:val="22"/>
          <w:szCs w:val="22"/>
        </w:rPr>
        <w:t>y</w:t>
      </w:r>
      <w:r w:rsidRPr="00043B6B">
        <w:rPr>
          <w:rFonts w:cs="Arial"/>
          <w:sz w:val="22"/>
          <w:szCs w:val="22"/>
        </w:rPr>
        <w:t xml:space="preserve"> MD, SFDI a ŘSD minimálně 120</w:t>
      </w:r>
      <w:r w:rsidR="00043B6B">
        <w:rPr>
          <w:rFonts w:cs="Arial"/>
          <w:sz w:val="22"/>
          <w:szCs w:val="22"/>
        </w:rPr>
        <w:t> </w:t>
      </w:r>
      <w:r w:rsidRPr="00043B6B">
        <w:rPr>
          <w:rFonts w:cs="Arial"/>
          <w:sz w:val="22"/>
          <w:szCs w:val="22"/>
        </w:rPr>
        <w:t>mil.</w:t>
      </w:r>
      <w:r w:rsidR="00043B6B">
        <w:rPr>
          <w:rFonts w:cs="Arial"/>
          <w:sz w:val="22"/>
          <w:szCs w:val="22"/>
        </w:rPr>
        <w:t> </w:t>
      </w:r>
      <w:r w:rsidRPr="00043B6B">
        <w:rPr>
          <w:rFonts w:cs="Arial"/>
          <w:sz w:val="22"/>
          <w:szCs w:val="22"/>
        </w:rPr>
        <w:t>Kč</w:t>
      </w:r>
      <w:r>
        <w:rPr>
          <w:rStyle w:val="Znakapoznpodarou"/>
          <w:rFonts w:cs="Arial"/>
          <w:sz w:val="22"/>
          <w:szCs w:val="22"/>
        </w:rPr>
        <w:footnoteReference w:id="14"/>
      </w:r>
      <w:r w:rsidRPr="00043B6B">
        <w:rPr>
          <w:rFonts w:cs="Arial"/>
          <w:sz w:val="22"/>
          <w:szCs w:val="22"/>
        </w:rPr>
        <w:t xml:space="preserve"> a další projekt na dálnici D3 v hodnotě 5 mld. Kč, který začalo MD připravovat v době kontroly, nebude podle informace předložené MD </w:t>
      </w:r>
      <w:r w:rsidR="00951EAE" w:rsidRPr="00043B6B">
        <w:rPr>
          <w:rFonts w:cs="Arial"/>
          <w:sz w:val="22"/>
          <w:szCs w:val="22"/>
        </w:rPr>
        <w:t xml:space="preserve">vládě </w:t>
      </w:r>
      <w:r w:rsidRPr="00043B6B">
        <w:rPr>
          <w:rFonts w:cs="Arial"/>
          <w:sz w:val="22"/>
          <w:szCs w:val="22"/>
        </w:rPr>
        <w:t>v dubnu 2013 realizován)</w:t>
      </w:r>
      <w:r w:rsidR="00D642D5">
        <w:rPr>
          <w:rFonts w:cs="Arial"/>
          <w:sz w:val="22"/>
          <w:szCs w:val="22"/>
        </w:rPr>
        <w:t>;</w:t>
      </w:r>
      <w:r w:rsidRPr="00043B6B">
        <w:rPr>
          <w:rFonts w:cs="Arial"/>
          <w:sz w:val="22"/>
          <w:szCs w:val="22"/>
        </w:rPr>
        <w:t xml:space="preserve">  </w:t>
      </w:r>
      <w:r w:rsidR="00951EAE" w:rsidRPr="00043B6B">
        <w:rPr>
          <w:rFonts w:cs="Arial"/>
          <w:sz w:val="22"/>
          <w:szCs w:val="22"/>
        </w:rPr>
        <w:t xml:space="preserve"> </w:t>
      </w:r>
    </w:p>
    <w:p w:rsidR="00AD39A2" w:rsidRPr="00043B6B" w:rsidRDefault="00AD39A2" w:rsidP="005D099E">
      <w:pPr>
        <w:pStyle w:val="Odstavecseseznamem"/>
        <w:numPr>
          <w:ilvl w:val="0"/>
          <w:numId w:val="3"/>
        </w:numPr>
        <w:ind w:left="284" w:hanging="284"/>
        <w:jc w:val="both"/>
        <w:rPr>
          <w:rFonts w:cs="Arial"/>
          <w:sz w:val="22"/>
          <w:szCs w:val="22"/>
        </w:rPr>
      </w:pPr>
      <w:r w:rsidRPr="00043B6B">
        <w:rPr>
          <w:rFonts w:cs="Arial"/>
          <w:sz w:val="22"/>
          <w:szCs w:val="22"/>
        </w:rPr>
        <w:t>zpracov</w:t>
      </w:r>
      <w:r w:rsidR="00D642D5">
        <w:rPr>
          <w:rFonts w:cs="Arial"/>
          <w:sz w:val="22"/>
          <w:szCs w:val="22"/>
        </w:rPr>
        <w:t>ání</w:t>
      </w:r>
      <w:r w:rsidRPr="00043B6B">
        <w:rPr>
          <w:rFonts w:cs="Arial"/>
          <w:sz w:val="22"/>
          <w:szCs w:val="22"/>
        </w:rPr>
        <w:t xml:space="preserve"> plán</w:t>
      </w:r>
      <w:r w:rsidR="00D642D5">
        <w:rPr>
          <w:rFonts w:cs="Arial"/>
          <w:sz w:val="22"/>
          <w:szCs w:val="22"/>
        </w:rPr>
        <w:t>u</w:t>
      </w:r>
      <w:r w:rsidRPr="00043B6B">
        <w:rPr>
          <w:rFonts w:cs="Arial"/>
          <w:sz w:val="22"/>
          <w:szCs w:val="22"/>
        </w:rPr>
        <w:t xml:space="preserve"> rozvoje dopravní infrastruktury s časovým horizontem cca 15 až 20 let jako podklad</w:t>
      </w:r>
      <w:r w:rsidR="00970E3A">
        <w:rPr>
          <w:rFonts w:cs="Arial"/>
          <w:sz w:val="22"/>
          <w:szCs w:val="22"/>
        </w:rPr>
        <w:t>u</w:t>
      </w:r>
      <w:r w:rsidRPr="00043B6B">
        <w:rPr>
          <w:rFonts w:cs="Arial"/>
          <w:sz w:val="22"/>
          <w:szCs w:val="22"/>
        </w:rPr>
        <w:t xml:space="preserve"> pro územní ochranu</w:t>
      </w:r>
      <w:r w:rsidR="00D642D5">
        <w:rPr>
          <w:rFonts w:cs="Arial"/>
          <w:sz w:val="22"/>
          <w:szCs w:val="22"/>
        </w:rPr>
        <w:t>;</w:t>
      </w:r>
    </w:p>
    <w:p w:rsidR="00AD39A2" w:rsidRPr="00043B6B" w:rsidRDefault="00E41393" w:rsidP="005D099E">
      <w:pPr>
        <w:pStyle w:val="Odstavecseseznamem"/>
        <w:numPr>
          <w:ilvl w:val="0"/>
          <w:numId w:val="3"/>
        </w:numPr>
        <w:ind w:left="284" w:hanging="284"/>
        <w:jc w:val="both"/>
        <w:rPr>
          <w:rFonts w:cs="Arial"/>
          <w:sz w:val="22"/>
          <w:szCs w:val="22"/>
        </w:rPr>
      </w:pPr>
      <w:r w:rsidRPr="00043B6B">
        <w:rPr>
          <w:rFonts w:cs="Arial"/>
          <w:sz w:val="22"/>
          <w:szCs w:val="22"/>
        </w:rPr>
        <w:t>zpracov</w:t>
      </w:r>
      <w:r w:rsidR="00D642D5">
        <w:rPr>
          <w:rFonts w:cs="Arial"/>
          <w:sz w:val="22"/>
          <w:szCs w:val="22"/>
        </w:rPr>
        <w:t>ání</w:t>
      </w:r>
      <w:r w:rsidRPr="00043B6B">
        <w:rPr>
          <w:rFonts w:cs="Arial"/>
          <w:sz w:val="22"/>
          <w:szCs w:val="22"/>
        </w:rPr>
        <w:t xml:space="preserve"> </w:t>
      </w:r>
      <w:r w:rsidR="00AD39A2" w:rsidRPr="00043B6B">
        <w:rPr>
          <w:rFonts w:cs="Arial"/>
          <w:sz w:val="22"/>
          <w:szCs w:val="22"/>
        </w:rPr>
        <w:t>harmonogram</w:t>
      </w:r>
      <w:r w:rsidR="00D642D5">
        <w:rPr>
          <w:rFonts w:cs="Arial"/>
          <w:sz w:val="22"/>
          <w:szCs w:val="22"/>
        </w:rPr>
        <w:t>u</w:t>
      </w:r>
      <w:r w:rsidR="00AD39A2" w:rsidRPr="00043B6B">
        <w:rPr>
          <w:rFonts w:cs="Arial"/>
          <w:sz w:val="22"/>
          <w:szCs w:val="22"/>
        </w:rPr>
        <w:t xml:space="preserve"> rozvoje dopravní infrastruktury na 5 až 10 let s přesným stanovením finančních prostředků a harmonogramem výstavby pro jednotlivé roky.</w:t>
      </w:r>
    </w:p>
    <w:p w:rsidR="00F710A0" w:rsidRDefault="00F710A0" w:rsidP="00867B06">
      <w:pPr>
        <w:jc w:val="both"/>
        <w:rPr>
          <w:rFonts w:cs="Arial"/>
          <w:sz w:val="22"/>
          <w:szCs w:val="22"/>
        </w:rPr>
      </w:pPr>
    </w:p>
    <w:p w:rsidR="00E218BA" w:rsidRDefault="00E218BA" w:rsidP="00867B0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MD také </w:t>
      </w:r>
      <w:r w:rsidR="00B84034">
        <w:rPr>
          <w:rFonts w:cs="Arial"/>
          <w:sz w:val="22"/>
          <w:szCs w:val="22"/>
        </w:rPr>
        <w:t>předpokládalo</w:t>
      </w:r>
      <w:r>
        <w:rPr>
          <w:rStyle w:val="Znakapoznpodarou"/>
          <w:rFonts w:cs="Arial"/>
          <w:sz w:val="22"/>
          <w:szCs w:val="22"/>
        </w:rPr>
        <w:footnoteReference w:id="15"/>
      </w:r>
      <w:r w:rsidR="00EB126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že oficiální odhady nákladů a přínosů vybraných akcí budou porovnávány s nezávislými oceněními. Dále</w:t>
      </w:r>
      <w:r w:rsidR="004D4DC1">
        <w:rPr>
          <w:rFonts w:cs="Arial"/>
          <w:sz w:val="22"/>
          <w:szCs w:val="22"/>
        </w:rPr>
        <w:t xml:space="preserve"> předpokládalo</w:t>
      </w:r>
      <w:r>
        <w:rPr>
          <w:rFonts w:cs="Arial"/>
          <w:sz w:val="22"/>
          <w:szCs w:val="22"/>
        </w:rPr>
        <w:t>, že pro komplexní posouzení akcí bude vytvořena podrobná databáze s příslušnými údaji (např. pro hodnocení naléhavosti realizace, ekologických rizik, přínosů pro uživatele infrastruktury). Tato opatření MD rovněž</w:t>
      </w:r>
      <w:r w:rsidRPr="00E218B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nerealizovalo.</w:t>
      </w:r>
    </w:p>
    <w:p w:rsidR="00AD39A2" w:rsidRDefault="00AD39A2" w:rsidP="00867B06">
      <w:pPr>
        <w:jc w:val="both"/>
        <w:rPr>
          <w:rFonts w:cs="Arial"/>
          <w:sz w:val="22"/>
          <w:szCs w:val="22"/>
        </w:rPr>
      </w:pPr>
    </w:p>
    <w:p w:rsidR="009D52A0" w:rsidRDefault="009D52A0" w:rsidP="001671F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Obdobně MD v</w:t>
      </w:r>
      <w:r w:rsidR="00230AF7">
        <w:rPr>
          <w:rFonts w:cs="Arial"/>
          <w:sz w:val="22"/>
          <w:szCs w:val="22"/>
        </w:rPr>
        <w:t xml:space="preserve"> souvislosti s vypracováním </w:t>
      </w:r>
      <w:r w:rsidR="00230AF7">
        <w:rPr>
          <w:rFonts w:cs="Arial"/>
          <w:i/>
          <w:sz w:val="22"/>
          <w:szCs w:val="22"/>
        </w:rPr>
        <w:t>Generálního plánu rozvoje dopravní infrastruktury</w:t>
      </w:r>
      <w:r w:rsidR="00230AF7">
        <w:rPr>
          <w:rFonts w:cs="Arial"/>
          <w:sz w:val="22"/>
          <w:szCs w:val="22"/>
        </w:rPr>
        <w:t xml:space="preserve"> v roce 2006</w:t>
      </w:r>
      <w:r>
        <w:rPr>
          <w:rFonts w:cs="Arial"/>
          <w:sz w:val="22"/>
          <w:szCs w:val="22"/>
        </w:rPr>
        <w:t xml:space="preserve"> nerealizovalo</w:t>
      </w:r>
      <w:r w:rsidR="00B84034">
        <w:rPr>
          <w:rFonts w:cs="Arial"/>
          <w:sz w:val="22"/>
          <w:szCs w:val="22"/>
        </w:rPr>
        <w:t xml:space="preserve"> tyto základní</w:t>
      </w:r>
      <w:r>
        <w:rPr>
          <w:rFonts w:cs="Arial"/>
          <w:sz w:val="22"/>
          <w:szCs w:val="22"/>
        </w:rPr>
        <w:t xml:space="preserve"> předpoklady:</w:t>
      </w:r>
    </w:p>
    <w:p w:rsidR="009D52A0" w:rsidRPr="00F929C3" w:rsidRDefault="009D52A0" w:rsidP="005D099E">
      <w:pPr>
        <w:pStyle w:val="Odstavecseseznamem"/>
        <w:numPr>
          <w:ilvl w:val="0"/>
          <w:numId w:val="4"/>
        </w:numPr>
        <w:ind w:left="284" w:hanging="284"/>
        <w:jc w:val="both"/>
        <w:rPr>
          <w:rFonts w:cs="Arial"/>
          <w:sz w:val="22"/>
          <w:szCs w:val="22"/>
        </w:rPr>
      </w:pPr>
      <w:r w:rsidRPr="00F929C3">
        <w:rPr>
          <w:rFonts w:cs="Arial"/>
          <w:sz w:val="22"/>
          <w:szCs w:val="22"/>
        </w:rPr>
        <w:t>stanov</w:t>
      </w:r>
      <w:r w:rsidR="00F42CAE">
        <w:rPr>
          <w:rFonts w:cs="Arial"/>
          <w:sz w:val="22"/>
          <w:szCs w:val="22"/>
        </w:rPr>
        <w:t>ení</w:t>
      </w:r>
      <w:r w:rsidRPr="00F929C3">
        <w:rPr>
          <w:rFonts w:cs="Arial"/>
          <w:sz w:val="22"/>
          <w:szCs w:val="22"/>
        </w:rPr>
        <w:t xml:space="preserve"> priorit rozvoje dopravní infrastruktury ve střednědobém horizontu,</w:t>
      </w:r>
    </w:p>
    <w:p w:rsidR="009D52A0" w:rsidRPr="00F929C3" w:rsidRDefault="009D52A0" w:rsidP="005D099E">
      <w:pPr>
        <w:pStyle w:val="Odstavecseseznamem"/>
        <w:numPr>
          <w:ilvl w:val="0"/>
          <w:numId w:val="4"/>
        </w:numPr>
        <w:ind w:left="284" w:hanging="284"/>
        <w:jc w:val="both"/>
        <w:rPr>
          <w:rFonts w:cs="Arial"/>
          <w:sz w:val="22"/>
          <w:szCs w:val="22"/>
        </w:rPr>
      </w:pPr>
      <w:r w:rsidRPr="00F929C3">
        <w:rPr>
          <w:rFonts w:cs="Arial"/>
          <w:sz w:val="22"/>
          <w:szCs w:val="22"/>
        </w:rPr>
        <w:t>přednostn</w:t>
      </w:r>
      <w:r w:rsidR="00F42CAE">
        <w:rPr>
          <w:rFonts w:cs="Arial"/>
          <w:sz w:val="22"/>
          <w:szCs w:val="22"/>
        </w:rPr>
        <w:t>í</w:t>
      </w:r>
      <w:r w:rsidRPr="00F929C3">
        <w:rPr>
          <w:rFonts w:cs="Arial"/>
          <w:sz w:val="22"/>
          <w:szCs w:val="22"/>
        </w:rPr>
        <w:t xml:space="preserve"> dokonč</w:t>
      </w:r>
      <w:r w:rsidR="00F42CAE">
        <w:rPr>
          <w:rFonts w:cs="Arial"/>
          <w:sz w:val="22"/>
          <w:szCs w:val="22"/>
        </w:rPr>
        <w:t>ení</w:t>
      </w:r>
      <w:r w:rsidRPr="00F929C3">
        <w:rPr>
          <w:rFonts w:cs="Arial"/>
          <w:sz w:val="22"/>
          <w:szCs w:val="22"/>
        </w:rPr>
        <w:t xml:space="preserve"> rozestavěn</w:t>
      </w:r>
      <w:r w:rsidR="00F42CAE">
        <w:rPr>
          <w:rFonts w:cs="Arial"/>
          <w:sz w:val="22"/>
          <w:szCs w:val="22"/>
        </w:rPr>
        <w:t>ých</w:t>
      </w:r>
      <w:r w:rsidRPr="00F929C3">
        <w:rPr>
          <w:rFonts w:cs="Arial"/>
          <w:sz w:val="22"/>
          <w:szCs w:val="22"/>
        </w:rPr>
        <w:t xml:space="preserve"> stav</w:t>
      </w:r>
      <w:r w:rsidR="00F42CAE">
        <w:rPr>
          <w:rFonts w:cs="Arial"/>
          <w:sz w:val="22"/>
          <w:szCs w:val="22"/>
        </w:rPr>
        <w:t>e</w:t>
      </w:r>
      <w:r w:rsidRPr="00F929C3">
        <w:rPr>
          <w:rFonts w:cs="Arial"/>
          <w:sz w:val="22"/>
          <w:szCs w:val="22"/>
        </w:rPr>
        <w:t>b,</w:t>
      </w:r>
    </w:p>
    <w:p w:rsidR="009D52A0" w:rsidRPr="00F929C3" w:rsidRDefault="009D52A0" w:rsidP="005D099E">
      <w:pPr>
        <w:pStyle w:val="Odstavecseseznamem"/>
        <w:numPr>
          <w:ilvl w:val="0"/>
          <w:numId w:val="4"/>
        </w:numPr>
        <w:ind w:left="284" w:hanging="284"/>
        <w:jc w:val="both"/>
        <w:rPr>
          <w:rFonts w:cs="Arial"/>
          <w:sz w:val="22"/>
          <w:szCs w:val="22"/>
        </w:rPr>
      </w:pPr>
      <w:r w:rsidRPr="00F929C3">
        <w:rPr>
          <w:rFonts w:cs="Arial"/>
          <w:sz w:val="22"/>
          <w:szCs w:val="22"/>
        </w:rPr>
        <w:t>stabilizov</w:t>
      </w:r>
      <w:r w:rsidR="00F42CAE">
        <w:rPr>
          <w:rFonts w:cs="Arial"/>
          <w:sz w:val="22"/>
          <w:szCs w:val="22"/>
        </w:rPr>
        <w:t>ání</w:t>
      </w:r>
      <w:r w:rsidRPr="00F929C3">
        <w:rPr>
          <w:rFonts w:cs="Arial"/>
          <w:sz w:val="22"/>
          <w:szCs w:val="22"/>
        </w:rPr>
        <w:t xml:space="preserve"> potřebn</w:t>
      </w:r>
      <w:r w:rsidR="00F42CAE">
        <w:rPr>
          <w:rFonts w:cs="Arial"/>
          <w:sz w:val="22"/>
          <w:szCs w:val="22"/>
        </w:rPr>
        <w:t>ých</w:t>
      </w:r>
      <w:r w:rsidRPr="00F929C3">
        <w:rPr>
          <w:rFonts w:cs="Arial"/>
          <w:sz w:val="22"/>
          <w:szCs w:val="22"/>
        </w:rPr>
        <w:t xml:space="preserve"> zdroj</w:t>
      </w:r>
      <w:r w:rsidR="00F42CAE">
        <w:rPr>
          <w:rFonts w:cs="Arial"/>
          <w:sz w:val="22"/>
          <w:szCs w:val="22"/>
        </w:rPr>
        <w:t>ů</w:t>
      </w:r>
      <w:r w:rsidRPr="00F929C3">
        <w:rPr>
          <w:rFonts w:cs="Arial"/>
          <w:sz w:val="22"/>
          <w:szCs w:val="22"/>
        </w:rPr>
        <w:t xml:space="preserve"> a vytvoř</w:t>
      </w:r>
      <w:r w:rsidR="00F42CAE">
        <w:rPr>
          <w:rFonts w:cs="Arial"/>
          <w:sz w:val="22"/>
          <w:szCs w:val="22"/>
        </w:rPr>
        <w:t>ení</w:t>
      </w:r>
      <w:r w:rsidRPr="00F929C3">
        <w:rPr>
          <w:rFonts w:cs="Arial"/>
          <w:sz w:val="22"/>
          <w:szCs w:val="22"/>
        </w:rPr>
        <w:t xml:space="preserve"> efektivní</w:t>
      </w:r>
      <w:r w:rsidR="00F42CAE">
        <w:rPr>
          <w:rFonts w:cs="Arial"/>
          <w:sz w:val="22"/>
          <w:szCs w:val="22"/>
        </w:rPr>
        <w:t>ho</w:t>
      </w:r>
      <w:r w:rsidRPr="00F929C3">
        <w:rPr>
          <w:rFonts w:cs="Arial"/>
          <w:sz w:val="22"/>
          <w:szCs w:val="22"/>
        </w:rPr>
        <w:t xml:space="preserve"> rámc</w:t>
      </w:r>
      <w:r w:rsidR="00F42CAE">
        <w:rPr>
          <w:rFonts w:cs="Arial"/>
          <w:sz w:val="22"/>
          <w:szCs w:val="22"/>
        </w:rPr>
        <w:t>e</w:t>
      </w:r>
      <w:r w:rsidRPr="00F929C3">
        <w:rPr>
          <w:rFonts w:cs="Arial"/>
          <w:sz w:val="22"/>
          <w:szCs w:val="22"/>
        </w:rPr>
        <w:t xml:space="preserve"> financování rozvoje dopravní infrastruktury.</w:t>
      </w:r>
    </w:p>
    <w:p w:rsidR="009D52A0" w:rsidRDefault="009D52A0" w:rsidP="001671F8">
      <w:pPr>
        <w:jc w:val="both"/>
        <w:rPr>
          <w:rFonts w:cs="Arial"/>
          <w:sz w:val="22"/>
          <w:szCs w:val="22"/>
        </w:rPr>
      </w:pPr>
    </w:p>
    <w:p w:rsidR="00EB2F66" w:rsidRDefault="009A1173" w:rsidP="001671F8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2. </w:t>
      </w:r>
      <w:r w:rsidR="00AF042F">
        <w:rPr>
          <w:rFonts w:cs="Arial"/>
          <w:b/>
          <w:sz w:val="22"/>
          <w:szCs w:val="22"/>
        </w:rPr>
        <w:t>Státní fond dopravní infrastruktury</w:t>
      </w:r>
    </w:p>
    <w:p w:rsidR="00AF042F" w:rsidRDefault="00AF042F" w:rsidP="001671F8">
      <w:pPr>
        <w:jc w:val="both"/>
        <w:rPr>
          <w:rFonts w:cs="Arial"/>
          <w:b/>
          <w:sz w:val="22"/>
          <w:szCs w:val="22"/>
        </w:rPr>
      </w:pPr>
    </w:p>
    <w:p w:rsidR="00AF042F" w:rsidRDefault="00AF042F" w:rsidP="001671F8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2.1 </w:t>
      </w:r>
      <w:r w:rsidR="004B2E60">
        <w:rPr>
          <w:rFonts w:cs="Arial"/>
          <w:sz w:val="22"/>
          <w:szCs w:val="22"/>
        </w:rPr>
        <w:t>Příjmy SFDI jsou především určeny k financování potřeb dopravní infrastruktury</w:t>
      </w:r>
      <w:r w:rsidR="007948FA">
        <w:rPr>
          <w:rStyle w:val="Znakapoznpodarou"/>
          <w:rFonts w:cs="Arial"/>
          <w:sz w:val="22"/>
          <w:szCs w:val="22"/>
        </w:rPr>
        <w:footnoteReference w:id="16"/>
      </w:r>
      <w:r w:rsidR="001834CC">
        <w:rPr>
          <w:rFonts w:cs="Arial"/>
          <w:sz w:val="22"/>
          <w:szCs w:val="22"/>
        </w:rPr>
        <w:t>.</w:t>
      </w:r>
      <w:bookmarkStart w:id="0" w:name="_GoBack"/>
      <w:bookmarkEnd w:id="0"/>
      <w:r w:rsidR="007948F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Zdroje finančních prostředků SFDI</w:t>
      </w:r>
      <w:r w:rsidR="004F0C9A">
        <w:rPr>
          <w:rFonts w:cs="Arial"/>
          <w:sz w:val="22"/>
          <w:szCs w:val="22"/>
        </w:rPr>
        <w:t xml:space="preserve"> byly tvořeny tzv. veřejnými zdroji</w:t>
      </w:r>
      <w:r w:rsidR="004F0C9A">
        <w:rPr>
          <w:rStyle w:val="Znakapoznpodarou"/>
          <w:rFonts w:cs="Arial"/>
          <w:sz w:val="22"/>
          <w:szCs w:val="22"/>
        </w:rPr>
        <w:footnoteReference w:id="17"/>
      </w:r>
      <w:r w:rsidR="004F0C9A">
        <w:rPr>
          <w:rFonts w:cs="Arial"/>
          <w:sz w:val="22"/>
          <w:szCs w:val="22"/>
        </w:rPr>
        <w:t xml:space="preserve"> a ostatními zdroji</w:t>
      </w:r>
      <w:r w:rsidR="004F0C9A">
        <w:rPr>
          <w:rStyle w:val="Znakapoznpodarou"/>
          <w:rFonts w:cs="Arial"/>
          <w:sz w:val="22"/>
          <w:szCs w:val="22"/>
        </w:rPr>
        <w:footnoteReference w:id="18"/>
      </w:r>
      <w:r w:rsidR="004F0C9A">
        <w:rPr>
          <w:rFonts w:cs="Arial"/>
          <w:sz w:val="22"/>
          <w:szCs w:val="22"/>
        </w:rPr>
        <w:t>.</w:t>
      </w:r>
      <w:r w:rsidR="00A35D62">
        <w:rPr>
          <w:rFonts w:cs="Arial"/>
          <w:sz w:val="22"/>
          <w:szCs w:val="22"/>
        </w:rPr>
        <w:t xml:space="preserve"> Přehled příjmů</w:t>
      </w:r>
      <w:r w:rsidR="004B2E60">
        <w:rPr>
          <w:rFonts w:cs="Arial"/>
          <w:sz w:val="22"/>
          <w:szCs w:val="22"/>
        </w:rPr>
        <w:t xml:space="preserve"> SFDI</w:t>
      </w:r>
      <w:r w:rsidR="00A35D62">
        <w:rPr>
          <w:rFonts w:cs="Arial"/>
          <w:sz w:val="22"/>
          <w:szCs w:val="22"/>
        </w:rPr>
        <w:t xml:space="preserve"> a </w:t>
      </w:r>
      <w:r w:rsidR="00B84034">
        <w:rPr>
          <w:rFonts w:cs="Arial"/>
          <w:sz w:val="22"/>
          <w:szCs w:val="22"/>
        </w:rPr>
        <w:t>výdajů</w:t>
      </w:r>
      <w:r>
        <w:rPr>
          <w:rFonts w:cs="Arial"/>
          <w:sz w:val="22"/>
          <w:szCs w:val="22"/>
        </w:rPr>
        <w:t xml:space="preserve"> na </w:t>
      </w:r>
      <w:r w:rsidR="00C85D9A">
        <w:rPr>
          <w:rFonts w:cs="Arial"/>
          <w:sz w:val="22"/>
          <w:szCs w:val="22"/>
        </w:rPr>
        <w:t xml:space="preserve">dálnice a rychlostní komunikace </w:t>
      </w:r>
      <w:r w:rsidR="00D642D5">
        <w:rPr>
          <w:rFonts w:cs="Arial"/>
          <w:sz w:val="22"/>
          <w:szCs w:val="22"/>
        </w:rPr>
        <w:t>je uveden</w:t>
      </w:r>
      <w:r w:rsidR="00C85D9A">
        <w:rPr>
          <w:rFonts w:cs="Arial"/>
          <w:sz w:val="22"/>
          <w:szCs w:val="22"/>
        </w:rPr>
        <w:t xml:space="preserve"> v tabulce č. </w:t>
      </w:r>
      <w:r>
        <w:rPr>
          <w:rFonts w:cs="Arial"/>
          <w:sz w:val="22"/>
          <w:szCs w:val="22"/>
        </w:rPr>
        <w:t xml:space="preserve">1. </w:t>
      </w:r>
    </w:p>
    <w:p w:rsidR="00AF042F" w:rsidRDefault="00AF042F" w:rsidP="001671F8">
      <w:pPr>
        <w:jc w:val="both"/>
        <w:rPr>
          <w:rFonts w:cs="Arial"/>
          <w:sz w:val="22"/>
          <w:szCs w:val="22"/>
        </w:rPr>
      </w:pPr>
    </w:p>
    <w:p w:rsidR="00AF042F" w:rsidRPr="00707EFC" w:rsidRDefault="00873436" w:rsidP="00D642D5">
      <w:pPr>
        <w:tabs>
          <w:tab w:val="left" w:pos="7938"/>
        </w:tabs>
        <w:spacing w:after="40"/>
        <w:rPr>
          <w:b/>
          <w:sz w:val="22"/>
          <w:szCs w:val="22"/>
        </w:rPr>
      </w:pPr>
      <w:r w:rsidRPr="00873436">
        <w:rPr>
          <w:b/>
          <w:sz w:val="22"/>
          <w:szCs w:val="22"/>
        </w:rPr>
        <w:t>Tabulka č. 1</w:t>
      </w:r>
      <w:r>
        <w:rPr>
          <w:b/>
          <w:sz w:val="22"/>
          <w:szCs w:val="22"/>
        </w:rPr>
        <w:t xml:space="preserve"> – </w:t>
      </w:r>
      <w:r w:rsidR="004B2E60">
        <w:rPr>
          <w:b/>
          <w:sz w:val="22"/>
          <w:szCs w:val="22"/>
        </w:rPr>
        <w:t>Struktura příjmů</w:t>
      </w:r>
      <w:r>
        <w:rPr>
          <w:b/>
          <w:sz w:val="22"/>
          <w:szCs w:val="22"/>
        </w:rPr>
        <w:t xml:space="preserve"> SFDI a výdaje na D a R</w:t>
      </w:r>
      <w:r>
        <w:rPr>
          <w:b/>
          <w:sz w:val="22"/>
          <w:szCs w:val="22"/>
        </w:rPr>
        <w:tab/>
      </w:r>
      <w:r w:rsidRPr="00707EFC">
        <w:rPr>
          <w:b/>
          <w:sz w:val="22"/>
          <w:szCs w:val="22"/>
        </w:rPr>
        <w:t>(</w:t>
      </w:r>
      <w:r w:rsidR="00D642D5">
        <w:rPr>
          <w:b/>
          <w:sz w:val="22"/>
          <w:szCs w:val="22"/>
        </w:rPr>
        <w:t xml:space="preserve">v </w:t>
      </w:r>
      <w:r w:rsidRPr="00707EFC">
        <w:rPr>
          <w:b/>
          <w:sz w:val="22"/>
          <w:szCs w:val="22"/>
        </w:rPr>
        <w:t>mil. Kč)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54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873436" w:rsidRPr="00707EFC" w:rsidTr="00F42CAE">
        <w:trPr>
          <w:jc w:val="center"/>
        </w:trPr>
        <w:tc>
          <w:tcPr>
            <w:tcW w:w="2154" w:type="dxa"/>
          </w:tcPr>
          <w:p w:rsidR="00873436" w:rsidRPr="00707EFC" w:rsidRDefault="00873436" w:rsidP="00707EFC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73436" w:rsidRPr="00707EFC" w:rsidRDefault="00873436" w:rsidP="00EC5FD1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707EFC">
              <w:rPr>
                <w:rFonts w:cs="Arial"/>
                <w:b/>
                <w:sz w:val="18"/>
                <w:szCs w:val="18"/>
              </w:rPr>
              <w:t>200</w:t>
            </w:r>
            <w:r w:rsidR="00B50D31" w:rsidRPr="00707EFC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873436" w:rsidRPr="00707EFC" w:rsidRDefault="00873436" w:rsidP="00EC5FD1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707EFC">
              <w:rPr>
                <w:rFonts w:cs="Arial"/>
                <w:b/>
                <w:sz w:val="18"/>
                <w:szCs w:val="18"/>
              </w:rPr>
              <w:t>2007</w:t>
            </w:r>
          </w:p>
        </w:tc>
        <w:tc>
          <w:tcPr>
            <w:tcW w:w="850" w:type="dxa"/>
            <w:vAlign w:val="center"/>
          </w:tcPr>
          <w:p w:rsidR="00873436" w:rsidRPr="00707EFC" w:rsidRDefault="00873436" w:rsidP="00EC5FD1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707EFC">
              <w:rPr>
                <w:rFonts w:cs="Arial"/>
                <w:b/>
                <w:sz w:val="18"/>
                <w:szCs w:val="18"/>
              </w:rPr>
              <w:t>2008</w:t>
            </w:r>
          </w:p>
        </w:tc>
        <w:tc>
          <w:tcPr>
            <w:tcW w:w="850" w:type="dxa"/>
            <w:vAlign w:val="center"/>
          </w:tcPr>
          <w:p w:rsidR="00873436" w:rsidRPr="00707EFC" w:rsidRDefault="00873436" w:rsidP="00EC5FD1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707EFC">
              <w:rPr>
                <w:rFonts w:cs="Arial"/>
                <w:b/>
                <w:sz w:val="18"/>
                <w:szCs w:val="18"/>
              </w:rPr>
              <w:t>2009</w:t>
            </w:r>
          </w:p>
        </w:tc>
        <w:tc>
          <w:tcPr>
            <w:tcW w:w="850" w:type="dxa"/>
            <w:vAlign w:val="center"/>
          </w:tcPr>
          <w:p w:rsidR="00873436" w:rsidRPr="00707EFC" w:rsidRDefault="00873436" w:rsidP="00EC5FD1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707EFC">
              <w:rPr>
                <w:rFonts w:cs="Arial"/>
                <w:b/>
                <w:sz w:val="18"/>
                <w:szCs w:val="18"/>
              </w:rPr>
              <w:t>2010</w:t>
            </w:r>
          </w:p>
        </w:tc>
        <w:tc>
          <w:tcPr>
            <w:tcW w:w="850" w:type="dxa"/>
            <w:vAlign w:val="center"/>
          </w:tcPr>
          <w:p w:rsidR="00873436" w:rsidRPr="00707EFC" w:rsidRDefault="00873436" w:rsidP="00EC5FD1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707EFC">
              <w:rPr>
                <w:rFonts w:cs="Arial"/>
                <w:b/>
                <w:sz w:val="18"/>
                <w:szCs w:val="18"/>
              </w:rPr>
              <w:t>2011</w:t>
            </w:r>
          </w:p>
        </w:tc>
        <w:tc>
          <w:tcPr>
            <w:tcW w:w="850" w:type="dxa"/>
            <w:vAlign w:val="center"/>
          </w:tcPr>
          <w:p w:rsidR="00873436" w:rsidRPr="00707EFC" w:rsidRDefault="00873436" w:rsidP="00E93140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</w:rPr>
            </w:pPr>
            <w:r w:rsidRPr="00707EFC">
              <w:rPr>
                <w:rFonts w:cs="Arial"/>
                <w:b/>
                <w:sz w:val="18"/>
                <w:szCs w:val="18"/>
              </w:rPr>
              <w:t>2012</w:t>
            </w:r>
            <w:r w:rsidR="00B84034" w:rsidRPr="00707EFC">
              <w:rPr>
                <w:rFonts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850" w:type="dxa"/>
            <w:vAlign w:val="center"/>
          </w:tcPr>
          <w:p w:rsidR="00873436" w:rsidRPr="00707EFC" w:rsidRDefault="00873436" w:rsidP="00E93140">
            <w:pPr>
              <w:spacing w:before="20" w:after="20"/>
              <w:jc w:val="center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707EFC">
              <w:rPr>
                <w:rFonts w:cs="Arial"/>
                <w:b/>
                <w:sz w:val="18"/>
                <w:szCs w:val="18"/>
              </w:rPr>
              <w:t>2013</w:t>
            </w:r>
            <w:r w:rsidR="00B84034" w:rsidRPr="00707EFC">
              <w:rPr>
                <w:rFonts w:cs="Arial"/>
                <w:b/>
                <w:sz w:val="18"/>
                <w:szCs w:val="18"/>
                <w:vertAlign w:val="superscript"/>
              </w:rPr>
              <w:t>1)</w:t>
            </w:r>
          </w:p>
        </w:tc>
      </w:tr>
      <w:tr w:rsidR="00873436" w:rsidRPr="00707EFC" w:rsidTr="00F42CAE">
        <w:trPr>
          <w:jc w:val="center"/>
        </w:trPr>
        <w:tc>
          <w:tcPr>
            <w:tcW w:w="2154" w:type="dxa"/>
            <w:vAlign w:val="center"/>
          </w:tcPr>
          <w:p w:rsidR="00873436" w:rsidRPr="00707EFC" w:rsidRDefault="00873436" w:rsidP="00EC5FD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Příjmy celkem</w:t>
            </w:r>
            <w:r w:rsidR="00B84034" w:rsidRPr="00707EFC">
              <w:rPr>
                <w:rFonts w:cs="Arial"/>
                <w:sz w:val="18"/>
                <w:szCs w:val="18"/>
                <w:vertAlign w:val="superscript"/>
              </w:rPr>
              <w:t>2)</w:t>
            </w:r>
          </w:p>
          <w:p w:rsidR="0014163E" w:rsidRPr="00707EFC" w:rsidRDefault="00F42CAE" w:rsidP="00EC5FD1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14163E" w:rsidRPr="00707EFC">
              <w:rPr>
                <w:rFonts w:cs="Arial"/>
                <w:sz w:val="18"/>
                <w:szCs w:val="18"/>
              </w:rPr>
              <w:t>z toho:</w:t>
            </w:r>
          </w:p>
          <w:p w:rsidR="00C85D9A" w:rsidRPr="00707EFC" w:rsidRDefault="00C85D9A" w:rsidP="00F42CAE">
            <w:pPr>
              <w:spacing w:before="20" w:after="20"/>
              <w:ind w:firstLine="260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- veřejné zdroje</w:t>
            </w:r>
          </w:p>
          <w:p w:rsidR="0014163E" w:rsidRPr="00707EFC" w:rsidRDefault="0014163E" w:rsidP="00F42CAE">
            <w:pPr>
              <w:spacing w:before="20" w:after="20"/>
              <w:ind w:firstLine="260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- prostředky EU</w:t>
            </w:r>
          </w:p>
          <w:p w:rsidR="00C85D9A" w:rsidRPr="00707EFC" w:rsidRDefault="00C85D9A" w:rsidP="00F42CAE">
            <w:pPr>
              <w:spacing w:before="20" w:after="20"/>
              <w:ind w:firstLine="260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 xml:space="preserve">- úvěry </w:t>
            </w:r>
          </w:p>
          <w:p w:rsidR="00C85D9A" w:rsidRPr="00707EFC" w:rsidRDefault="00C85D9A" w:rsidP="00F42CAE">
            <w:pPr>
              <w:spacing w:before="20" w:after="20"/>
              <w:ind w:firstLine="260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- státní dluhopisy</w:t>
            </w:r>
          </w:p>
        </w:tc>
        <w:tc>
          <w:tcPr>
            <w:tcW w:w="850" w:type="dxa"/>
          </w:tcPr>
          <w:p w:rsidR="00873436" w:rsidRPr="00707EFC" w:rsidRDefault="00B50D31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27 251</w:t>
            </w: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  <w:p w:rsidR="00467297" w:rsidRPr="00707EFC" w:rsidRDefault="00B50D31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27 251</w:t>
            </w: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73436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69 533</w:t>
            </w: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65 873</w:t>
            </w: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3 660</w:t>
            </w:r>
          </w:p>
        </w:tc>
        <w:tc>
          <w:tcPr>
            <w:tcW w:w="850" w:type="dxa"/>
          </w:tcPr>
          <w:p w:rsidR="00873436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87 714</w:t>
            </w: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62 415</w:t>
            </w: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20 265</w:t>
            </w: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5 034</w:t>
            </w: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73436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87 989</w:t>
            </w: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46 006</w:t>
            </w: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25 683</w:t>
            </w: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7 950</w:t>
            </w: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8</w:t>
            </w:r>
            <w:r w:rsidR="00180600" w:rsidRPr="00707EFC">
              <w:rPr>
                <w:rFonts w:cs="Arial"/>
                <w:sz w:val="18"/>
                <w:szCs w:val="18"/>
              </w:rPr>
              <w:t> </w:t>
            </w:r>
            <w:r w:rsidRPr="00707EFC">
              <w:rPr>
                <w:rFonts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</w:tcPr>
          <w:p w:rsidR="00873436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77 684</w:t>
            </w: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35 304</w:t>
            </w: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24 897</w:t>
            </w: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5 951</w:t>
            </w: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11 532</w:t>
            </w:r>
          </w:p>
        </w:tc>
        <w:tc>
          <w:tcPr>
            <w:tcW w:w="850" w:type="dxa"/>
          </w:tcPr>
          <w:p w:rsidR="00873436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62 035</w:t>
            </w: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37 545</w:t>
            </w: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19 943</w:t>
            </w: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4 429</w:t>
            </w: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</w:tcPr>
          <w:p w:rsidR="00873436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58 267</w:t>
            </w: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41 000</w:t>
            </w: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13 527</w:t>
            </w: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3 740</w:t>
            </w: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73436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60 023</w:t>
            </w: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37 000</w:t>
            </w:r>
            <w:r w:rsidR="004B2E60" w:rsidRPr="00707EFC">
              <w:rPr>
                <w:rFonts w:cs="Arial"/>
                <w:sz w:val="18"/>
                <w:szCs w:val="18"/>
              </w:rPr>
              <w:t xml:space="preserve"> 18 2</w:t>
            </w:r>
            <w:r w:rsidRPr="00707EFC">
              <w:rPr>
                <w:rFonts w:cs="Arial"/>
                <w:sz w:val="18"/>
                <w:szCs w:val="18"/>
              </w:rPr>
              <w:t>63</w:t>
            </w:r>
          </w:p>
          <w:p w:rsidR="00180600" w:rsidRPr="00707EFC" w:rsidRDefault="004B2E6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4 760</w:t>
            </w:r>
          </w:p>
        </w:tc>
      </w:tr>
      <w:tr w:rsidR="00873436" w:rsidRPr="00707EFC" w:rsidTr="00F42CAE">
        <w:trPr>
          <w:jc w:val="center"/>
        </w:trPr>
        <w:tc>
          <w:tcPr>
            <w:tcW w:w="2154" w:type="dxa"/>
            <w:vAlign w:val="center"/>
          </w:tcPr>
          <w:p w:rsidR="00873436" w:rsidRPr="00707EFC" w:rsidRDefault="00C85D9A" w:rsidP="00EC5FD1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Výdaje na D a R</w:t>
            </w:r>
          </w:p>
          <w:p w:rsidR="00C85D9A" w:rsidRPr="00707EFC" w:rsidRDefault="00F42CAE" w:rsidP="00EC5FD1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="00C85D9A" w:rsidRPr="00707EFC">
              <w:rPr>
                <w:rFonts w:cs="Arial"/>
                <w:sz w:val="18"/>
                <w:szCs w:val="18"/>
              </w:rPr>
              <w:t>z toho:</w:t>
            </w:r>
          </w:p>
          <w:p w:rsidR="00C85D9A" w:rsidRPr="00707EFC" w:rsidRDefault="00C85D9A" w:rsidP="00F42CAE">
            <w:pPr>
              <w:spacing w:before="20" w:after="20"/>
              <w:ind w:firstLine="284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- investiční</w:t>
            </w:r>
          </w:p>
          <w:p w:rsidR="00C85D9A" w:rsidRPr="00707EFC" w:rsidRDefault="00C85D9A" w:rsidP="00F42CAE">
            <w:pPr>
              <w:spacing w:before="20" w:after="20"/>
              <w:ind w:firstLine="284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- neinvestiční</w:t>
            </w:r>
          </w:p>
        </w:tc>
        <w:tc>
          <w:tcPr>
            <w:tcW w:w="850" w:type="dxa"/>
          </w:tcPr>
          <w:p w:rsidR="00873436" w:rsidRPr="00707EFC" w:rsidRDefault="00B50D31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4 532</w:t>
            </w: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  <w:p w:rsidR="00467297" w:rsidRPr="00707EFC" w:rsidRDefault="00B50D31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3 696</w:t>
            </w:r>
          </w:p>
          <w:p w:rsidR="00467297" w:rsidRPr="00707EFC" w:rsidRDefault="00B50D31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836</w:t>
            </w:r>
          </w:p>
        </w:tc>
        <w:tc>
          <w:tcPr>
            <w:tcW w:w="850" w:type="dxa"/>
          </w:tcPr>
          <w:p w:rsidR="00873436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28 975</w:t>
            </w: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26 593</w:t>
            </w: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2 382</w:t>
            </w:r>
          </w:p>
        </w:tc>
        <w:tc>
          <w:tcPr>
            <w:tcW w:w="850" w:type="dxa"/>
          </w:tcPr>
          <w:p w:rsidR="00873436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29 369</w:t>
            </w: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26 710</w:t>
            </w: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2 659</w:t>
            </w:r>
          </w:p>
        </w:tc>
        <w:tc>
          <w:tcPr>
            <w:tcW w:w="850" w:type="dxa"/>
          </w:tcPr>
          <w:p w:rsidR="00873436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29 355</w:t>
            </w: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26 619</w:t>
            </w:r>
          </w:p>
          <w:p w:rsidR="00467297" w:rsidRPr="00707EFC" w:rsidRDefault="00467297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2</w:t>
            </w:r>
            <w:r w:rsidR="00180600" w:rsidRPr="00707EFC">
              <w:rPr>
                <w:rFonts w:cs="Arial"/>
                <w:sz w:val="18"/>
                <w:szCs w:val="18"/>
              </w:rPr>
              <w:t> </w:t>
            </w:r>
            <w:r w:rsidRPr="00707EFC">
              <w:rPr>
                <w:rFonts w:cs="Arial"/>
                <w:sz w:val="18"/>
                <w:szCs w:val="18"/>
              </w:rPr>
              <w:t>736</w:t>
            </w:r>
          </w:p>
        </w:tc>
        <w:tc>
          <w:tcPr>
            <w:tcW w:w="850" w:type="dxa"/>
          </w:tcPr>
          <w:p w:rsidR="00873436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25 918</w:t>
            </w: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22 978</w:t>
            </w: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2 940</w:t>
            </w:r>
          </w:p>
        </w:tc>
        <w:tc>
          <w:tcPr>
            <w:tcW w:w="850" w:type="dxa"/>
          </w:tcPr>
          <w:p w:rsidR="00873436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19 387</w:t>
            </w: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16 255</w:t>
            </w: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3 132</w:t>
            </w:r>
          </w:p>
        </w:tc>
        <w:tc>
          <w:tcPr>
            <w:tcW w:w="850" w:type="dxa"/>
          </w:tcPr>
          <w:p w:rsidR="00873436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20 485</w:t>
            </w: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17 462</w:t>
            </w:r>
          </w:p>
          <w:p w:rsidR="00180600" w:rsidRPr="00707EFC" w:rsidRDefault="0018060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3</w:t>
            </w:r>
            <w:r w:rsidR="004B2E60" w:rsidRPr="00707EFC">
              <w:rPr>
                <w:rFonts w:cs="Arial"/>
                <w:sz w:val="18"/>
                <w:szCs w:val="18"/>
              </w:rPr>
              <w:t> </w:t>
            </w:r>
            <w:r w:rsidRPr="00707EFC">
              <w:rPr>
                <w:rFonts w:cs="Arial"/>
                <w:sz w:val="18"/>
                <w:szCs w:val="18"/>
              </w:rPr>
              <w:t>023</w:t>
            </w:r>
          </w:p>
        </w:tc>
        <w:tc>
          <w:tcPr>
            <w:tcW w:w="850" w:type="dxa"/>
          </w:tcPr>
          <w:p w:rsidR="00873436" w:rsidRPr="00707EFC" w:rsidRDefault="004B2E6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17 553</w:t>
            </w:r>
          </w:p>
          <w:p w:rsidR="004B2E60" w:rsidRPr="00707EFC" w:rsidRDefault="004B2E6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</w:p>
          <w:p w:rsidR="004B2E60" w:rsidRPr="00707EFC" w:rsidRDefault="004B2E6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14 567</w:t>
            </w:r>
          </w:p>
          <w:p w:rsidR="004B2E60" w:rsidRPr="00707EFC" w:rsidRDefault="004B2E60" w:rsidP="00EC5FD1">
            <w:pPr>
              <w:spacing w:before="20" w:after="20"/>
              <w:ind w:left="57"/>
              <w:jc w:val="right"/>
              <w:rPr>
                <w:rFonts w:cs="Arial"/>
                <w:sz w:val="18"/>
                <w:szCs w:val="18"/>
              </w:rPr>
            </w:pPr>
            <w:r w:rsidRPr="00707EFC">
              <w:rPr>
                <w:rFonts w:cs="Arial"/>
                <w:sz w:val="18"/>
                <w:szCs w:val="18"/>
              </w:rPr>
              <w:t>2 986</w:t>
            </w:r>
          </w:p>
        </w:tc>
      </w:tr>
    </w:tbl>
    <w:p w:rsidR="00B84034" w:rsidRPr="00043B6B" w:rsidRDefault="00B84034" w:rsidP="00707EFC">
      <w:pPr>
        <w:spacing w:before="40"/>
        <w:rPr>
          <w:sz w:val="18"/>
          <w:szCs w:val="18"/>
        </w:rPr>
      </w:pPr>
      <w:r w:rsidRPr="00043B6B">
        <w:rPr>
          <w:b/>
          <w:sz w:val="18"/>
          <w:szCs w:val="18"/>
        </w:rPr>
        <w:t>Zdroj:</w:t>
      </w:r>
      <w:r w:rsidRPr="00043B6B">
        <w:rPr>
          <w:sz w:val="18"/>
          <w:szCs w:val="18"/>
        </w:rPr>
        <w:t xml:space="preserve"> </w:t>
      </w:r>
      <w:r w:rsidR="004D4DC1">
        <w:rPr>
          <w:sz w:val="18"/>
          <w:szCs w:val="18"/>
        </w:rPr>
        <w:t>e</w:t>
      </w:r>
      <w:r w:rsidRPr="00043B6B">
        <w:rPr>
          <w:sz w:val="18"/>
          <w:szCs w:val="18"/>
        </w:rPr>
        <w:t>vidence SFDI</w:t>
      </w:r>
      <w:r w:rsidR="008E2E99" w:rsidRPr="00043B6B">
        <w:rPr>
          <w:sz w:val="18"/>
          <w:szCs w:val="18"/>
        </w:rPr>
        <w:t>.</w:t>
      </w:r>
    </w:p>
    <w:p w:rsidR="00B84034" w:rsidRPr="00043B6B" w:rsidRDefault="00E93140" w:rsidP="00747358">
      <w:pPr>
        <w:tabs>
          <w:tab w:val="left" w:pos="851"/>
        </w:tabs>
        <w:ind w:left="851" w:hanging="851"/>
        <w:rPr>
          <w:sz w:val="18"/>
          <w:szCs w:val="18"/>
        </w:rPr>
      </w:pPr>
      <w:r>
        <w:rPr>
          <w:b/>
          <w:sz w:val="18"/>
          <w:szCs w:val="18"/>
        </w:rPr>
        <w:t>Pozn</w:t>
      </w:r>
      <w:r w:rsidR="00F74B37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1</w:t>
      </w:r>
      <w:r w:rsidR="00B84034" w:rsidRPr="00043B6B">
        <w:rPr>
          <w:sz w:val="18"/>
          <w:szCs w:val="18"/>
        </w:rPr>
        <w:t>)</w:t>
      </w:r>
      <w:r>
        <w:rPr>
          <w:sz w:val="18"/>
          <w:szCs w:val="18"/>
        </w:rPr>
        <w:tab/>
      </w:r>
      <w:r w:rsidR="00B84034" w:rsidRPr="00043B6B">
        <w:rPr>
          <w:sz w:val="18"/>
          <w:szCs w:val="18"/>
        </w:rPr>
        <w:t>Schválený rozpočet.</w:t>
      </w:r>
    </w:p>
    <w:p w:rsidR="00B84034" w:rsidRPr="00043B6B" w:rsidRDefault="00B84034" w:rsidP="00747358">
      <w:pPr>
        <w:tabs>
          <w:tab w:val="left" w:pos="851"/>
        </w:tabs>
        <w:ind w:left="567"/>
        <w:rPr>
          <w:sz w:val="18"/>
          <w:szCs w:val="18"/>
        </w:rPr>
      </w:pPr>
      <w:r w:rsidRPr="00043B6B">
        <w:rPr>
          <w:sz w:val="18"/>
          <w:szCs w:val="18"/>
        </w:rPr>
        <w:t>2)</w:t>
      </w:r>
      <w:r w:rsidR="00E93140">
        <w:rPr>
          <w:sz w:val="18"/>
          <w:szCs w:val="18"/>
        </w:rPr>
        <w:tab/>
      </w:r>
      <w:r w:rsidRPr="00043B6B">
        <w:rPr>
          <w:sz w:val="18"/>
          <w:szCs w:val="18"/>
        </w:rPr>
        <w:t>Bez prostředků na aparát SFDI.</w:t>
      </w:r>
    </w:p>
    <w:p w:rsidR="00B84034" w:rsidRPr="00922C08" w:rsidRDefault="00B84034" w:rsidP="00A35D62">
      <w:pPr>
        <w:ind w:left="284" w:hanging="284"/>
        <w:rPr>
          <w:sz w:val="22"/>
          <w:szCs w:val="22"/>
        </w:rPr>
      </w:pPr>
    </w:p>
    <w:p w:rsidR="002F1F30" w:rsidRPr="00C37159" w:rsidRDefault="007948FA" w:rsidP="001671F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Jedním z důvodů zřízení SFDI v roce 2000 bylo zajištění stabilizace zdrojů financování dopravní infrastruktury. </w:t>
      </w:r>
      <w:r w:rsidR="00F0086F">
        <w:rPr>
          <w:rFonts w:cs="Arial"/>
          <w:sz w:val="22"/>
          <w:szCs w:val="22"/>
        </w:rPr>
        <w:t xml:space="preserve">To mělo také vytvořit předpoklad pro zvýšení správnosti </w:t>
      </w:r>
      <w:r>
        <w:rPr>
          <w:rFonts w:cs="Arial"/>
          <w:sz w:val="22"/>
          <w:szCs w:val="22"/>
        </w:rPr>
        <w:t xml:space="preserve">predikce </w:t>
      </w:r>
      <w:r w:rsidR="00F0086F">
        <w:rPr>
          <w:rFonts w:cs="Arial"/>
          <w:sz w:val="22"/>
          <w:szCs w:val="22"/>
        </w:rPr>
        <w:t>finančních zdrojů na jednotlivé roky pro zpracovávání koncepčních materiálů.</w:t>
      </w:r>
      <w:r w:rsidR="00FB0EAF">
        <w:rPr>
          <w:rFonts w:cs="Arial"/>
          <w:sz w:val="22"/>
          <w:szCs w:val="22"/>
        </w:rPr>
        <w:t xml:space="preserve"> Stabilizace zdrojů je žádoucí i s ohledem na skutečnost, že doba přípravy a realizace akcí rozvoje dopravní infr</w:t>
      </w:r>
      <w:r w:rsidR="007615AC">
        <w:rPr>
          <w:rFonts w:cs="Arial"/>
          <w:sz w:val="22"/>
          <w:szCs w:val="22"/>
        </w:rPr>
        <w:t>astruktury je víceletá. Pohybovala</w:t>
      </w:r>
      <w:r w:rsidR="00FB0EAF">
        <w:rPr>
          <w:rFonts w:cs="Arial"/>
          <w:sz w:val="22"/>
          <w:szCs w:val="22"/>
        </w:rPr>
        <w:t xml:space="preserve"> se kolem </w:t>
      </w:r>
      <w:r w:rsidR="007615AC">
        <w:rPr>
          <w:rFonts w:cs="Arial"/>
          <w:sz w:val="22"/>
          <w:szCs w:val="22"/>
        </w:rPr>
        <w:t>dvanácti</w:t>
      </w:r>
      <w:r w:rsidR="00FB0EAF">
        <w:rPr>
          <w:rFonts w:cs="Arial"/>
          <w:sz w:val="22"/>
          <w:szCs w:val="22"/>
        </w:rPr>
        <w:t xml:space="preserve"> let.</w:t>
      </w:r>
      <w:r w:rsidR="00C37159">
        <w:rPr>
          <w:rFonts w:cs="Arial"/>
          <w:sz w:val="22"/>
          <w:szCs w:val="22"/>
        </w:rPr>
        <w:t xml:space="preserve"> </w:t>
      </w:r>
      <w:r w:rsidR="00336171" w:rsidRPr="00FB0EAF">
        <w:rPr>
          <w:rFonts w:cs="Arial"/>
          <w:b/>
          <w:sz w:val="22"/>
          <w:szCs w:val="22"/>
        </w:rPr>
        <w:t xml:space="preserve">Správnost predikce zdrojů SFDI v dlouhodobém </w:t>
      </w:r>
      <w:r w:rsidR="00FB0EAF" w:rsidRPr="00FB0EAF">
        <w:rPr>
          <w:rFonts w:cs="Arial"/>
          <w:b/>
          <w:sz w:val="22"/>
          <w:szCs w:val="22"/>
        </w:rPr>
        <w:t>i</w:t>
      </w:r>
      <w:r w:rsidR="00336171" w:rsidRPr="00FB0EAF">
        <w:rPr>
          <w:rFonts w:cs="Arial"/>
          <w:b/>
          <w:sz w:val="22"/>
          <w:szCs w:val="22"/>
        </w:rPr>
        <w:t xml:space="preserve"> střednědobém časovém horizontu</w:t>
      </w:r>
      <w:r w:rsidR="00C37159">
        <w:rPr>
          <w:rFonts w:cs="Arial"/>
          <w:b/>
          <w:sz w:val="22"/>
          <w:szCs w:val="22"/>
        </w:rPr>
        <w:t xml:space="preserve"> však byla značně omezen</w:t>
      </w:r>
      <w:r w:rsidR="004D4DC1">
        <w:rPr>
          <w:rFonts w:cs="Arial"/>
          <w:b/>
          <w:sz w:val="22"/>
          <w:szCs w:val="22"/>
        </w:rPr>
        <w:t>a</w:t>
      </w:r>
      <w:r w:rsidR="00C37159" w:rsidRPr="00F46AC8">
        <w:rPr>
          <w:rFonts w:cs="Arial"/>
          <w:b/>
          <w:sz w:val="22"/>
          <w:szCs w:val="22"/>
        </w:rPr>
        <w:t>,</w:t>
      </w:r>
      <w:r w:rsidR="00C37159">
        <w:rPr>
          <w:rFonts w:cs="Arial"/>
          <w:sz w:val="22"/>
          <w:szCs w:val="22"/>
        </w:rPr>
        <w:t xml:space="preserve"> mj. i proto, že </w:t>
      </w:r>
      <w:r w:rsidR="00FB0EAF" w:rsidRPr="00C37159">
        <w:rPr>
          <w:rFonts w:cs="Arial"/>
          <w:sz w:val="22"/>
          <w:szCs w:val="22"/>
        </w:rPr>
        <w:t>SFDI sestavuje podle zákona č. 104/2000 Sb. rozpočet jen na příslušný rok</w:t>
      </w:r>
      <w:r w:rsidR="00FB0EAF">
        <w:rPr>
          <w:rFonts w:cs="Arial"/>
          <w:sz w:val="22"/>
          <w:szCs w:val="22"/>
        </w:rPr>
        <w:t xml:space="preserve">. Součástí jednoletých rozpočtů </w:t>
      </w:r>
      <w:r w:rsidR="002F1F30">
        <w:rPr>
          <w:rFonts w:cs="Arial"/>
          <w:sz w:val="22"/>
          <w:szCs w:val="22"/>
        </w:rPr>
        <w:t>byl</w:t>
      </w:r>
      <w:r w:rsidR="00B84034">
        <w:rPr>
          <w:rFonts w:cs="Arial"/>
          <w:sz w:val="22"/>
          <w:szCs w:val="22"/>
        </w:rPr>
        <w:t xml:space="preserve"> sice</w:t>
      </w:r>
      <w:r w:rsidR="002F1F30">
        <w:rPr>
          <w:rFonts w:cs="Arial"/>
          <w:sz w:val="22"/>
          <w:szCs w:val="22"/>
        </w:rPr>
        <w:t xml:space="preserve"> i střednědobý</w:t>
      </w:r>
      <w:r w:rsidR="00B84034">
        <w:rPr>
          <w:rFonts w:cs="Arial"/>
          <w:sz w:val="22"/>
          <w:szCs w:val="22"/>
        </w:rPr>
        <w:t xml:space="preserve"> výhled na následující dva roky, ten </w:t>
      </w:r>
      <w:r w:rsidR="002F1F30">
        <w:rPr>
          <w:rFonts w:cs="Arial"/>
          <w:sz w:val="22"/>
          <w:szCs w:val="22"/>
        </w:rPr>
        <w:t xml:space="preserve">však byl nestabilní a </w:t>
      </w:r>
      <w:r w:rsidR="00D642D5">
        <w:rPr>
          <w:rFonts w:cs="Arial"/>
          <w:sz w:val="22"/>
          <w:szCs w:val="22"/>
        </w:rPr>
        <w:t>nespolehlivý</w:t>
      </w:r>
      <w:r w:rsidR="002F1F30">
        <w:rPr>
          <w:rFonts w:cs="Arial"/>
          <w:sz w:val="22"/>
          <w:szCs w:val="22"/>
        </w:rPr>
        <w:t>.</w:t>
      </w:r>
    </w:p>
    <w:p w:rsidR="002F1F30" w:rsidRDefault="002F1F30" w:rsidP="001671F8">
      <w:pPr>
        <w:jc w:val="both"/>
        <w:rPr>
          <w:rFonts w:cs="Arial"/>
          <w:sz w:val="22"/>
          <w:szCs w:val="22"/>
        </w:rPr>
      </w:pPr>
    </w:p>
    <w:p w:rsidR="008E4B95" w:rsidRPr="00F46AC8" w:rsidRDefault="002F1F30" w:rsidP="00F74B37">
      <w:pPr>
        <w:ind w:left="284"/>
        <w:jc w:val="both"/>
        <w:rPr>
          <w:rFonts w:cs="Arial"/>
          <w:sz w:val="22"/>
          <w:szCs w:val="22"/>
        </w:rPr>
      </w:pPr>
      <w:r w:rsidRPr="00F46AC8">
        <w:rPr>
          <w:rFonts w:cs="Arial"/>
          <w:sz w:val="22"/>
          <w:szCs w:val="22"/>
        </w:rPr>
        <w:t>Například</w:t>
      </w:r>
      <w:r w:rsidR="006C7D39" w:rsidRPr="00F46AC8">
        <w:rPr>
          <w:rFonts w:cs="Arial"/>
          <w:sz w:val="22"/>
          <w:szCs w:val="22"/>
        </w:rPr>
        <w:t xml:space="preserve"> </w:t>
      </w:r>
      <w:r w:rsidR="008E4B95" w:rsidRPr="00F46AC8">
        <w:rPr>
          <w:rFonts w:cs="Arial"/>
          <w:sz w:val="22"/>
          <w:szCs w:val="22"/>
        </w:rPr>
        <w:t>výdajový rámec</w:t>
      </w:r>
      <w:r w:rsidR="008E4B95">
        <w:rPr>
          <w:rStyle w:val="Znakapoznpodarou"/>
          <w:rFonts w:cs="Arial"/>
          <w:sz w:val="22"/>
          <w:szCs w:val="22"/>
        </w:rPr>
        <w:footnoteReference w:id="19"/>
      </w:r>
      <w:r w:rsidR="008E4B95" w:rsidRPr="00F46AC8">
        <w:rPr>
          <w:rFonts w:cs="Arial"/>
          <w:sz w:val="22"/>
          <w:szCs w:val="22"/>
        </w:rPr>
        <w:t xml:space="preserve"> rozpočtu SFDI na rok 2010 byl o 1,5 mld. Kč (o 3,9 %) nižší a</w:t>
      </w:r>
      <w:r w:rsidR="00F929C3" w:rsidRPr="00F46AC8">
        <w:rPr>
          <w:rFonts w:cs="Arial"/>
          <w:sz w:val="22"/>
          <w:szCs w:val="22"/>
        </w:rPr>
        <w:t> </w:t>
      </w:r>
      <w:r w:rsidR="008E4B95" w:rsidRPr="00F46AC8">
        <w:rPr>
          <w:rFonts w:cs="Arial"/>
          <w:sz w:val="22"/>
          <w:szCs w:val="22"/>
        </w:rPr>
        <w:t>na rok 2011 o 7,3 mld. Kč (o 19,2 %) nižší, než byl výhled uvedený v rozpočtu SFDI na rok 2009. Na rok 2012 byl stanoven výdajový rámec o 6,3 mld. Kč (o 20,5 %) vyšší, než byl výhled uvedený v rozpočtu SFDI na rok 2011.</w:t>
      </w:r>
    </w:p>
    <w:p w:rsidR="008E4B95" w:rsidRDefault="008E4B95" w:rsidP="00850DC1">
      <w:pPr>
        <w:jc w:val="both"/>
        <w:rPr>
          <w:rFonts w:cs="Arial"/>
          <w:sz w:val="22"/>
          <w:szCs w:val="22"/>
        </w:rPr>
      </w:pPr>
    </w:p>
    <w:p w:rsidR="009801C9" w:rsidRDefault="003A6650" w:rsidP="00A05DD3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2.2 </w:t>
      </w:r>
      <w:r w:rsidR="00F46FA3" w:rsidRPr="009801C9">
        <w:rPr>
          <w:rFonts w:cs="Arial"/>
          <w:b/>
          <w:sz w:val="22"/>
          <w:szCs w:val="22"/>
        </w:rPr>
        <w:t>SFDI</w:t>
      </w:r>
      <w:r w:rsidR="009801C9">
        <w:rPr>
          <w:rFonts w:cs="Arial"/>
          <w:b/>
          <w:sz w:val="22"/>
          <w:szCs w:val="22"/>
        </w:rPr>
        <w:t xml:space="preserve"> účinně nenaplňoval</w:t>
      </w:r>
      <w:r w:rsidR="007E6ACA">
        <w:rPr>
          <w:rFonts w:cs="Arial"/>
          <w:b/>
          <w:sz w:val="22"/>
          <w:szCs w:val="22"/>
        </w:rPr>
        <w:t xml:space="preserve"> zákonem</w:t>
      </w:r>
      <w:r w:rsidR="007E6ACA">
        <w:rPr>
          <w:rStyle w:val="Znakapoznpodarou"/>
          <w:rFonts w:cs="Arial"/>
          <w:b/>
          <w:sz w:val="22"/>
          <w:szCs w:val="22"/>
        </w:rPr>
        <w:footnoteReference w:id="20"/>
      </w:r>
      <w:r w:rsidR="009801C9">
        <w:rPr>
          <w:rFonts w:cs="Arial"/>
          <w:b/>
          <w:sz w:val="22"/>
          <w:szCs w:val="22"/>
        </w:rPr>
        <w:t xml:space="preserve"> stanovenou odpovědnost za efektivní využití prostředků </w:t>
      </w:r>
      <w:r w:rsidR="009801C9" w:rsidRPr="009801C9">
        <w:rPr>
          <w:rFonts w:cs="Arial"/>
          <w:b/>
          <w:sz w:val="22"/>
          <w:szCs w:val="22"/>
        </w:rPr>
        <w:t>poskytovaných podle schváleného rozpočtu</w:t>
      </w:r>
      <w:r w:rsidR="009801C9" w:rsidRPr="00F46AC8">
        <w:rPr>
          <w:rFonts w:cs="Arial"/>
          <w:b/>
          <w:sz w:val="22"/>
          <w:szCs w:val="22"/>
        </w:rPr>
        <w:t>.</w:t>
      </w:r>
      <w:r w:rsidR="00DC1DC8">
        <w:rPr>
          <w:rFonts w:cs="Arial"/>
          <w:sz w:val="22"/>
          <w:szCs w:val="22"/>
        </w:rPr>
        <w:t xml:space="preserve"> Její naplňování v podstatě omezil na </w:t>
      </w:r>
      <w:r w:rsidR="005923E7">
        <w:rPr>
          <w:rFonts w:cs="Arial"/>
          <w:sz w:val="22"/>
          <w:szCs w:val="22"/>
        </w:rPr>
        <w:t>dodržení výdajových limitů</w:t>
      </w:r>
      <w:r w:rsidR="00DC1DC8">
        <w:rPr>
          <w:rFonts w:cs="Arial"/>
          <w:sz w:val="22"/>
          <w:szCs w:val="22"/>
        </w:rPr>
        <w:t xml:space="preserve"> daného rozpočtového roku. Vycházel z toho, že návrh </w:t>
      </w:r>
      <w:r w:rsidR="00DC1DC8">
        <w:rPr>
          <w:rFonts w:cs="Arial"/>
          <w:sz w:val="22"/>
          <w:szCs w:val="22"/>
        </w:rPr>
        <w:lastRenderedPageBreak/>
        <w:t>akcí na D a R je především v kompetenci ŘSD a zajištění naplnění požadavků vyplývajících z koncepčních materiálů a příslušných usnesení vlády, je v kompetenci MD.</w:t>
      </w:r>
      <w:r w:rsidR="005923E7">
        <w:rPr>
          <w:rFonts w:cs="Arial"/>
          <w:sz w:val="22"/>
          <w:szCs w:val="22"/>
        </w:rPr>
        <w:t xml:space="preserve"> </w:t>
      </w:r>
      <w:r w:rsidR="005923E7" w:rsidRPr="004C4189">
        <w:rPr>
          <w:rFonts w:cs="Arial"/>
          <w:b/>
          <w:sz w:val="22"/>
          <w:szCs w:val="22"/>
        </w:rPr>
        <w:t xml:space="preserve">Skutečností je, že SFDI není v nastavených podmínkách schopen </w:t>
      </w:r>
      <w:r w:rsidR="00861C9F" w:rsidRPr="004C4189">
        <w:rPr>
          <w:rFonts w:cs="Arial"/>
          <w:b/>
          <w:sz w:val="22"/>
          <w:szCs w:val="22"/>
        </w:rPr>
        <w:t>danou odpovědnost naplňovat</w:t>
      </w:r>
      <w:r w:rsidR="00861C9F">
        <w:rPr>
          <w:rFonts w:cs="Arial"/>
          <w:b/>
          <w:sz w:val="22"/>
          <w:szCs w:val="22"/>
        </w:rPr>
        <w:t xml:space="preserve">, neboť </w:t>
      </w:r>
      <w:r w:rsidR="0087748D">
        <w:rPr>
          <w:rFonts w:cs="Arial"/>
          <w:b/>
          <w:sz w:val="22"/>
          <w:szCs w:val="22"/>
        </w:rPr>
        <w:t xml:space="preserve">to </w:t>
      </w:r>
      <w:r w:rsidR="004D4DC1">
        <w:rPr>
          <w:rFonts w:cs="Arial"/>
          <w:b/>
          <w:sz w:val="22"/>
          <w:szCs w:val="22"/>
        </w:rPr>
        <w:t xml:space="preserve">vyžaduje aktivní součinnost </w:t>
      </w:r>
      <w:r w:rsidR="00861C9F">
        <w:rPr>
          <w:rFonts w:cs="Arial"/>
          <w:b/>
          <w:sz w:val="22"/>
          <w:szCs w:val="22"/>
        </w:rPr>
        <w:t>účastníků</w:t>
      </w:r>
      <w:r w:rsidR="007E6ACA">
        <w:rPr>
          <w:rFonts w:cs="Arial"/>
          <w:b/>
          <w:sz w:val="22"/>
          <w:szCs w:val="22"/>
        </w:rPr>
        <w:t xml:space="preserve"> sestavování</w:t>
      </w:r>
      <w:r w:rsidR="005923E7" w:rsidRPr="004C4189">
        <w:rPr>
          <w:rFonts w:cs="Arial"/>
          <w:b/>
          <w:sz w:val="22"/>
          <w:szCs w:val="22"/>
        </w:rPr>
        <w:t xml:space="preserve"> a schvalování jeho rozpočtu</w:t>
      </w:r>
      <w:r w:rsidR="005923E7" w:rsidRPr="00F46AC8">
        <w:rPr>
          <w:rFonts w:cs="Arial"/>
          <w:b/>
          <w:sz w:val="22"/>
          <w:szCs w:val="22"/>
        </w:rPr>
        <w:t>.</w:t>
      </w:r>
    </w:p>
    <w:p w:rsidR="009801C9" w:rsidRDefault="009801C9" w:rsidP="00A05DD3">
      <w:pPr>
        <w:jc w:val="both"/>
        <w:rPr>
          <w:rFonts w:cs="Arial"/>
          <w:sz w:val="22"/>
          <w:szCs w:val="22"/>
        </w:rPr>
      </w:pPr>
    </w:p>
    <w:p w:rsidR="00DC1DC8" w:rsidRDefault="009801C9" w:rsidP="00A05DD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Podle sdělení SFDI je efektivita vynaložených finančních prostředků zabezpečována již ve fázi přípravy akcí </w:t>
      </w:r>
      <w:r w:rsidR="00503C3B">
        <w:rPr>
          <w:rFonts w:cs="Arial"/>
          <w:sz w:val="22"/>
          <w:szCs w:val="22"/>
        </w:rPr>
        <w:t>schválením investičního záměru. Problémem však je, že investiční záměry sc</w:t>
      </w:r>
      <w:r w:rsidR="005923E7">
        <w:rPr>
          <w:rFonts w:cs="Arial"/>
          <w:sz w:val="22"/>
          <w:szCs w:val="22"/>
        </w:rPr>
        <w:t>hvalovalo MD s tím, že akce budou</w:t>
      </w:r>
      <w:r w:rsidR="00503C3B">
        <w:rPr>
          <w:rFonts w:cs="Arial"/>
          <w:sz w:val="22"/>
          <w:szCs w:val="22"/>
        </w:rPr>
        <w:t xml:space="preserve"> zahájen</w:t>
      </w:r>
      <w:r w:rsidR="005923E7">
        <w:rPr>
          <w:rFonts w:cs="Arial"/>
          <w:sz w:val="22"/>
          <w:szCs w:val="22"/>
        </w:rPr>
        <w:t>y</w:t>
      </w:r>
      <w:r w:rsidR="00503C3B">
        <w:rPr>
          <w:rFonts w:cs="Arial"/>
          <w:sz w:val="22"/>
          <w:szCs w:val="22"/>
        </w:rPr>
        <w:t xml:space="preserve"> podle rozpočtových možností SFDI. Akce tak byly </w:t>
      </w:r>
      <w:r w:rsidR="00756312">
        <w:rPr>
          <w:rFonts w:cs="Arial"/>
          <w:sz w:val="22"/>
          <w:szCs w:val="22"/>
        </w:rPr>
        <w:t>do rozpočtu SFDI</w:t>
      </w:r>
      <w:r w:rsidR="007561CC">
        <w:rPr>
          <w:rFonts w:cs="Arial"/>
          <w:sz w:val="22"/>
          <w:szCs w:val="22"/>
        </w:rPr>
        <w:t xml:space="preserve"> zařazovány až po několika letech </w:t>
      </w:r>
      <w:r w:rsidR="00756312">
        <w:rPr>
          <w:rFonts w:cs="Arial"/>
          <w:sz w:val="22"/>
          <w:szCs w:val="22"/>
        </w:rPr>
        <w:t>od</w:t>
      </w:r>
      <w:r w:rsidR="007561CC">
        <w:rPr>
          <w:rFonts w:cs="Arial"/>
          <w:sz w:val="22"/>
          <w:szCs w:val="22"/>
        </w:rPr>
        <w:t xml:space="preserve"> schválení investičních záměrů. Rozhodující vstupní údaje pro hodnocení efektivity, zejména investiční náklady a termíny výstavby, se při zařazení akce do rozpočtu SFDI neshodovaly s</w:t>
      </w:r>
      <w:r w:rsidR="00756312">
        <w:rPr>
          <w:rFonts w:cs="Arial"/>
          <w:sz w:val="22"/>
          <w:szCs w:val="22"/>
        </w:rPr>
        <w:t> údaji v investičních záměrech</w:t>
      </w:r>
      <w:r w:rsidR="00EB0B3A">
        <w:rPr>
          <w:rFonts w:cs="Arial"/>
          <w:sz w:val="22"/>
          <w:szCs w:val="22"/>
        </w:rPr>
        <w:t xml:space="preserve">, přičemž </w:t>
      </w:r>
      <w:r w:rsidR="00503C3B">
        <w:rPr>
          <w:rFonts w:cs="Arial"/>
          <w:sz w:val="22"/>
          <w:szCs w:val="22"/>
        </w:rPr>
        <w:t xml:space="preserve">v průběhu přípravy i realizace </w:t>
      </w:r>
      <w:r w:rsidR="007561CC">
        <w:rPr>
          <w:rFonts w:cs="Arial"/>
          <w:sz w:val="22"/>
          <w:szCs w:val="22"/>
        </w:rPr>
        <w:t xml:space="preserve">byly </w:t>
      </w:r>
      <w:r w:rsidR="00DC1DC8">
        <w:rPr>
          <w:rFonts w:cs="Arial"/>
          <w:sz w:val="22"/>
          <w:szCs w:val="22"/>
        </w:rPr>
        <w:t xml:space="preserve">dále zvyšovány </w:t>
      </w:r>
      <w:r w:rsidR="007561CC">
        <w:rPr>
          <w:rFonts w:cs="Arial"/>
          <w:sz w:val="22"/>
          <w:szCs w:val="22"/>
        </w:rPr>
        <w:t>náklady a</w:t>
      </w:r>
      <w:r w:rsidR="00AE3A56">
        <w:rPr>
          <w:rFonts w:cs="Arial"/>
          <w:sz w:val="22"/>
          <w:szCs w:val="22"/>
        </w:rPr>
        <w:t> </w:t>
      </w:r>
      <w:r w:rsidR="007561CC">
        <w:rPr>
          <w:rFonts w:cs="Arial"/>
          <w:sz w:val="22"/>
          <w:szCs w:val="22"/>
        </w:rPr>
        <w:t>prodlužovány</w:t>
      </w:r>
      <w:r w:rsidR="00DC1DC8">
        <w:rPr>
          <w:rFonts w:cs="Arial"/>
          <w:sz w:val="22"/>
          <w:szCs w:val="22"/>
        </w:rPr>
        <w:t xml:space="preserve"> </w:t>
      </w:r>
      <w:r w:rsidR="007561CC">
        <w:rPr>
          <w:rFonts w:cs="Arial"/>
          <w:sz w:val="22"/>
          <w:szCs w:val="22"/>
        </w:rPr>
        <w:t>realizační termíny</w:t>
      </w:r>
      <w:r w:rsidR="00EB0B3A">
        <w:rPr>
          <w:rFonts w:cs="Arial"/>
          <w:sz w:val="22"/>
          <w:szCs w:val="22"/>
        </w:rPr>
        <w:t xml:space="preserve"> akcí na D a R</w:t>
      </w:r>
      <w:r w:rsidR="007561CC">
        <w:rPr>
          <w:rFonts w:cs="Arial"/>
          <w:sz w:val="22"/>
          <w:szCs w:val="22"/>
        </w:rPr>
        <w:t>.</w:t>
      </w:r>
    </w:p>
    <w:p w:rsidR="00DC1DC8" w:rsidRDefault="00DC1DC8" w:rsidP="00A05DD3">
      <w:pPr>
        <w:jc w:val="both"/>
        <w:rPr>
          <w:rFonts w:cs="Arial"/>
          <w:sz w:val="22"/>
          <w:szCs w:val="22"/>
        </w:rPr>
      </w:pPr>
    </w:p>
    <w:p w:rsidR="004C4189" w:rsidRDefault="00DF76D1" w:rsidP="00A05DD3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SFDI stanovil </w:t>
      </w:r>
      <w:r w:rsidRPr="00DF76D1">
        <w:rPr>
          <w:rFonts w:cs="Arial"/>
          <w:b/>
          <w:sz w:val="22"/>
          <w:szCs w:val="22"/>
        </w:rPr>
        <w:t>ve smlouvách uzavíraných s příjemci finančních prostředků na příslušný rok</w:t>
      </w:r>
      <w:r w:rsidRPr="001F60FB">
        <w:rPr>
          <w:rStyle w:val="Znakapoznpodarou"/>
          <w:rFonts w:cs="Arial"/>
          <w:sz w:val="22"/>
          <w:szCs w:val="22"/>
        </w:rPr>
        <w:footnoteReference w:id="21"/>
      </w:r>
      <w:r>
        <w:rPr>
          <w:rFonts w:cs="Arial"/>
          <w:b/>
          <w:sz w:val="22"/>
          <w:szCs w:val="22"/>
        </w:rPr>
        <w:t xml:space="preserve"> n</w:t>
      </w:r>
      <w:r w:rsidRPr="00DF76D1">
        <w:rPr>
          <w:rFonts w:cs="Arial"/>
          <w:b/>
          <w:sz w:val="22"/>
          <w:szCs w:val="22"/>
        </w:rPr>
        <w:t xml:space="preserve">áklady a realizační termíny </w:t>
      </w:r>
      <w:r w:rsidR="00861C9F">
        <w:rPr>
          <w:rFonts w:cs="Arial"/>
          <w:b/>
          <w:sz w:val="22"/>
          <w:szCs w:val="22"/>
        </w:rPr>
        <w:t>pouze jako orientační ukazatele</w:t>
      </w:r>
      <w:r w:rsidR="00B63B13" w:rsidRPr="00F46AC8">
        <w:rPr>
          <w:rFonts w:cs="Arial"/>
          <w:b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Ve smlouvách uzavřených s ŘSD byla </w:t>
      </w:r>
      <w:r w:rsidR="00E93140">
        <w:rPr>
          <w:rFonts w:cs="Arial"/>
          <w:sz w:val="22"/>
          <w:szCs w:val="22"/>
        </w:rPr>
        <w:t>pouze stanovena</w:t>
      </w:r>
      <w:r>
        <w:rPr>
          <w:rFonts w:cs="Arial"/>
          <w:sz w:val="22"/>
          <w:szCs w:val="22"/>
        </w:rPr>
        <w:t xml:space="preserve"> povinnost sdělit písemně změny do deseti dnů ode dne, kdy k nim došlo. </w:t>
      </w:r>
      <w:r w:rsidR="00B63B13">
        <w:rPr>
          <w:rFonts w:cs="Arial"/>
          <w:sz w:val="22"/>
          <w:szCs w:val="22"/>
        </w:rPr>
        <w:t>Změny</w:t>
      </w:r>
      <w:r w:rsidR="00533E8B">
        <w:rPr>
          <w:rFonts w:cs="Arial"/>
          <w:sz w:val="22"/>
          <w:szCs w:val="22"/>
        </w:rPr>
        <w:t xml:space="preserve"> ročních</w:t>
      </w:r>
      <w:r w:rsidR="00B63B13">
        <w:rPr>
          <w:rFonts w:cs="Arial"/>
          <w:sz w:val="22"/>
          <w:szCs w:val="22"/>
        </w:rPr>
        <w:t xml:space="preserve"> finanční</w:t>
      </w:r>
      <w:r>
        <w:rPr>
          <w:rFonts w:cs="Arial"/>
          <w:sz w:val="22"/>
          <w:szCs w:val="22"/>
        </w:rPr>
        <w:t>ch</w:t>
      </w:r>
      <w:r w:rsidR="00B63B13">
        <w:rPr>
          <w:rFonts w:cs="Arial"/>
          <w:sz w:val="22"/>
          <w:szCs w:val="22"/>
        </w:rPr>
        <w:t xml:space="preserve"> část</w:t>
      </w:r>
      <w:r>
        <w:rPr>
          <w:rFonts w:cs="Arial"/>
          <w:sz w:val="22"/>
          <w:szCs w:val="22"/>
        </w:rPr>
        <w:t xml:space="preserve">ek na akce </w:t>
      </w:r>
      <w:r w:rsidR="00B63B13">
        <w:rPr>
          <w:rFonts w:cs="Arial"/>
          <w:sz w:val="22"/>
          <w:szCs w:val="22"/>
        </w:rPr>
        <w:t>byly</w:t>
      </w:r>
      <w:r>
        <w:rPr>
          <w:rFonts w:cs="Arial"/>
          <w:sz w:val="22"/>
          <w:szCs w:val="22"/>
        </w:rPr>
        <w:t xml:space="preserve"> následně</w:t>
      </w:r>
      <w:r w:rsidR="00B63B13">
        <w:rPr>
          <w:rFonts w:cs="Arial"/>
          <w:sz w:val="22"/>
          <w:szCs w:val="22"/>
        </w:rPr>
        <w:t xml:space="preserve"> prováděn</w:t>
      </w:r>
      <w:r>
        <w:rPr>
          <w:rFonts w:cs="Arial"/>
          <w:sz w:val="22"/>
          <w:szCs w:val="22"/>
        </w:rPr>
        <w:t>y formou rozpočtových opatření. Jejich schvalování bylo pouze formální. Naproti tomu u akcí spolufinancovaných z </w:t>
      </w:r>
      <w:r w:rsidR="004D4DC1">
        <w:rPr>
          <w:rFonts w:cs="Arial"/>
          <w:sz w:val="22"/>
          <w:szCs w:val="22"/>
        </w:rPr>
        <w:t xml:space="preserve">prostředků EU byly </w:t>
      </w:r>
      <w:r w:rsidR="00001B91">
        <w:rPr>
          <w:rFonts w:cs="Arial"/>
          <w:sz w:val="22"/>
          <w:szCs w:val="22"/>
        </w:rPr>
        <w:t>příslušné rámcové smlouvy</w:t>
      </w:r>
      <w:r>
        <w:rPr>
          <w:rFonts w:cs="Arial"/>
          <w:sz w:val="22"/>
          <w:szCs w:val="22"/>
        </w:rPr>
        <w:t xml:space="preserve"> o</w:t>
      </w:r>
      <w:r w:rsidR="00E93140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financování projektů</w:t>
      </w:r>
      <w:r w:rsidR="00001B91">
        <w:rPr>
          <w:rFonts w:cs="Arial"/>
          <w:sz w:val="22"/>
          <w:szCs w:val="22"/>
        </w:rPr>
        <w:t xml:space="preserve"> uzavírány na celou dobu výstavby a</w:t>
      </w:r>
      <w:r>
        <w:rPr>
          <w:rFonts w:cs="Arial"/>
          <w:sz w:val="22"/>
          <w:szCs w:val="22"/>
        </w:rPr>
        <w:t xml:space="preserve"> </w:t>
      </w:r>
      <w:r w:rsidR="004C4189">
        <w:rPr>
          <w:rFonts w:cs="Arial"/>
          <w:sz w:val="22"/>
          <w:szCs w:val="22"/>
        </w:rPr>
        <w:t>náklady a termíny realizace</w:t>
      </w:r>
      <w:r w:rsidR="00001B91">
        <w:rPr>
          <w:rFonts w:cs="Arial"/>
          <w:sz w:val="22"/>
          <w:szCs w:val="22"/>
        </w:rPr>
        <w:t xml:space="preserve"> v nich byly</w:t>
      </w:r>
      <w:r w:rsidR="004C4189">
        <w:rPr>
          <w:rFonts w:cs="Arial"/>
          <w:sz w:val="22"/>
          <w:szCs w:val="22"/>
        </w:rPr>
        <w:t xml:space="preserve"> stanoveny jako závazné.</w:t>
      </w:r>
    </w:p>
    <w:p w:rsidR="004C4189" w:rsidRDefault="004C4189" w:rsidP="00A05DD3">
      <w:pPr>
        <w:jc w:val="both"/>
        <w:rPr>
          <w:rFonts w:cs="Arial"/>
          <w:sz w:val="22"/>
          <w:szCs w:val="22"/>
        </w:rPr>
      </w:pPr>
    </w:p>
    <w:p w:rsidR="004C4189" w:rsidRDefault="004C4189" w:rsidP="00A05DD3">
      <w:pPr>
        <w:jc w:val="both"/>
        <w:rPr>
          <w:rFonts w:cs="Arial"/>
          <w:sz w:val="22"/>
          <w:szCs w:val="22"/>
        </w:rPr>
      </w:pPr>
      <w:r w:rsidRPr="004C4189">
        <w:rPr>
          <w:rFonts w:cs="Arial"/>
          <w:b/>
          <w:sz w:val="22"/>
          <w:szCs w:val="22"/>
        </w:rPr>
        <w:t>SFDI v posledních letech přijal některá</w:t>
      </w:r>
      <w:r w:rsidR="00001B91">
        <w:rPr>
          <w:rFonts w:cs="Arial"/>
          <w:b/>
          <w:sz w:val="22"/>
          <w:szCs w:val="22"/>
        </w:rPr>
        <w:t xml:space="preserve"> dílčí</w:t>
      </w:r>
      <w:r w:rsidRPr="004C4189">
        <w:rPr>
          <w:rFonts w:cs="Arial"/>
          <w:b/>
          <w:sz w:val="22"/>
          <w:szCs w:val="22"/>
        </w:rPr>
        <w:t xml:space="preserve"> opatření, která mohou kladně ovlivnit hospodárnost realizace akcí na D a R</w:t>
      </w:r>
      <w:r w:rsidRPr="00F46AC8">
        <w:rPr>
          <w:rFonts w:cs="Arial"/>
          <w:b/>
          <w:sz w:val="22"/>
          <w:szCs w:val="22"/>
        </w:rPr>
        <w:t>:</w:t>
      </w:r>
    </w:p>
    <w:p w:rsidR="004C4189" w:rsidRPr="00F929C3" w:rsidRDefault="004C4189" w:rsidP="005D099E">
      <w:pPr>
        <w:pStyle w:val="Odstavecseseznamem"/>
        <w:numPr>
          <w:ilvl w:val="0"/>
          <w:numId w:val="5"/>
        </w:numPr>
        <w:ind w:left="284" w:hanging="284"/>
        <w:jc w:val="both"/>
        <w:rPr>
          <w:rFonts w:cs="Arial"/>
          <w:sz w:val="22"/>
          <w:szCs w:val="22"/>
        </w:rPr>
      </w:pPr>
      <w:r w:rsidRPr="00F929C3">
        <w:rPr>
          <w:rFonts w:cs="Arial"/>
          <w:sz w:val="22"/>
          <w:szCs w:val="22"/>
        </w:rPr>
        <w:t xml:space="preserve">zadal veřejnou zakázku, </w:t>
      </w:r>
      <w:r w:rsidR="00D642D5">
        <w:rPr>
          <w:rFonts w:cs="Arial"/>
          <w:sz w:val="22"/>
          <w:szCs w:val="22"/>
        </w:rPr>
        <w:t>která se týká</w:t>
      </w:r>
      <w:r w:rsidRPr="00F929C3">
        <w:rPr>
          <w:rFonts w:cs="Arial"/>
          <w:sz w:val="22"/>
          <w:szCs w:val="22"/>
        </w:rPr>
        <w:t xml:space="preserve"> aktualizace cenových normativů MD, </w:t>
      </w:r>
      <w:r w:rsidR="00533E8B" w:rsidRPr="00F929C3">
        <w:rPr>
          <w:rFonts w:cs="Arial"/>
          <w:sz w:val="22"/>
          <w:szCs w:val="22"/>
        </w:rPr>
        <w:t>s</w:t>
      </w:r>
      <w:r w:rsidR="00D642D5">
        <w:rPr>
          <w:rFonts w:cs="Arial"/>
          <w:sz w:val="22"/>
          <w:szCs w:val="22"/>
        </w:rPr>
        <w:t> </w:t>
      </w:r>
      <w:r w:rsidR="00533E8B" w:rsidRPr="00F929C3">
        <w:rPr>
          <w:rFonts w:cs="Arial"/>
          <w:sz w:val="22"/>
          <w:szCs w:val="22"/>
        </w:rPr>
        <w:t>termínem</w:t>
      </w:r>
      <w:r w:rsidRPr="00F929C3">
        <w:rPr>
          <w:rFonts w:cs="Arial"/>
          <w:sz w:val="22"/>
          <w:szCs w:val="22"/>
        </w:rPr>
        <w:t xml:space="preserve"> do března 2013</w:t>
      </w:r>
      <w:r w:rsidR="00D642D5">
        <w:rPr>
          <w:rFonts w:cs="Arial"/>
          <w:sz w:val="22"/>
          <w:szCs w:val="22"/>
        </w:rPr>
        <w:t>;</w:t>
      </w:r>
    </w:p>
    <w:p w:rsidR="003F4DE4" w:rsidRPr="00F929C3" w:rsidRDefault="00455C05" w:rsidP="005D099E">
      <w:pPr>
        <w:pStyle w:val="Odstavecseseznamem"/>
        <w:numPr>
          <w:ilvl w:val="0"/>
          <w:numId w:val="5"/>
        </w:numPr>
        <w:ind w:left="284" w:hanging="284"/>
        <w:jc w:val="both"/>
        <w:rPr>
          <w:rFonts w:cs="Arial"/>
          <w:sz w:val="22"/>
          <w:szCs w:val="22"/>
        </w:rPr>
      </w:pPr>
      <w:r w:rsidRPr="00F929C3">
        <w:rPr>
          <w:rFonts w:cs="Arial"/>
          <w:sz w:val="22"/>
          <w:szCs w:val="22"/>
        </w:rPr>
        <w:t xml:space="preserve">v červenci 2009 </w:t>
      </w:r>
      <w:r w:rsidR="004D4DC1" w:rsidRPr="00F929C3">
        <w:rPr>
          <w:rFonts w:cs="Arial"/>
          <w:sz w:val="22"/>
          <w:szCs w:val="22"/>
        </w:rPr>
        <w:t>stanovil</w:t>
      </w:r>
      <w:r w:rsidRPr="00F929C3">
        <w:rPr>
          <w:rFonts w:cs="Arial"/>
          <w:sz w:val="22"/>
          <w:szCs w:val="22"/>
        </w:rPr>
        <w:t xml:space="preserve"> povinnost vyžádat si pře</w:t>
      </w:r>
      <w:r w:rsidR="00AE3A56" w:rsidRPr="00F929C3">
        <w:rPr>
          <w:rFonts w:cs="Arial"/>
          <w:sz w:val="22"/>
          <w:szCs w:val="22"/>
        </w:rPr>
        <w:t>d zahájením zadávacího řízení a </w:t>
      </w:r>
      <w:r w:rsidRPr="00F929C3">
        <w:rPr>
          <w:rFonts w:cs="Arial"/>
          <w:sz w:val="22"/>
          <w:szCs w:val="22"/>
        </w:rPr>
        <w:t xml:space="preserve">uzavřením smlouvy na dodavatele stavby a v případech, kdy kumulativní navýšení ceny </w:t>
      </w:r>
      <w:r w:rsidR="00AE3A56" w:rsidRPr="00F929C3">
        <w:rPr>
          <w:rFonts w:cs="Arial"/>
          <w:sz w:val="22"/>
          <w:szCs w:val="22"/>
        </w:rPr>
        <w:t>přesáhne 5 </w:t>
      </w:r>
      <w:r w:rsidR="00001B91" w:rsidRPr="00F929C3">
        <w:rPr>
          <w:rFonts w:cs="Arial"/>
          <w:sz w:val="22"/>
          <w:szCs w:val="22"/>
        </w:rPr>
        <w:t>% od poslední hodnoty</w:t>
      </w:r>
      <w:r w:rsidRPr="00F929C3">
        <w:rPr>
          <w:rFonts w:cs="Arial"/>
          <w:sz w:val="22"/>
          <w:szCs w:val="22"/>
        </w:rPr>
        <w:t>, ke které se vyjadřoval</w:t>
      </w:r>
      <w:r w:rsidR="00001B91" w:rsidRPr="00F929C3">
        <w:rPr>
          <w:rFonts w:cs="Arial"/>
          <w:sz w:val="22"/>
          <w:szCs w:val="22"/>
        </w:rPr>
        <w:t>,</w:t>
      </w:r>
      <w:r w:rsidRPr="00F929C3">
        <w:rPr>
          <w:rFonts w:cs="Arial"/>
          <w:sz w:val="22"/>
          <w:szCs w:val="22"/>
        </w:rPr>
        <w:t xml:space="preserve"> stanovisko SFDI k rozpočtovému krytí</w:t>
      </w:r>
      <w:r w:rsidR="00E93F20">
        <w:rPr>
          <w:rFonts w:cs="Arial"/>
          <w:sz w:val="22"/>
          <w:szCs w:val="22"/>
        </w:rPr>
        <w:t>;</w:t>
      </w:r>
      <w:r w:rsidRPr="00F929C3">
        <w:rPr>
          <w:rFonts w:cs="Arial"/>
          <w:sz w:val="22"/>
          <w:szCs w:val="22"/>
        </w:rPr>
        <w:t xml:space="preserve"> obdobnou povinnost stanovil v dubnu 2011 pro případy, kdy vybraná nabídka</w:t>
      </w:r>
      <w:r w:rsidR="00001B91" w:rsidRPr="00F929C3">
        <w:rPr>
          <w:rFonts w:cs="Arial"/>
          <w:sz w:val="22"/>
          <w:szCs w:val="22"/>
        </w:rPr>
        <w:t xml:space="preserve"> překro</w:t>
      </w:r>
      <w:r w:rsidR="007615AC" w:rsidRPr="00F929C3">
        <w:rPr>
          <w:rFonts w:cs="Arial"/>
          <w:sz w:val="22"/>
          <w:szCs w:val="22"/>
        </w:rPr>
        <w:t>čí předpokládanou hodnotu o 5 %</w:t>
      </w:r>
      <w:r w:rsidR="00D642D5">
        <w:rPr>
          <w:rFonts w:cs="Arial"/>
          <w:sz w:val="22"/>
          <w:szCs w:val="22"/>
        </w:rPr>
        <w:t>;</w:t>
      </w:r>
    </w:p>
    <w:p w:rsidR="00692D9C" w:rsidRPr="00F929C3" w:rsidRDefault="003F4DE4" w:rsidP="005D099E">
      <w:pPr>
        <w:pStyle w:val="Odstavecseseznamem"/>
        <w:numPr>
          <w:ilvl w:val="0"/>
          <w:numId w:val="5"/>
        </w:numPr>
        <w:ind w:left="284" w:hanging="284"/>
        <w:jc w:val="both"/>
        <w:rPr>
          <w:rFonts w:cs="Arial"/>
          <w:sz w:val="22"/>
          <w:szCs w:val="22"/>
        </w:rPr>
      </w:pPr>
      <w:r w:rsidRPr="00F929C3">
        <w:rPr>
          <w:rFonts w:cs="Arial"/>
          <w:sz w:val="22"/>
          <w:szCs w:val="22"/>
        </w:rPr>
        <w:t xml:space="preserve">ve smlouvách o poskytnutí finančních prostředků </w:t>
      </w:r>
      <w:r w:rsidR="00A97480">
        <w:rPr>
          <w:rFonts w:cs="Arial"/>
          <w:sz w:val="22"/>
          <w:szCs w:val="22"/>
        </w:rPr>
        <w:t xml:space="preserve">uzavíraných </w:t>
      </w:r>
      <w:r w:rsidRPr="00F929C3">
        <w:rPr>
          <w:rFonts w:cs="Arial"/>
          <w:sz w:val="22"/>
          <w:szCs w:val="22"/>
        </w:rPr>
        <w:t>s ŘSD si vyhradil právo, aby do hodnot</w:t>
      </w:r>
      <w:r w:rsidR="00E93F20">
        <w:rPr>
          <w:rFonts w:cs="Arial"/>
          <w:sz w:val="22"/>
          <w:szCs w:val="22"/>
        </w:rPr>
        <w:t>i</w:t>
      </w:r>
      <w:r w:rsidRPr="00F929C3">
        <w:rPr>
          <w:rFonts w:cs="Arial"/>
          <w:sz w:val="22"/>
          <w:szCs w:val="22"/>
        </w:rPr>
        <w:t>cí komise u nadlimitních veřejných zakázek byl jmenován</w:t>
      </w:r>
      <w:r w:rsidR="007615AC" w:rsidRPr="00F929C3">
        <w:rPr>
          <w:rFonts w:cs="Arial"/>
          <w:sz w:val="22"/>
          <w:szCs w:val="22"/>
        </w:rPr>
        <w:t xml:space="preserve"> jím navržený zástupce</w:t>
      </w:r>
      <w:r w:rsidR="00D642D5">
        <w:rPr>
          <w:rFonts w:cs="Arial"/>
          <w:sz w:val="22"/>
          <w:szCs w:val="22"/>
        </w:rPr>
        <w:t>;</w:t>
      </w:r>
      <w:r w:rsidRPr="00F929C3">
        <w:rPr>
          <w:rFonts w:cs="Arial"/>
          <w:sz w:val="22"/>
          <w:szCs w:val="22"/>
        </w:rPr>
        <w:t xml:space="preserve"> </w:t>
      </w:r>
    </w:p>
    <w:p w:rsidR="00692D9C" w:rsidRPr="00F929C3" w:rsidRDefault="00692D9C" w:rsidP="005D099E">
      <w:pPr>
        <w:pStyle w:val="Odstavecseseznamem"/>
        <w:numPr>
          <w:ilvl w:val="0"/>
          <w:numId w:val="5"/>
        </w:numPr>
        <w:ind w:left="284" w:hanging="284"/>
        <w:jc w:val="both"/>
        <w:rPr>
          <w:rFonts w:cs="Arial"/>
          <w:sz w:val="22"/>
          <w:szCs w:val="22"/>
        </w:rPr>
      </w:pPr>
      <w:r w:rsidRPr="00F929C3">
        <w:rPr>
          <w:rFonts w:cs="Arial"/>
          <w:sz w:val="22"/>
          <w:szCs w:val="22"/>
        </w:rPr>
        <w:t>nechal v roce 2012 zpracovat manuál ke kontrole ocenění staveb</w:t>
      </w:r>
      <w:r w:rsidR="00D642D5">
        <w:rPr>
          <w:rFonts w:cs="Arial"/>
          <w:sz w:val="22"/>
          <w:szCs w:val="22"/>
        </w:rPr>
        <w:t>;</w:t>
      </w:r>
    </w:p>
    <w:p w:rsidR="007561CC" w:rsidRPr="00F929C3" w:rsidRDefault="00692D9C" w:rsidP="005D099E">
      <w:pPr>
        <w:pStyle w:val="Odstavecseseznamem"/>
        <w:numPr>
          <w:ilvl w:val="0"/>
          <w:numId w:val="5"/>
        </w:numPr>
        <w:ind w:left="284" w:hanging="284"/>
        <w:jc w:val="both"/>
        <w:rPr>
          <w:rFonts w:cs="Arial"/>
          <w:sz w:val="22"/>
          <w:szCs w:val="22"/>
        </w:rPr>
      </w:pPr>
      <w:r w:rsidRPr="00F929C3">
        <w:rPr>
          <w:rFonts w:cs="Arial"/>
          <w:sz w:val="22"/>
          <w:szCs w:val="22"/>
        </w:rPr>
        <w:t>uzavřel v roce 2012 rámcové smlouvy na posouzení připravovaných projektů staveb</w:t>
      </w:r>
      <w:r w:rsidR="006D1CC1" w:rsidRPr="00F929C3">
        <w:rPr>
          <w:rFonts w:cs="Arial"/>
          <w:sz w:val="22"/>
          <w:szCs w:val="22"/>
        </w:rPr>
        <w:t xml:space="preserve"> (</w:t>
      </w:r>
      <w:r w:rsidRPr="00F929C3">
        <w:rPr>
          <w:rFonts w:cs="Arial"/>
          <w:sz w:val="22"/>
          <w:szCs w:val="22"/>
        </w:rPr>
        <w:t xml:space="preserve">do doby kontroly </w:t>
      </w:r>
      <w:r w:rsidR="006D1CC1" w:rsidRPr="00F929C3">
        <w:rPr>
          <w:rFonts w:cs="Arial"/>
          <w:sz w:val="22"/>
          <w:szCs w:val="22"/>
        </w:rPr>
        <w:t>nechal posoudit</w:t>
      </w:r>
      <w:r w:rsidRPr="00F929C3">
        <w:rPr>
          <w:rFonts w:cs="Arial"/>
          <w:sz w:val="22"/>
          <w:szCs w:val="22"/>
        </w:rPr>
        <w:t xml:space="preserve"> jen investiční záměr souboru staveb rekonstrukce úseků na D1, přičemž projektová dokum</w:t>
      </w:r>
      <w:r w:rsidR="00D642D5">
        <w:rPr>
          <w:rFonts w:cs="Arial"/>
          <w:sz w:val="22"/>
          <w:szCs w:val="22"/>
        </w:rPr>
        <w:t>entace nebo otázky efektivity a </w:t>
      </w:r>
      <w:r w:rsidRPr="00F929C3">
        <w:rPr>
          <w:rFonts w:cs="Arial"/>
          <w:sz w:val="22"/>
          <w:szCs w:val="22"/>
        </w:rPr>
        <w:t>hospodárnosti nebyly posuzovány</w:t>
      </w:r>
      <w:r w:rsidR="006D1CC1" w:rsidRPr="00F929C3">
        <w:rPr>
          <w:rFonts w:cs="Arial"/>
          <w:sz w:val="22"/>
          <w:szCs w:val="22"/>
        </w:rPr>
        <w:t>)</w:t>
      </w:r>
      <w:r w:rsidRPr="00F929C3">
        <w:rPr>
          <w:rFonts w:cs="Arial"/>
          <w:sz w:val="22"/>
          <w:szCs w:val="22"/>
        </w:rPr>
        <w:t xml:space="preserve">. </w:t>
      </w:r>
    </w:p>
    <w:p w:rsidR="007561CC" w:rsidRDefault="007561CC" w:rsidP="00A05DD3">
      <w:pPr>
        <w:jc w:val="both"/>
        <w:rPr>
          <w:rFonts w:cs="Arial"/>
          <w:sz w:val="22"/>
          <w:szCs w:val="22"/>
        </w:rPr>
      </w:pPr>
    </w:p>
    <w:p w:rsidR="009801C9" w:rsidRDefault="00861C9F" w:rsidP="00A05DD3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3.</w:t>
      </w:r>
      <w:r w:rsidR="00A05690">
        <w:rPr>
          <w:rFonts w:cs="Arial"/>
          <w:b/>
          <w:sz w:val="22"/>
          <w:szCs w:val="22"/>
        </w:rPr>
        <w:t xml:space="preserve"> </w:t>
      </w:r>
      <w:r w:rsidR="009868A7">
        <w:rPr>
          <w:rFonts w:cs="Arial"/>
          <w:b/>
          <w:sz w:val="22"/>
          <w:szCs w:val="22"/>
        </w:rPr>
        <w:t>Příprava výstavby</w:t>
      </w:r>
      <w:r w:rsidR="00A05690">
        <w:rPr>
          <w:rFonts w:cs="Arial"/>
          <w:b/>
          <w:sz w:val="22"/>
          <w:szCs w:val="22"/>
        </w:rPr>
        <w:t xml:space="preserve"> dálnic a rychlostních komunikací</w:t>
      </w:r>
    </w:p>
    <w:p w:rsidR="00F0086F" w:rsidRDefault="00F0086F" w:rsidP="001671F8">
      <w:pPr>
        <w:jc w:val="both"/>
        <w:rPr>
          <w:rFonts w:cs="Arial"/>
          <w:sz w:val="22"/>
          <w:szCs w:val="22"/>
        </w:rPr>
      </w:pPr>
    </w:p>
    <w:p w:rsidR="009868A7" w:rsidRDefault="00BF6099" w:rsidP="001671F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Doba výstavby akcí</w:t>
      </w:r>
      <w:r w:rsidR="00951EAE">
        <w:rPr>
          <w:rFonts w:cs="Arial"/>
          <w:sz w:val="22"/>
          <w:szCs w:val="22"/>
        </w:rPr>
        <w:t xml:space="preserve"> na</w:t>
      </w:r>
      <w:r>
        <w:rPr>
          <w:rFonts w:cs="Arial"/>
          <w:sz w:val="22"/>
          <w:szCs w:val="22"/>
        </w:rPr>
        <w:t xml:space="preserve"> D a R od schválení investičního záměru</w:t>
      </w:r>
      <w:r w:rsidR="00695D02">
        <w:rPr>
          <w:rFonts w:cs="Arial"/>
          <w:sz w:val="22"/>
          <w:szCs w:val="22"/>
        </w:rPr>
        <w:t xml:space="preserve"> nebo zadání vypracování dokumentace pro územní </w:t>
      </w:r>
      <w:r w:rsidR="00257267">
        <w:rPr>
          <w:rFonts w:cs="Arial"/>
          <w:sz w:val="22"/>
          <w:szCs w:val="22"/>
        </w:rPr>
        <w:t>rozhodnutí</w:t>
      </w:r>
      <w:r w:rsidR="00695D02">
        <w:rPr>
          <w:rStyle w:val="Znakapoznpodarou"/>
          <w:rFonts w:cs="Arial"/>
          <w:sz w:val="22"/>
          <w:szCs w:val="22"/>
        </w:rPr>
        <w:footnoteReference w:id="22"/>
      </w:r>
      <w:r w:rsidR="00695D02">
        <w:rPr>
          <w:rFonts w:cs="Arial"/>
          <w:sz w:val="22"/>
          <w:szCs w:val="22"/>
        </w:rPr>
        <w:t xml:space="preserve"> d</w:t>
      </w:r>
      <w:r>
        <w:rPr>
          <w:rFonts w:cs="Arial"/>
          <w:sz w:val="22"/>
          <w:szCs w:val="22"/>
        </w:rPr>
        <w:t>o ukončení realizace byla</w:t>
      </w:r>
      <w:r w:rsidR="00695D02">
        <w:rPr>
          <w:rFonts w:cs="Arial"/>
          <w:sz w:val="22"/>
          <w:szCs w:val="22"/>
        </w:rPr>
        <w:t xml:space="preserve"> nebo bude</w:t>
      </w:r>
      <w:r w:rsidR="00C967D1">
        <w:rPr>
          <w:rFonts w:cs="Arial"/>
          <w:sz w:val="22"/>
          <w:szCs w:val="22"/>
        </w:rPr>
        <w:t xml:space="preserve"> (</w:t>
      </w:r>
      <w:r w:rsidR="00951EAE">
        <w:rPr>
          <w:rFonts w:cs="Arial"/>
          <w:sz w:val="22"/>
          <w:szCs w:val="22"/>
        </w:rPr>
        <w:t xml:space="preserve">u nedokončených akcí </w:t>
      </w:r>
      <w:r w:rsidR="007615AC">
        <w:rPr>
          <w:rFonts w:cs="Arial"/>
          <w:sz w:val="22"/>
          <w:szCs w:val="22"/>
        </w:rPr>
        <w:t>podle stavu v přípravě nebo realizaci</w:t>
      </w:r>
      <w:r w:rsidR="00C967D1">
        <w:rPr>
          <w:rFonts w:cs="Arial"/>
          <w:sz w:val="22"/>
          <w:szCs w:val="22"/>
        </w:rPr>
        <w:t>)</w:t>
      </w:r>
      <w:r w:rsidR="00695D02">
        <w:rPr>
          <w:rFonts w:cs="Arial"/>
          <w:sz w:val="22"/>
          <w:szCs w:val="22"/>
        </w:rPr>
        <w:t xml:space="preserve"> v porovnání s předpokládanou dobou</w:t>
      </w:r>
      <w:r>
        <w:rPr>
          <w:rFonts w:cs="Arial"/>
          <w:sz w:val="22"/>
          <w:szCs w:val="22"/>
        </w:rPr>
        <w:t xml:space="preserve"> neúměrně dlouhá. Pohybovala se</w:t>
      </w:r>
      <w:r w:rsidR="00695D02">
        <w:rPr>
          <w:rFonts w:cs="Arial"/>
          <w:sz w:val="22"/>
          <w:szCs w:val="22"/>
        </w:rPr>
        <w:t xml:space="preserve"> </w:t>
      </w:r>
      <w:r w:rsidR="009868A7">
        <w:rPr>
          <w:rFonts w:cs="Arial"/>
          <w:sz w:val="22"/>
          <w:szCs w:val="22"/>
        </w:rPr>
        <w:t>nejčastěji kolem</w:t>
      </w:r>
      <w:r>
        <w:rPr>
          <w:rFonts w:cs="Arial"/>
          <w:sz w:val="22"/>
          <w:szCs w:val="22"/>
        </w:rPr>
        <w:t xml:space="preserve"> </w:t>
      </w:r>
      <w:r w:rsidR="006C3DC4" w:rsidRPr="006C3DC4">
        <w:rPr>
          <w:rFonts w:cs="Arial"/>
          <w:sz w:val="22"/>
          <w:szCs w:val="22"/>
        </w:rPr>
        <w:t>12</w:t>
      </w:r>
      <w:r w:rsidR="006C3DC4">
        <w:rPr>
          <w:rFonts w:cs="Arial"/>
          <w:color w:val="FF0000"/>
          <w:sz w:val="22"/>
          <w:szCs w:val="22"/>
        </w:rPr>
        <w:t xml:space="preserve"> </w:t>
      </w:r>
      <w:r w:rsidR="007615AC">
        <w:rPr>
          <w:rFonts w:cs="Arial"/>
          <w:sz w:val="22"/>
          <w:szCs w:val="22"/>
        </w:rPr>
        <w:t>let.</w:t>
      </w:r>
      <w:r>
        <w:rPr>
          <w:rFonts w:cs="Arial"/>
          <w:sz w:val="22"/>
          <w:szCs w:val="22"/>
        </w:rPr>
        <w:t xml:space="preserve"> </w:t>
      </w:r>
      <w:r w:rsidR="00695D02" w:rsidRPr="00CA301C">
        <w:rPr>
          <w:rFonts w:cs="Arial"/>
          <w:b/>
          <w:sz w:val="22"/>
          <w:szCs w:val="22"/>
        </w:rPr>
        <w:t>K časovým skluzům docházelo předevš</w:t>
      </w:r>
      <w:r w:rsidR="00CA301C" w:rsidRPr="00CA301C">
        <w:rPr>
          <w:rFonts w:cs="Arial"/>
          <w:b/>
          <w:sz w:val="22"/>
          <w:szCs w:val="22"/>
        </w:rPr>
        <w:t>ím v</w:t>
      </w:r>
      <w:r w:rsidR="009868A7">
        <w:rPr>
          <w:rFonts w:cs="Arial"/>
          <w:b/>
          <w:sz w:val="22"/>
          <w:szCs w:val="22"/>
        </w:rPr>
        <w:t xml:space="preserve"> činnostech</w:t>
      </w:r>
      <w:r w:rsidR="00E93F20">
        <w:rPr>
          <w:rFonts w:cs="Arial"/>
          <w:b/>
          <w:sz w:val="22"/>
          <w:szCs w:val="22"/>
        </w:rPr>
        <w:t xml:space="preserve"> </w:t>
      </w:r>
      <w:r w:rsidR="009868A7">
        <w:rPr>
          <w:rFonts w:cs="Arial"/>
          <w:b/>
          <w:sz w:val="22"/>
          <w:szCs w:val="22"/>
        </w:rPr>
        <w:t xml:space="preserve">souvisejících </w:t>
      </w:r>
      <w:r w:rsidR="00CA301C" w:rsidRPr="00CA301C">
        <w:rPr>
          <w:rFonts w:cs="Arial"/>
          <w:b/>
          <w:sz w:val="22"/>
          <w:szCs w:val="22"/>
        </w:rPr>
        <w:t>s</w:t>
      </w:r>
      <w:r w:rsidR="001A5628">
        <w:rPr>
          <w:rFonts w:cs="Arial"/>
          <w:sz w:val="22"/>
          <w:szCs w:val="22"/>
        </w:rPr>
        <w:t> </w:t>
      </w:r>
      <w:r w:rsidR="00CA301C" w:rsidRPr="00CA301C">
        <w:rPr>
          <w:rFonts w:cs="Arial"/>
          <w:b/>
          <w:sz w:val="22"/>
          <w:szCs w:val="22"/>
        </w:rPr>
        <w:t>územní</w:t>
      </w:r>
      <w:r w:rsidR="00CA301C">
        <w:rPr>
          <w:rFonts w:cs="Arial"/>
          <w:b/>
          <w:sz w:val="22"/>
          <w:szCs w:val="22"/>
        </w:rPr>
        <w:t>mi a stavebními řízeními</w:t>
      </w:r>
      <w:r w:rsidR="00B41527" w:rsidRPr="00F46AC8">
        <w:rPr>
          <w:rFonts w:cs="Arial"/>
          <w:b/>
          <w:sz w:val="22"/>
          <w:szCs w:val="22"/>
        </w:rPr>
        <w:t>.</w:t>
      </w:r>
      <w:r w:rsidR="0010304D">
        <w:rPr>
          <w:rFonts w:cs="Arial"/>
          <w:sz w:val="22"/>
          <w:szCs w:val="22"/>
        </w:rPr>
        <w:t xml:space="preserve"> Vznikaly problémy s návazností na dokončené související úseky.</w:t>
      </w:r>
      <w:r w:rsidR="00B41527">
        <w:rPr>
          <w:rFonts w:cs="Arial"/>
          <w:sz w:val="22"/>
          <w:szCs w:val="22"/>
        </w:rPr>
        <w:t xml:space="preserve"> </w:t>
      </w:r>
      <w:r w:rsidR="009868A7">
        <w:rPr>
          <w:rFonts w:cs="Arial"/>
          <w:sz w:val="22"/>
          <w:szCs w:val="22"/>
        </w:rPr>
        <w:t>Z důvod</w:t>
      </w:r>
      <w:r w:rsidR="00A60865">
        <w:rPr>
          <w:rFonts w:cs="Arial"/>
          <w:sz w:val="22"/>
          <w:szCs w:val="22"/>
        </w:rPr>
        <w:t>u</w:t>
      </w:r>
      <w:r w:rsidR="009868A7">
        <w:rPr>
          <w:rFonts w:cs="Arial"/>
          <w:sz w:val="22"/>
          <w:szCs w:val="22"/>
        </w:rPr>
        <w:t xml:space="preserve"> protahující se </w:t>
      </w:r>
      <w:r w:rsidR="009868A7">
        <w:rPr>
          <w:rFonts w:cs="Arial"/>
          <w:sz w:val="22"/>
          <w:szCs w:val="22"/>
        </w:rPr>
        <w:lastRenderedPageBreak/>
        <w:t>doby přípravy</w:t>
      </w:r>
      <w:r w:rsidR="00D37ADD">
        <w:rPr>
          <w:rFonts w:cs="Arial"/>
          <w:sz w:val="22"/>
          <w:szCs w:val="22"/>
        </w:rPr>
        <w:t xml:space="preserve"> musely být s náklady </w:t>
      </w:r>
      <w:r w:rsidR="00A60865">
        <w:rPr>
          <w:rFonts w:cs="Arial"/>
          <w:sz w:val="22"/>
          <w:szCs w:val="22"/>
        </w:rPr>
        <w:t xml:space="preserve">dosahujícími </w:t>
      </w:r>
      <w:r w:rsidR="00D37ADD">
        <w:rPr>
          <w:rFonts w:cs="Arial"/>
          <w:sz w:val="22"/>
          <w:szCs w:val="22"/>
        </w:rPr>
        <w:t xml:space="preserve">řádově </w:t>
      </w:r>
      <w:r w:rsidR="00A60865">
        <w:rPr>
          <w:rFonts w:cs="Arial"/>
          <w:sz w:val="22"/>
          <w:szCs w:val="22"/>
        </w:rPr>
        <w:t>desítek</w:t>
      </w:r>
      <w:r w:rsidR="00D37ADD">
        <w:rPr>
          <w:rFonts w:cs="Arial"/>
          <w:sz w:val="22"/>
          <w:szCs w:val="22"/>
        </w:rPr>
        <w:t xml:space="preserve"> mil. Kč aktualizovány </w:t>
      </w:r>
      <w:r w:rsidR="00A60865">
        <w:rPr>
          <w:rFonts w:cs="Arial"/>
          <w:sz w:val="22"/>
          <w:szCs w:val="22"/>
        </w:rPr>
        <w:t>i </w:t>
      </w:r>
      <w:r w:rsidR="00D37ADD">
        <w:rPr>
          <w:rFonts w:cs="Arial"/>
          <w:sz w:val="22"/>
          <w:szCs w:val="22"/>
        </w:rPr>
        <w:t>příslušné dokumentace.</w:t>
      </w:r>
    </w:p>
    <w:p w:rsidR="00D24AC0" w:rsidRDefault="00D24AC0" w:rsidP="001671F8">
      <w:pPr>
        <w:jc w:val="both"/>
        <w:rPr>
          <w:rFonts w:cs="Arial"/>
          <w:sz w:val="22"/>
          <w:szCs w:val="22"/>
        </w:rPr>
      </w:pPr>
    </w:p>
    <w:p w:rsidR="0011376D" w:rsidRPr="00CA301C" w:rsidRDefault="0011376D" w:rsidP="0011376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Od listopadu 2009 je účinný zákon č. 416/2009 Sb., </w:t>
      </w:r>
      <w:r w:rsidRPr="00F46AC8">
        <w:rPr>
          <w:rFonts w:cs="Arial"/>
          <w:sz w:val="22"/>
          <w:szCs w:val="22"/>
        </w:rPr>
        <w:t>o urychlení výstavby dopravní</w:t>
      </w:r>
      <w:r w:rsidR="00A60865">
        <w:rPr>
          <w:rFonts w:cs="Arial"/>
          <w:sz w:val="22"/>
          <w:szCs w:val="22"/>
        </w:rPr>
        <w:t>, vodní a energetické</w:t>
      </w:r>
      <w:r w:rsidRPr="00F46AC8">
        <w:rPr>
          <w:rFonts w:cs="Arial"/>
          <w:sz w:val="22"/>
          <w:szCs w:val="22"/>
        </w:rPr>
        <w:t xml:space="preserve"> infrastruktury</w:t>
      </w:r>
      <w:r>
        <w:rPr>
          <w:rFonts w:cs="Arial"/>
          <w:sz w:val="22"/>
          <w:szCs w:val="22"/>
        </w:rPr>
        <w:t>. V důvodové zprávě k tomuto zákonu bylo uvedeno: „</w:t>
      </w:r>
      <w:r w:rsidRPr="00F46AC8">
        <w:rPr>
          <w:rFonts w:cs="Arial"/>
          <w:i/>
          <w:sz w:val="22"/>
          <w:szCs w:val="22"/>
        </w:rPr>
        <w:t xml:space="preserve">Veřejný zájem spočívá nejen na výstavbě veřejně prospěšné vybrané infrastruktury, ale ve </w:t>
      </w:r>
      <w:r w:rsidR="00AE3A56" w:rsidRPr="00F46AC8">
        <w:rPr>
          <w:rFonts w:cs="Arial"/>
          <w:i/>
          <w:sz w:val="22"/>
          <w:szCs w:val="22"/>
        </w:rPr>
        <w:t>veřejném zájmu je i </w:t>
      </w:r>
      <w:r w:rsidRPr="00F46AC8">
        <w:rPr>
          <w:rFonts w:cs="Arial"/>
          <w:i/>
          <w:sz w:val="22"/>
          <w:szCs w:val="22"/>
        </w:rPr>
        <w:t>urychlení její realizace a zabránění případnému zbytečnému či dokonce záměrnému prodlužování přípravy její výstavby, které zvyšuje i nároky na veřejné rozpočty. Účelem návrhu zákona je umožnit v této souvislosti zjednodušení a urychlení jednání o majetkoprávním vypořádání s vlastníky nemovitostí dotčených výstavbou, jakož i racionalizací příslušných správních řízení, při maximálním zachování oprávněných zájmů vlastníků dotčených nemovitostí i třetích osob</w:t>
      </w:r>
      <w:r w:rsidR="00E93F20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“ </w:t>
      </w:r>
      <w:r w:rsidRPr="0011376D">
        <w:rPr>
          <w:rFonts w:cs="Arial"/>
          <w:b/>
          <w:sz w:val="22"/>
          <w:szCs w:val="22"/>
        </w:rPr>
        <w:t xml:space="preserve">Zjištění </w:t>
      </w:r>
      <w:r w:rsidR="00A67A2B">
        <w:rPr>
          <w:rFonts w:cs="Arial"/>
          <w:b/>
          <w:sz w:val="22"/>
          <w:szCs w:val="22"/>
        </w:rPr>
        <w:t>z této kontrolní akce</w:t>
      </w:r>
      <w:r w:rsidRPr="0011376D">
        <w:rPr>
          <w:rFonts w:cs="Arial"/>
          <w:b/>
          <w:sz w:val="22"/>
          <w:szCs w:val="22"/>
        </w:rPr>
        <w:t xml:space="preserve"> ukázala, že efekt</w:t>
      </w:r>
      <w:r>
        <w:rPr>
          <w:rFonts w:cs="Arial"/>
          <w:b/>
          <w:sz w:val="22"/>
          <w:szCs w:val="22"/>
        </w:rPr>
        <w:t xml:space="preserve"> tohoto zákona</w:t>
      </w:r>
      <w:r w:rsidRPr="0011376D">
        <w:rPr>
          <w:rFonts w:cs="Arial"/>
          <w:b/>
          <w:sz w:val="22"/>
          <w:szCs w:val="22"/>
        </w:rPr>
        <w:t xml:space="preserve"> </w:t>
      </w:r>
      <w:r w:rsidR="007615AC">
        <w:rPr>
          <w:rFonts w:cs="Arial"/>
          <w:b/>
          <w:sz w:val="22"/>
          <w:szCs w:val="22"/>
        </w:rPr>
        <w:t>se v</w:t>
      </w:r>
      <w:r w:rsidRPr="0011376D">
        <w:rPr>
          <w:rFonts w:cs="Arial"/>
          <w:b/>
          <w:sz w:val="22"/>
          <w:szCs w:val="22"/>
        </w:rPr>
        <w:t xml:space="preserve"> urychlení výstavby D a R neprojevil</w:t>
      </w:r>
      <w:r w:rsidRPr="00F46AC8">
        <w:rPr>
          <w:rFonts w:cs="Arial"/>
          <w:b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:rsidR="0011376D" w:rsidRDefault="0011376D" w:rsidP="001671F8">
      <w:pPr>
        <w:jc w:val="both"/>
        <w:rPr>
          <w:rFonts w:cs="Arial"/>
          <w:sz w:val="22"/>
          <w:szCs w:val="22"/>
        </w:rPr>
      </w:pPr>
    </w:p>
    <w:p w:rsidR="005A39D0" w:rsidRDefault="005A39D0" w:rsidP="001671F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 rámci podrobně kontrolovaných 29 akcí byly identifikovány především tyto problémy, které </w:t>
      </w:r>
      <w:r w:rsidR="00AB6A9C">
        <w:rPr>
          <w:rFonts w:cs="Arial"/>
          <w:sz w:val="22"/>
          <w:szCs w:val="22"/>
        </w:rPr>
        <w:t xml:space="preserve">prodlužovaly </w:t>
      </w:r>
      <w:r>
        <w:rPr>
          <w:rFonts w:cs="Arial"/>
          <w:sz w:val="22"/>
          <w:szCs w:val="22"/>
        </w:rPr>
        <w:t>délku územních a stavebních řízení:</w:t>
      </w:r>
    </w:p>
    <w:p w:rsidR="005A39D0" w:rsidRDefault="005A39D0" w:rsidP="001671F8">
      <w:pPr>
        <w:jc w:val="both"/>
        <w:rPr>
          <w:rFonts w:cs="Arial"/>
          <w:sz w:val="22"/>
          <w:szCs w:val="22"/>
        </w:rPr>
      </w:pPr>
    </w:p>
    <w:p w:rsidR="00160F69" w:rsidRDefault="00D37ADD" w:rsidP="001671F8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3.1</w:t>
      </w:r>
      <w:r w:rsidR="005A39D0">
        <w:rPr>
          <w:rFonts w:cs="Arial"/>
          <w:b/>
          <w:sz w:val="22"/>
          <w:szCs w:val="22"/>
        </w:rPr>
        <w:t xml:space="preserve"> </w:t>
      </w:r>
      <w:r w:rsidR="006D1CC1">
        <w:rPr>
          <w:rFonts w:cs="Arial"/>
          <w:b/>
          <w:sz w:val="22"/>
          <w:szCs w:val="22"/>
        </w:rPr>
        <w:t>P</w:t>
      </w:r>
      <w:r w:rsidR="006D1CC1" w:rsidRPr="006B4CBD">
        <w:rPr>
          <w:rFonts w:cs="Arial"/>
          <w:b/>
          <w:sz w:val="22"/>
          <w:szCs w:val="22"/>
        </w:rPr>
        <w:t>řetrváva</w:t>
      </w:r>
      <w:r w:rsidR="00E93F20">
        <w:rPr>
          <w:rFonts w:cs="Arial"/>
          <w:b/>
          <w:sz w:val="22"/>
          <w:szCs w:val="22"/>
        </w:rPr>
        <w:t>ly</w:t>
      </w:r>
      <w:r w:rsidR="006D1CC1" w:rsidRPr="006B4CBD">
        <w:rPr>
          <w:rFonts w:cs="Arial"/>
          <w:b/>
          <w:sz w:val="22"/>
          <w:szCs w:val="22"/>
        </w:rPr>
        <w:t xml:space="preserve"> problémy ve vymezení </w:t>
      </w:r>
      <w:r w:rsidR="006D1CC1">
        <w:rPr>
          <w:rFonts w:cs="Arial"/>
          <w:b/>
          <w:sz w:val="22"/>
          <w:szCs w:val="22"/>
        </w:rPr>
        <w:t>vedení tras dopravních staveb příslušnými územími</w:t>
      </w:r>
      <w:r w:rsidR="006D1CC1" w:rsidRPr="00F46AC8">
        <w:rPr>
          <w:rFonts w:cs="Arial"/>
          <w:b/>
          <w:sz w:val="22"/>
          <w:szCs w:val="22"/>
        </w:rPr>
        <w:t>.</w:t>
      </w:r>
      <w:r w:rsidR="006D1CC1">
        <w:rPr>
          <w:rFonts w:cs="Arial"/>
          <w:sz w:val="22"/>
          <w:szCs w:val="22"/>
        </w:rPr>
        <w:t xml:space="preserve"> Konkrétní nástroje územního plánování vymezuje s</w:t>
      </w:r>
      <w:r w:rsidR="00D861CD">
        <w:rPr>
          <w:rFonts w:cs="Arial"/>
          <w:sz w:val="22"/>
          <w:szCs w:val="22"/>
        </w:rPr>
        <w:t>tavební zákon</w:t>
      </w:r>
      <w:r w:rsidR="00D861CD">
        <w:rPr>
          <w:rStyle w:val="Znakapoznpodarou"/>
          <w:rFonts w:cs="Arial"/>
          <w:sz w:val="22"/>
          <w:szCs w:val="22"/>
        </w:rPr>
        <w:footnoteReference w:id="23"/>
      </w:r>
      <w:r w:rsidR="00933300">
        <w:rPr>
          <w:rFonts w:cs="Arial"/>
          <w:sz w:val="22"/>
          <w:szCs w:val="22"/>
        </w:rPr>
        <w:t xml:space="preserve"> (účinný</w:t>
      </w:r>
      <w:r w:rsidR="00D861CD">
        <w:rPr>
          <w:rFonts w:cs="Arial"/>
          <w:sz w:val="22"/>
          <w:szCs w:val="22"/>
        </w:rPr>
        <w:t xml:space="preserve"> </w:t>
      </w:r>
      <w:r w:rsidR="006D1CC1">
        <w:rPr>
          <w:rFonts w:cs="Arial"/>
          <w:sz w:val="22"/>
          <w:szCs w:val="22"/>
        </w:rPr>
        <w:t>od 1. </w:t>
      </w:r>
      <w:r w:rsidR="00AE3A56">
        <w:rPr>
          <w:rFonts w:cs="Arial"/>
          <w:sz w:val="22"/>
          <w:szCs w:val="22"/>
        </w:rPr>
        <w:t>ledna</w:t>
      </w:r>
      <w:r w:rsidR="006B4CBD">
        <w:rPr>
          <w:rFonts w:cs="Arial"/>
          <w:sz w:val="22"/>
          <w:szCs w:val="22"/>
        </w:rPr>
        <w:t xml:space="preserve"> 2007</w:t>
      </w:r>
      <w:r w:rsidR="00933300">
        <w:rPr>
          <w:rFonts w:cs="Arial"/>
          <w:sz w:val="22"/>
          <w:szCs w:val="22"/>
        </w:rPr>
        <w:t>)</w:t>
      </w:r>
      <w:r w:rsidR="006D1CC1">
        <w:rPr>
          <w:rFonts w:cs="Arial"/>
          <w:sz w:val="22"/>
          <w:szCs w:val="22"/>
        </w:rPr>
        <w:t xml:space="preserve">. </w:t>
      </w:r>
      <w:r w:rsidR="00E83082">
        <w:rPr>
          <w:rFonts w:cs="Arial"/>
          <w:sz w:val="22"/>
          <w:szCs w:val="22"/>
        </w:rPr>
        <w:t>Vymezení k</w:t>
      </w:r>
      <w:r w:rsidR="00076806">
        <w:rPr>
          <w:rFonts w:cs="Arial"/>
          <w:sz w:val="22"/>
          <w:szCs w:val="22"/>
        </w:rPr>
        <w:t xml:space="preserve">oridorů dopravní infrastruktury </w:t>
      </w:r>
      <w:r w:rsidR="00E83082">
        <w:rPr>
          <w:rFonts w:cs="Arial"/>
          <w:sz w:val="22"/>
          <w:szCs w:val="22"/>
        </w:rPr>
        <w:t>má být podle stavebního zákona</w:t>
      </w:r>
      <w:r w:rsidR="00076806">
        <w:rPr>
          <w:rFonts w:cs="Arial"/>
          <w:sz w:val="22"/>
          <w:szCs w:val="22"/>
        </w:rPr>
        <w:t xml:space="preserve"> </w:t>
      </w:r>
      <w:r w:rsidR="00E83082">
        <w:rPr>
          <w:rFonts w:cs="Arial"/>
          <w:sz w:val="22"/>
          <w:szCs w:val="22"/>
        </w:rPr>
        <w:t>obsahem p</w:t>
      </w:r>
      <w:r w:rsidR="00E83082" w:rsidRPr="00E83082">
        <w:rPr>
          <w:rFonts w:cs="Arial"/>
          <w:sz w:val="22"/>
          <w:szCs w:val="22"/>
        </w:rPr>
        <w:t>olitiky</w:t>
      </w:r>
      <w:r w:rsidR="00076806" w:rsidRPr="00E83082">
        <w:rPr>
          <w:rFonts w:cs="Arial"/>
          <w:sz w:val="22"/>
          <w:szCs w:val="22"/>
        </w:rPr>
        <w:t xml:space="preserve"> územního rozvoje</w:t>
      </w:r>
      <w:r w:rsidR="00076806">
        <w:rPr>
          <w:rStyle w:val="Znakapoznpodarou"/>
          <w:rFonts w:cs="Arial"/>
          <w:sz w:val="22"/>
          <w:szCs w:val="22"/>
        </w:rPr>
        <w:footnoteReference w:id="24"/>
      </w:r>
      <w:r w:rsidR="006B6130">
        <w:rPr>
          <w:rFonts w:cs="Arial"/>
          <w:sz w:val="22"/>
          <w:szCs w:val="22"/>
        </w:rPr>
        <w:t>. Na ú</w:t>
      </w:r>
      <w:r w:rsidR="00933300">
        <w:rPr>
          <w:rFonts w:cs="Arial"/>
          <w:sz w:val="22"/>
          <w:szCs w:val="22"/>
        </w:rPr>
        <w:t>rovni krajů</w:t>
      </w:r>
      <w:r w:rsidR="006B6130">
        <w:rPr>
          <w:rFonts w:cs="Arial"/>
          <w:sz w:val="22"/>
          <w:szCs w:val="22"/>
        </w:rPr>
        <w:t xml:space="preserve"> má být politika územního rozvoje </w:t>
      </w:r>
      <w:r w:rsidR="00E83082">
        <w:rPr>
          <w:rFonts w:cs="Arial"/>
          <w:sz w:val="22"/>
          <w:szCs w:val="22"/>
        </w:rPr>
        <w:t>zpřesněna a rozvinuta v zásadách</w:t>
      </w:r>
      <w:r w:rsidR="00933300" w:rsidRPr="00A63AD2">
        <w:rPr>
          <w:rFonts w:cs="Arial"/>
          <w:sz w:val="22"/>
          <w:szCs w:val="22"/>
        </w:rPr>
        <w:t xml:space="preserve"> územního rozvoje</w:t>
      </w:r>
      <w:r w:rsidR="00E83082">
        <w:rPr>
          <w:rFonts w:cs="Arial"/>
          <w:sz w:val="22"/>
          <w:szCs w:val="22"/>
        </w:rPr>
        <w:t>. J</w:t>
      </w:r>
      <w:r w:rsidR="00933300">
        <w:rPr>
          <w:rFonts w:cs="Arial"/>
          <w:sz w:val="22"/>
          <w:szCs w:val="22"/>
        </w:rPr>
        <w:t>ejich pořízení bylo stavebním zákonem odsunuto z původních tří na p</w:t>
      </w:r>
      <w:r w:rsidR="00F03025">
        <w:rPr>
          <w:rFonts w:cs="Arial"/>
          <w:sz w:val="22"/>
          <w:szCs w:val="22"/>
        </w:rPr>
        <w:t>ět let od nabytí jeho účinnosti</w:t>
      </w:r>
      <w:r w:rsidR="00933300">
        <w:rPr>
          <w:rFonts w:cs="Arial"/>
          <w:sz w:val="22"/>
          <w:szCs w:val="22"/>
        </w:rPr>
        <w:t>.</w:t>
      </w:r>
      <w:r w:rsidR="00160F69">
        <w:rPr>
          <w:rFonts w:cs="Arial"/>
          <w:sz w:val="22"/>
          <w:szCs w:val="22"/>
        </w:rPr>
        <w:t xml:space="preserve"> </w:t>
      </w:r>
      <w:r w:rsidR="00F03025">
        <w:rPr>
          <w:rFonts w:cs="Arial"/>
          <w:sz w:val="22"/>
          <w:szCs w:val="22"/>
        </w:rPr>
        <w:t xml:space="preserve"> </w:t>
      </w:r>
    </w:p>
    <w:p w:rsidR="00160F69" w:rsidRDefault="00160F69" w:rsidP="001671F8">
      <w:pPr>
        <w:jc w:val="both"/>
        <w:rPr>
          <w:rFonts w:cs="Arial"/>
          <w:sz w:val="22"/>
          <w:szCs w:val="22"/>
        </w:rPr>
      </w:pPr>
    </w:p>
    <w:p w:rsidR="007B49FE" w:rsidRDefault="0010304D" w:rsidP="001671F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Územní řízení protahovalo </w:t>
      </w:r>
      <w:r w:rsidR="0073599E" w:rsidRPr="0010304D">
        <w:rPr>
          <w:rFonts w:cs="Arial"/>
          <w:sz w:val="22"/>
          <w:szCs w:val="22"/>
        </w:rPr>
        <w:t>nejednoznačné vymezení tras dopravních staveb v územně plánovací dokumentaci krajů a obcí</w:t>
      </w:r>
      <w:r w:rsidR="0073599E">
        <w:rPr>
          <w:rFonts w:cs="Arial"/>
          <w:sz w:val="22"/>
          <w:szCs w:val="22"/>
        </w:rPr>
        <w:t>.</w:t>
      </w:r>
      <w:r w:rsidR="0073599E" w:rsidRPr="00E93F20">
        <w:rPr>
          <w:rFonts w:cs="Arial"/>
          <w:sz w:val="22"/>
          <w:szCs w:val="22"/>
        </w:rPr>
        <w:t xml:space="preserve"> </w:t>
      </w:r>
      <w:r w:rsidR="00995C8D">
        <w:rPr>
          <w:rFonts w:cs="Arial"/>
          <w:sz w:val="22"/>
          <w:szCs w:val="22"/>
        </w:rPr>
        <w:t>V některých případech</w:t>
      </w:r>
      <w:r w:rsidR="00A63AD2">
        <w:rPr>
          <w:rFonts w:cs="Arial"/>
          <w:sz w:val="22"/>
          <w:szCs w:val="22"/>
        </w:rPr>
        <w:t xml:space="preserve"> nebyly zásady územního rozvoje platné nebo obce neměly schválené územní plány. </w:t>
      </w:r>
      <w:r w:rsidR="00995C8D">
        <w:rPr>
          <w:rFonts w:cs="Arial"/>
          <w:sz w:val="22"/>
          <w:szCs w:val="22"/>
        </w:rPr>
        <w:t xml:space="preserve">Problémem byly i změny územních plánů obcí a nesoulad vedení tras mezi obcemi. </w:t>
      </w:r>
      <w:r w:rsidR="00A63AD2">
        <w:rPr>
          <w:rFonts w:cs="Arial"/>
          <w:sz w:val="22"/>
          <w:szCs w:val="22"/>
        </w:rPr>
        <w:t>V průběhu územních řízení tak obce pr</w:t>
      </w:r>
      <w:r w:rsidR="006B6130">
        <w:rPr>
          <w:rFonts w:cs="Arial"/>
          <w:sz w:val="22"/>
          <w:szCs w:val="22"/>
        </w:rPr>
        <w:t>osazovaly i </w:t>
      </w:r>
      <w:r w:rsidR="007615AC">
        <w:rPr>
          <w:rFonts w:cs="Arial"/>
          <w:sz w:val="22"/>
          <w:szCs w:val="22"/>
        </w:rPr>
        <w:t>protichůdné zájmy a </w:t>
      </w:r>
      <w:r w:rsidR="00A63AD2">
        <w:rPr>
          <w:rFonts w:cs="Arial"/>
          <w:sz w:val="22"/>
          <w:szCs w:val="22"/>
        </w:rPr>
        <w:t>docházelo k úspěšnému napadání vydaných územních rozhodnutí.</w:t>
      </w:r>
      <w:r w:rsidR="0073599E">
        <w:rPr>
          <w:rFonts w:cs="Arial"/>
          <w:sz w:val="22"/>
          <w:szCs w:val="22"/>
        </w:rPr>
        <w:t xml:space="preserve"> </w:t>
      </w:r>
    </w:p>
    <w:p w:rsidR="007B49FE" w:rsidRDefault="007B49FE" w:rsidP="001671F8">
      <w:pPr>
        <w:jc w:val="both"/>
        <w:rPr>
          <w:rFonts w:cs="Arial"/>
          <w:sz w:val="22"/>
          <w:szCs w:val="22"/>
        </w:rPr>
      </w:pPr>
    </w:p>
    <w:p w:rsidR="001B2A38" w:rsidRPr="00FF3E46" w:rsidRDefault="007B49FE" w:rsidP="009D1AE6">
      <w:pPr>
        <w:ind w:left="284"/>
        <w:jc w:val="both"/>
        <w:rPr>
          <w:rFonts w:cs="Arial"/>
          <w:sz w:val="22"/>
          <w:szCs w:val="22"/>
        </w:rPr>
      </w:pPr>
      <w:r w:rsidRPr="00FF3E46">
        <w:rPr>
          <w:rFonts w:cs="Arial"/>
          <w:sz w:val="22"/>
          <w:szCs w:val="22"/>
        </w:rPr>
        <w:t>Například nejvýhodnější vedení trasy R35</w:t>
      </w:r>
      <w:r w:rsidR="007615AC" w:rsidRPr="00FF3E46">
        <w:rPr>
          <w:rFonts w:cs="Arial"/>
          <w:sz w:val="22"/>
          <w:szCs w:val="22"/>
        </w:rPr>
        <w:t xml:space="preserve"> v</w:t>
      </w:r>
      <w:r w:rsidRPr="00FF3E46">
        <w:rPr>
          <w:rFonts w:cs="Arial"/>
          <w:sz w:val="22"/>
          <w:szCs w:val="22"/>
        </w:rPr>
        <w:t xml:space="preserve"> úseku </w:t>
      </w:r>
      <w:proofErr w:type="spellStart"/>
      <w:proofErr w:type="gramStart"/>
      <w:r w:rsidRPr="00FF3E46">
        <w:rPr>
          <w:rFonts w:cs="Arial"/>
          <w:sz w:val="22"/>
          <w:szCs w:val="22"/>
        </w:rPr>
        <w:t>Křelov</w:t>
      </w:r>
      <w:proofErr w:type="spellEnd"/>
      <w:proofErr w:type="gramEnd"/>
      <w:r w:rsidRPr="00FF3E46">
        <w:rPr>
          <w:rFonts w:cs="Arial"/>
          <w:sz w:val="22"/>
          <w:szCs w:val="22"/>
        </w:rPr>
        <w:t>–</w:t>
      </w:r>
      <w:proofErr w:type="gramStart"/>
      <w:r w:rsidRPr="00FF3E46">
        <w:rPr>
          <w:rFonts w:cs="Arial"/>
          <w:sz w:val="22"/>
          <w:szCs w:val="22"/>
        </w:rPr>
        <w:t>Slavonín</w:t>
      </w:r>
      <w:proofErr w:type="gramEnd"/>
      <w:r w:rsidRPr="00FF3E46">
        <w:rPr>
          <w:rFonts w:cs="Arial"/>
          <w:sz w:val="22"/>
          <w:szCs w:val="22"/>
        </w:rPr>
        <w:t xml:space="preserve"> navrhlo ŘSD na základě multikriteriálního hodnocení</w:t>
      </w:r>
      <w:r w:rsidR="0010304D" w:rsidRPr="00FF3E46">
        <w:rPr>
          <w:rFonts w:cs="Arial"/>
          <w:sz w:val="22"/>
          <w:szCs w:val="22"/>
        </w:rPr>
        <w:t xml:space="preserve"> již</w:t>
      </w:r>
      <w:r w:rsidRPr="00FF3E46">
        <w:rPr>
          <w:rFonts w:cs="Arial"/>
          <w:sz w:val="22"/>
          <w:szCs w:val="22"/>
        </w:rPr>
        <w:t xml:space="preserve"> v roce 1993.</w:t>
      </w:r>
      <w:r w:rsidR="009D452F" w:rsidRPr="00FF3E46">
        <w:rPr>
          <w:rFonts w:cs="Arial"/>
          <w:sz w:val="22"/>
          <w:szCs w:val="22"/>
        </w:rPr>
        <w:t xml:space="preserve"> Stavební náklady měly podle dokumentace pro územní rozhodnutí z roku 1996 činit 683 mil. Kč.</w:t>
      </w:r>
      <w:r w:rsidR="00142073" w:rsidRPr="00FF3E46">
        <w:rPr>
          <w:rFonts w:cs="Arial"/>
          <w:sz w:val="22"/>
          <w:szCs w:val="22"/>
        </w:rPr>
        <w:t xml:space="preserve"> </w:t>
      </w:r>
      <w:r w:rsidR="00142073" w:rsidRPr="00FF3E46">
        <w:rPr>
          <w:rFonts w:cs="Arial"/>
          <w:b/>
          <w:sz w:val="22"/>
          <w:szCs w:val="22"/>
        </w:rPr>
        <w:t>S</w:t>
      </w:r>
      <w:r w:rsidR="009D452F" w:rsidRPr="00FF3E46">
        <w:rPr>
          <w:rFonts w:cs="Arial"/>
          <w:b/>
          <w:sz w:val="22"/>
          <w:szCs w:val="22"/>
        </w:rPr>
        <w:t> </w:t>
      </w:r>
      <w:r w:rsidR="00142073" w:rsidRPr="00FF3E46">
        <w:rPr>
          <w:rFonts w:cs="Arial"/>
          <w:b/>
          <w:sz w:val="22"/>
          <w:szCs w:val="22"/>
        </w:rPr>
        <w:t>návrhem</w:t>
      </w:r>
      <w:r w:rsidR="009D452F" w:rsidRPr="00FF3E46">
        <w:rPr>
          <w:rFonts w:cs="Arial"/>
          <w:b/>
          <w:sz w:val="22"/>
          <w:szCs w:val="22"/>
        </w:rPr>
        <w:t xml:space="preserve"> však</w:t>
      </w:r>
      <w:r w:rsidR="00142073" w:rsidRPr="00FF3E46">
        <w:rPr>
          <w:rFonts w:cs="Arial"/>
          <w:b/>
          <w:sz w:val="22"/>
          <w:szCs w:val="22"/>
        </w:rPr>
        <w:t xml:space="preserve"> nesouhlasila dotčená obec, která prosazovala jinou variantu vedení trasy, se kterou</w:t>
      </w:r>
      <w:r w:rsidR="007615AC" w:rsidRPr="00FF3E46">
        <w:rPr>
          <w:rFonts w:cs="Arial"/>
          <w:b/>
          <w:sz w:val="22"/>
          <w:szCs w:val="22"/>
        </w:rPr>
        <w:t xml:space="preserve"> zase</w:t>
      </w:r>
      <w:r w:rsidR="0010304D" w:rsidRPr="00FF3E46">
        <w:rPr>
          <w:rFonts w:cs="Arial"/>
          <w:b/>
          <w:sz w:val="22"/>
          <w:szCs w:val="22"/>
        </w:rPr>
        <w:t xml:space="preserve"> nesouhlasilo dotčené město</w:t>
      </w:r>
      <w:r w:rsidR="00142073" w:rsidRPr="00F46AC8">
        <w:rPr>
          <w:rFonts w:cs="Arial"/>
          <w:b/>
          <w:sz w:val="22"/>
          <w:szCs w:val="22"/>
        </w:rPr>
        <w:t>.</w:t>
      </w:r>
      <w:r w:rsidR="00142073" w:rsidRPr="00FF3E46">
        <w:rPr>
          <w:rFonts w:cs="Arial"/>
          <w:sz w:val="22"/>
          <w:szCs w:val="22"/>
        </w:rPr>
        <w:t xml:space="preserve"> </w:t>
      </w:r>
      <w:r w:rsidR="009D452F" w:rsidRPr="00FF3E46">
        <w:rPr>
          <w:rFonts w:cs="Arial"/>
          <w:sz w:val="22"/>
          <w:szCs w:val="22"/>
        </w:rPr>
        <w:t>ŘSD proto nechalo v</w:t>
      </w:r>
      <w:r w:rsidR="00142073" w:rsidRPr="00FF3E46">
        <w:rPr>
          <w:rFonts w:cs="Arial"/>
          <w:sz w:val="22"/>
          <w:szCs w:val="22"/>
        </w:rPr>
        <w:t> letech 1994 až 2007 vypracovat několik dalších ex</w:t>
      </w:r>
      <w:r w:rsidR="009D452F" w:rsidRPr="00FF3E46">
        <w:rPr>
          <w:rFonts w:cs="Arial"/>
          <w:sz w:val="22"/>
          <w:szCs w:val="22"/>
        </w:rPr>
        <w:t>pertních posouzení. V roce 2001</w:t>
      </w:r>
      <w:r w:rsidR="0010304D" w:rsidRPr="00FF3E46">
        <w:rPr>
          <w:rFonts w:cs="Arial"/>
          <w:sz w:val="22"/>
          <w:szCs w:val="22"/>
        </w:rPr>
        <w:t xml:space="preserve"> bylo z důvodu nedohody s obcí a městem</w:t>
      </w:r>
      <w:r w:rsidR="009D452F" w:rsidRPr="00FF3E46">
        <w:rPr>
          <w:rFonts w:cs="Arial"/>
          <w:sz w:val="22"/>
          <w:szCs w:val="22"/>
        </w:rPr>
        <w:t xml:space="preserve"> rozhodnuto</w:t>
      </w:r>
      <w:r w:rsidR="0010304D" w:rsidRPr="00FF3E46">
        <w:rPr>
          <w:rFonts w:cs="Arial"/>
          <w:sz w:val="22"/>
          <w:szCs w:val="22"/>
        </w:rPr>
        <w:t xml:space="preserve"> o rozdělení </w:t>
      </w:r>
      <w:r w:rsidR="00142073" w:rsidRPr="00FF3E46">
        <w:rPr>
          <w:rFonts w:cs="Arial"/>
          <w:sz w:val="22"/>
          <w:szCs w:val="22"/>
        </w:rPr>
        <w:t>stavby</w:t>
      </w:r>
      <w:r w:rsidR="0010304D" w:rsidRPr="00FF3E46">
        <w:rPr>
          <w:rFonts w:cs="Arial"/>
          <w:sz w:val="22"/>
          <w:szCs w:val="22"/>
        </w:rPr>
        <w:t xml:space="preserve"> na dva úseky</w:t>
      </w:r>
      <w:r w:rsidR="009D452F" w:rsidRPr="00FF3E46">
        <w:rPr>
          <w:rFonts w:cs="Arial"/>
          <w:sz w:val="22"/>
          <w:szCs w:val="22"/>
        </w:rPr>
        <w:t xml:space="preserve">. </w:t>
      </w:r>
      <w:r w:rsidR="009D452F" w:rsidRPr="00FF3E46">
        <w:rPr>
          <w:rFonts w:cs="Arial"/>
          <w:b/>
          <w:sz w:val="22"/>
          <w:szCs w:val="22"/>
        </w:rPr>
        <w:t>V</w:t>
      </w:r>
      <w:r w:rsidR="0010304D" w:rsidRPr="00FF3E46">
        <w:rPr>
          <w:rFonts w:cs="Arial"/>
          <w:b/>
          <w:sz w:val="22"/>
          <w:szCs w:val="22"/>
        </w:rPr>
        <w:t> </w:t>
      </w:r>
      <w:r w:rsidR="00142073" w:rsidRPr="00FF3E46">
        <w:rPr>
          <w:rFonts w:cs="Arial"/>
          <w:b/>
          <w:sz w:val="22"/>
          <w:szCs w:val="22"/>
        </w:rPr>
        <w:t>rámci</w:t>
      </w:r>
      <w:r w:rsidR="0010304D" w:rsidRPr="00FF3E46">
        <w:rPr>
          <w:rFonts w:cs="Arial"/>
          <w:b/>
          <w:sz w:val="22"/>
          <w:szCs w:val="22"/>
        </w:rPr>
        <w:t xml:space="preserve"> stavby</w:t>
      </w:r>
      <w:r w:rsidR="00142073" w:rsidRPr="00FF3E46">
        <w:rPr>
          <w:rFonts w:cs="Arial"/>
          <w:b/>
          <w:sz w:val="22"/>
          <w:szCs w:val="22"/>
        </w:rPr>
        <w:t xml:space="preserve"> první</w:t>
      </w:r>
      <w:r w:rsidR="0010304D" w:rsidRPr="00FF3E46">
        <w:rPr>
          <w:rFonts w:cs="Arial"/>
          <w:b/>
          <w:sz w:val="22"/>
          <w:szCs w:val="22"/>
        </w:rPr>
        <w:t xml:space="preserve">ho úseku </w:t>
      </w:r>
      <w:r w:rsidR="009D452F" w:rsidRPr="00FF3E46">
        <w:rPr>
          <w:rFonts w:cs="Arial"/>
          <w:b/>
          <w:sz w:val="22"/>
          <w:szCs w:val="22"/>
        </w:rPr>
        <w:t>muselo být</w:t>
      </w:r>
      <w:r w:rsidR="00142073" w:rsidRPr="00FF3E46">
        <w:rPr>
          <w:rFonts w:cs="Arial"/>
          <w:b/>
          <w:sz w:val="22"/>
          <w:szCs w:val="22"/>
        </w:rPr>
        <w:t xml:space="preserve"> s náklady 59,9 mil. Kč vybudováno provizorní napojení na </w:t>
      </w:r>
      <w:r w:rsidR="00F930B6" w:rsidRPr="00FF3E46">
        <w:rPr>
          <w:rFonts w:cs="Arial"/>
          <w:b/>
          <w:sz w:val="22"/>
          <w:szCs w:val="22"/>
        </w:rPr>
        <w:t>silnici I/35</w:t>
      </w:r>
      <w:r w:rsidR="00142073" w:rsidRPr="00F46AC8">
        <w:rPr>
          <w:rFonts w:cs="Arial"/>
          <w:b/>
          <w:sz w:val="22"/>
          <w:szCs w:val="22"/>
        </w:rPr>
        <w:t>.</w:t>
      </w:r>
      <w:r w:rsidR="00142073" w:rsidRPr="00FF3E46">
        <w:rPr>
          <w:rFonts w:cs="Arial"/>
          <w:sz w:val="22"/>
          <w:szCs w:val="22"/>
        </w:rPr>
        <w:t xml:space="preserve"> </w:t>
      </w:r>
      <w:r w:rsidR="00F930B6" w:rsidRPr="00FF3E46">
        <w:rPr>
          <w:rFonts w:cs="Arial"/>
          <w:sz w:val="22"/>
          <w:szCs w:val="22"/>
        </w:rPr>
        <w:t>Výstavbu zbylé části začalo ŘSD připravovat ve variantě s využitím návrhu dotčené obce. Tato</w:t>
      </w:r>
      <w:r w:rsidR="001B2A38" w:rsidRPr="00FF3E46">
        <w:rPr>
          <w:rFonts w:cs="Arial"/>
          <w:sz w:val="22"/>
          <w:szCs w:val="22"/>
        </w:rPr>
        <w:t xml:space="preserve"> </w:t>
      </w:r>
      <w:r w:rsidR="001B2A38" w:rsidRPr="00FF3E46">
        <w:rPr>
          <w:rFonts w:cs="Arial"/>
          <w:b/>
          <w:sz w:val="22"/>
          <w:szCs w:val="22"/>
        </w:rPr>
        <w:t>obec</w:t>
      </w:r>
      <w:r w:rsidR="00F930B6" w:rsidRPr="00FF3E46">
        <w:rPr>
          <w:rFonts w:cs="Arial"/>
          <w:b/>
          <w:sz w:val="22"/>
          <w:szCs w:val="22"/>
        </w:rPr>
        <w:t xml:space="preserve"> však v roce 200</w:t>
      </w:r>
      <w:r w:rsidR="004C0C18" w:rsidRPr="00FF3E46">
        <w:rPr>
          <w:rFonts w:cs="Arial"/>
          <w:b/>
          <w:sz w:val="22"/>
          <w:szCs w:val="22"/>
        </w:rPr>
        <w:t>8</w:t>
      </w:r>
      <w:r w:rsidR="00F930B6" w:rsidRPr="00FF3E46">
        <w:rPr>
          <w:rFonts w:cs="Arial"/>
          <w:b/>
          <w:sz w:val="22"/>
          <w:szCs w:val="22"/>
        </w:rPr>
        <w:t xml:space="preserve"> schválila</w:t>
      </w:r>
      <w:r w:rsidR="001B2A38" w:rsidRPr="00FF3E46">
        <w:rPr>
          <w:rFonts w:cs="Arial"/>
          <w:b/>
          <w:sz w:val="22"/>
          <w:szCs w:val="22"/>
        </w:rPr>
        <w:t xml:space="preserve"> územní plán s</w:t>
      </w:r>
      <w:r w:rsidR="00F930B6" w:rsidRPr="00FF3E46">
        <w:rPr>
          <w:rFonts w:cs="Arial"/>
          <w:b/>
          <w:sz w:val="22"/>
          <w:szCs w:val="22"/>
        </w:rPr>
        <w:t xml:space="preserve"> vedení</w:t>
      </w:r>
      <w:r w:rsidR="001B2A38" w:rsidRPr="00FF3E46">
        <w:rPr>
          <w:rFonts w:cs="Arial"/>
          <w:b/>
          <w:sz w:val="22"/>
          <w:szCs w:val="22"/>
        </w:rPr>
        <w:t>m</w:t>
      </w:r>
      <w:r w:rsidR="00F930B6" w:rsidRPr="00FF3E46">
        <w:rPr>
          <w:rFonts w:cs="Arial"/>
          <w:b/>
          <w:sz w:val="22"/>
          <w:szCs w:val="22"/>
        </w:rPr>
        <w:t xml:space="preserve"> trasy v původní variantě z roku 1993, kterou ŘSD akceptovalo.</w:t>
      </w:r>
      <w:r w:rsidR="001B2A38" w:rsidRPr="00FF3E46">
        <w:rPr>
          <w:rFonts w:cs="Arial"/>
          <w:sz w:val="22"/>
          <w:szCs w:val="22"/>
        </w:rPr>
        <w:t xml:space="preserve"> ŘSD předpokládá zpracování nové dokumentace pro územní rozhodnutí koncem roku 2013 a stavební náklady na realizaci druhé</w:t>
      </w:r>
      <w:r w:rsidR="0010304D" w:rsidRPr="00FF3E46">
        <w:rPr>
          <w:rFonts w:cs="Arial"/>
          <w:sz w:val="22"/>
          <w:szCs w:val="22"/>
        </w:rPr>
        <w:t xml:space="preserve">ho úseku </w:t>
      </w:r>
      <w:r w:rsidR="001B2A38" w:rsidRPr="00FF3E46">
        <w:rPr>
          <w:rFonts w:cs="Arial"/>
          <w:sz w:val="22"/>
          <w:szCs w:val="22"/>
        </w:rPr>
        <w:t>1 329 mil. Kč</w:t>
      </w:r>
      <w:r w:rsidR="004C0C18" w:rsidRPr="00FF3E46">
        <w:rPr>
          <w:rFonts w:cs="Arial"/>
          <w:sz w:val="22"/>
          <w:szCs w:val="22"/>
        </w:rPr>
        <w:t xml:space="preserve"> (na realizaci prvního úseku </w:t>
      </w:r>
      <w:r w:rsidR="00E93F20" w:rsidRPr="00FF3E46">
        <w:rPr>
          <w:rFonts w:cs="Arial"/>
          <w:sz w:val="22"/>
          <w:szCs w:val="22"/>
        </w:rPr>
        <w:t>činily</w:t>
      </w:r>
      <w:r w:rsidR="004C0C18" w:rsidRPr="00FF3E46">
        <w:rPr>
          <w:rFonts w:cs="Arial"/>
          <w:sz w:val="22"/>
          <w:szCs w:val="22"/>
        </w:rPr>
        <w:t xml:space="preserve"> náklady 776</w:t>
      </w:r>
      <w:r w:rsidR="00A60865">
        <w:rPr>
          <w:rFonts w:cs="Arial"/>
          <w:sz w:val="22"/>
          <w:szCs w:val="22"/>
        </w:rPr>
        <w:t> mil. </w:t>
      </w:r>
      <w:r w:rsidR="004C0C18" w:rsidRPr="00FF3E46">
        <w:rPr>
          <w:rFonts w:cs="Arial"/>
          <w:sz w:val="22"/>
          <w:szCs w:val="22"/>
        </w:rPr>
        <w:t>Kč).</w:t>
      </w:r>
      <w:r w:rsidR="00F930B6" w:rsidRPr="00FF3E46">
        <w:rPr>
          <w:rFonts w:cs="Arial"/>
          <w:sz w:val="22"/>
          <w:szCs w:val="22"/>
        </w:rPr>
        <w:t xml:space="preserve"> </w:t>
      </w:r>
      <w:r w:rsidR="00142073" w:rsidRPr="00FF3E46">
        <w:rPr>
          <w:rFonts w:cs="Arial"/>
          <w:sz w:val="22"/>
          <w:szCs w:val="22"/>
        </w:rPr>
        <w:t xml:space="preserve"> </w:t>
      </w:r>
    </w:p>
    <w:p w:rsidR="00402464" w:rsidRDefault="00402464" w:rsidP="00F92AAF">
      <w:pPr>
        <w:jc w:val="both"/>
        <w:rPr>
          <w:rFonts w:cs="Arial"/>
          <w:sz w:val="22"/>
          <w:szCs w:val="22"/>
        </w:rPr>
      </w:pPr>
    </w:p>
    <w:p w:rsidR="00B41527" w:rsidRDefault="00D37ADD" w:rsidP="001B2A38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3.</w:t>
      </w:r>
      <w:r w:rsidR="001B2A38">
        <w:rPr>
          <w:rFonts w:cs="Arial"/>
          <w:b/>
          <w:sz w:val="22"/>
          <w:szCs w:val="22"/>
        </w:rPr>
        <w:t xml:space="preserve">2 </w:t>
      </w:r>
      <w:r w:rsidR="00E93F20">
        <w:rPr>
          <w:rFonts w:cs="Arial"/>
          <w:b/>
          <w:sz w:val="22"/>
          <w:szCs w:val="22"/>
        </w:rPr>
        <w:t>V</w:t>
      </w:r>
      <w:r w:rsidR="00AB6A9C">
        <w:rPr>
          <w:rFonts w:cs="Arial"/>
          <w:b/>
          <w:sz w:val="22"/>
          <w:szCs w:val="22"/>
        </w:rPr>
        <w:t>ydan</w:t>
      </w:r>
      <w:r w:rsidR="00E93F20">
        <w:rPr>
          <w:rFonts w:cs="Arial"/>
          <w:b/>
          <w:sz w:val="22"/>
          <w:szCs w:val="22"/>
        </w:rPr>
        <w:t>á</w:t>
      </w:r>
      <w:r w:rsidR="00AB6A9C">
        <w:rPr>
          <w:rFonts w:cs="Arial"/>
          <w:b/>
          <w:sz w:val="22"/>
          <w:szCs w:val="22"/>
        </w:rPr>
        <w:t xml:space="preserve"> stavební a </w:t>
      </w:r>
      <w:r w:rsidR="00AB6A9C" w:rsidRPr="007B5259">
        <w:rPr>
          <w:rFonts w:cs="Arial"/>
          <w:b/>
          <w:sz w:val="22"/>
          <w:szCs w:val="22"/>
        </w:rPr>
        <w:t>územní rozhodnutí</w:t>
      </w:r>
      <w:r w:rsidR="00AB6A9C">
        <w:rPr>
          <w:rFonts w:cs="Arial"/>
          <w:b/>
          <w:sz w:val="22"/>
          <w:szCs w:val="22"/>
        </w:rPr>
        <w:t xml:space="preserve"> </w:t>
      </w:r>
      <w:r w:rsidR="00E93F20">
        <w:rPr>
          <w:rFonts w:cs="Arial"/>
          <w:b/>
          <w:sz w:val="22"/>
          <w:szCs w:val="22"/>
        </w:rPr>
        <w:t xml:space="preserve">byla neúměrně napadána </w:t>
      </w:r>
      <w:r w:rsidR="00AB6A9C" w:rsidRPr="007B5259">
        <w:rPr>
          <w:rFonts w:cs="Arial"/>
          <w:b/>
          <w:sz w:val="22"/>
          <w:szCs w:val="22"/>
        </w:rPr>
        <w:t>odvoláními</w:t>
      </w:r>
      <w:r w:rsidR="00AB6A9C">
        <w:rPr>
          <w:rFonts w:cs="Arial"/>
          <w:b/>
          <w:sz w:val="22"/>
          <w:szCs w:val="22"/>
        </w:rPr>
        <w:t>, často i </w:t>
      </w:r>
      <w:r w:rsidR="00AB6A9C" w:rsidRPr="007B5259">
        <w:rPr>
          <w:rFonts w:cs="Arial"/>
          <w:b/>
          <w:sz w:val="22"/>
          <w:szCs w:val="22"/>
        </w:rPr>
        <w:t>opakovaně</w:t>
      </w:r>
      <w:r w:rsidR="00AB6A9C" w:rsidRPr="00F46AC8">
        <w:rPr>
          <w:rFonts w:cs="Arial"/>
          <w:b/>
          <w:sz w:val="22"/>
          <w:szCs w:val="22"/>
        </w:rPr>
        <w:t>.</w:t>
      </w:r>
      <w:r w:rsidR="00AB6A9C">
        <w:rPr>
          <w:rFonts w:cs="Arial"/>
          <w:sz w:val="22"/>
          <w:szCs w:val="22"/>
        </w:rPr>
        <w:t xml:space="preserve"> Tato řízení v některých případech prodlužovaly i změny požadované ŘSD v</w:t>
      </w:r>
      <w:r w:rsidR="00457A0F">
        <w:rPr>
          <w:rFonts w:cs="Arial"/>
          <w:sz w:val="22"/>
          <w:szCs w:val="22"/>
        </w:rPr>
        <w:t> </w:t>
      </w:r>
      <w:r w:rsidR="00AB6A9C">
        <w:rPr>
          <w:rFonts w:cs="Arial"/>
          <w:sz w:val="22"/>
          <w:szCs w:val="22"/>
        </w:rPr>
        <w:t>jejich průběhu. Ú</w:t>
      </w:r>
      <w:r w:rsidR="007A35C4">
        <w:rPr>
          <w:rFonts w:cs="Arial"/>
          <w:sz w:val="22"/>
          <w:szCs w:val="22"/>
        </w:rPr>
        <w:t>zemní a stavební řízení</w:t>
      </w:r>
      <w:r w:rsidR="00AB6A9C">
        <w:rPr>
          <w:rFonts w:cs="Arial"/>
          <w:sz w:val="22"/>
          <w:szCs w:val="22"/>
        </w:rPr>
        <w:t xml:space="preserve"> tak v řadě případů </w:t>
      </w:r>
      <w:r>
        <w:rPr>
          <w:rFonts w:cs="Arial"/>
          <w:sz w:val="22"/>
          <w:szCs w:val="22"/>
        </w:rPr>
        <w:t>trvala</w:t>
      </w:r>
      <w:r w:rsidR="00AB6A9C">
        <w:rPr>
          <w:rFonts w:cs="Arial"/>
          <w:sz w:val="22"/>
          <w:szCs w:val="22"/>
        </w:rPr>
        <w:t xml:space="preserve"> několik let</w:t>
      </w:r>
      <w:r>
        <w:rPr>
          <w:rFonts w:cs="Arial"/>
          <w:sz w:val="22"/>
          <w:szCs w:val="22"/>
        </w:rPr>
        <w:t xml:space="preserve">. </w:t>
      </w:r>
    </w:p>
    <w:p w:rsidR="00B41527" w:rsidRDefault="00B41527" w:rsidP="00850DC1">
      <w:pPr>
        <w:jc w:val="both"/>
        <w:rPr>
          <w:rFonts w:cs="Arial"/>
          <w:sz w:val="22"/>
          <w:szCs w:val="22"/>
        </w:rPr>
      </w:pPr>
    </w:p>
    <w:p w:rsidR="00BB1E0D" w:rsidRPr="00FF3E46" w:rsidRDefault="007B5259" w:rsidP="009D1AE6">
      <w:pPr>
        <w:ind w:left="284"/>
        <w:jc w:val="both"/>
        <w:rPr>
          <w:rFonts w:cs="Arial"/>
          <w:sz w:val="22"/>
          <w:szCs w:val="22"/>
        </w:rPr>
      </w:pPr>
      <w:r w:rsidRPr="00FF3E46">
        <w:rPr>
          <w:rFonts w:cs="Arial"/>
          <w:sz w:val="22"/>
          <w:szCs w:val="22"/>
        </w:rPr>
        <w:t xml:space="preserve">Například proti územnímu rozhodnutí obchvatu Frýdku-Místku na R48 se v listopadu 2006 odvolalo 28 subjektů. Odvolací orgán územní rozhodnutí v březnu 2007 zrušil z důvodu </w:t>
      </w:r>
      <w:r w:rsidRPr="00FF3E46">
        <w:rPr>
          <w:rFonts w:cs="Arial"/>
          <w:sz w:val="22"/>
          <w:szCs w:val="22"/>
        </w:rPr>
        <w:lastRenderedPageBreak/>
        <w:t>věcných a procesních vad. Proti novému územnímu rozhodnutí ze srpna 2007 se odvolalo 17 subjektů (11 z nich napadlo i rozhodnutí z roku 2006). Odvolací orgán v listopadu 2007 odvolání zamítl.</w:t>
      </w:r>
      <w:r w:rsidR="00460687" w:rsidRPr="00FF3E46">
        <w:rPr>
          <w:rFonts w:cs="Arial"/>
          <w:sz w:val="22"/>
          <w:szCs w:val="22"/>
        </w:rPr>
        <w:t xml:space="preserve"> Územní rozhodnutí však krajský soud</w:t>
      </w:r>
      <w:r w:rsidR="006C7992" w:rsidRPr="00FF3E46">
        <w:rPr>
          <w:rFonts w:cs="Arial"/>
          <w:sz w:val="22"/>
          <w:szCs w:val="22"/>
        </w:rPr>
        <w:t xml:space="preserve"> na základě žaloby jednoho z odvolatelů </w:t>
      </w:r>
      <w:r w:rsidR="00460687" w:rsidRPr="00FF3E46">
        <w:rPr>
          <w:rFonts w:cs="Arial"/>
          <w:sz w:val="22"/>
          <w:szCs w:val="22"/>
        </w:rPr>
        <w:t xml:space="preserve">zrušil z důvodu procesních chyb. </w:t>
      </w:r>
      <w:r w:rsidR="00460687" w:rsidRPr="00FF3E46">
        <w:rPr>
          <w:rFonts w:cs="Arial"/>
          <w:b/>
          <w:sz w:val="22"/>
          <w:szCs w:val="22"/>
        </w:rPr>
        <w:t>Územní rozhodnutí tak nabyl</w:t>
      </w:r>
      <w:r w:rsidR="0022140D" w:rsidRPr="00FF3E46">
        <w:rPr>
          <w:rFonts w:cs="Arial"/>
          <w:b/>
          <w:sz w:val="22"/>
          <w:szCs w:val="22"/>
        </w:rPr>
        <w:t>o platnosti až</w:t>
      </w:r>
      <w:r w:rsidR="008F4458" w:rsidRPr="00FF3E46">
        <w:rPr>
          <w:rFonts w:cs="Arial"/>
          <w:b/>
          <w:sz w:val="22"/>
          <w:szCs w:val="22"/>
        </w:rPr>
        <w:t xml:space="preserve"> po čtyřech letech</w:t>
      </w:r>
      <w:r w:rsidR="0022140D" w:rsidRPr="00FF3E46">
        <w:rPr>
          <w:rFonts w:cs="Arial"/>
          <w:b/>
          <w:sz w:val="22"/>
          <w:szCs w:val="22"/>
        </w:rPr>
        <w:t xml:space="preserve"> v listopadu 2010, přičemž se v</w:t>
      </w:r>
      <w:r w:rsidR="003A4481" w:rsidRPr="00FF3E46">
        <w:rPr>
          <w:rFonts w:cs="Arial"/>
          <w:b/>
          <w:sz w:val="22"/>
          <w:szCs w:val="22"/>
        </w:rPr>
        <w:t> </w:t>
      </w:r>
      <w:r w:rsidR="0022140D" w:rsidRPr="00FF3E46">
        <w:rPr>
          <w:rFonts w:cs="Arial"/>
          <w:b/>
          <w:sz w:val="22"/>
          <w:szCs w:val="22"/>
        </w:rPr>
        <w:t>něm</w:t>
      </w:r>
      <w:r w:rsidR="003A4481" w:rsidRPr="00FF3E46">
        <w:rPr>
          <w:rFonts w:cs="Arial"/>
          <w:b/>
          <w:sz w:val="22"/>
          <w:szCs w:val="22"/>
        </w:rPr>
        <w:t xml:space="preserve"> z věcného hlediska nic</w:t>
      </w:r>
      <w:r w:rsidR="0022140D" w:rsidRPr="00FF3E46">
        <w:rPr>
          <w:rFonts w:cs="Arial"/>
          <w:b/>
          <w:sz w:val="22"/>
          <w:szCs w:val="22"/>
        </w:rPr>
        <w:t xml:space="preserve"> </w:t>
      </w:r>
      <w:r w:rsidR="003A4481" w:rsidRPr="00FF3E46">
        <w:rPr>
          <w:rFonts w:cs="Arial"/>
          <w:b/>
          <w:sz w:val="22"/>
          <w:szCs w:val="22"/>
        </w:rPr>
        <w:t>ne</w:t>
      </w:r>
      <w:r w:rsidR="0022140D" w:rsidRPr="00FF3E46">
        <w:rPr>
          <w:rFonts w:cs="Arial"/>
          <w:b/>
          <w:sz w:val="22"/>
          <w:szCs w:val="22"/>
        </w:rPr>
        <w:t>změnilo</w:t>
      </w:r>
      <w:r w:rsidR="00460687" w:rsidRPr="00F46AC8">
        <w:rPr>
          <w:rFonts w:cs="Arial"/>
          <w:b/>
          <w:sz w:val="22"/>
          <w:szCs w:val="22"/>
        </w:rPr>
        <w:t>.</w:t>
      </w:r>
      <w:r w:rsidR="003A4481" w:rsidRPr="00F46AC8">
        <w:rPr>
          <w:rFonts w:cs="Arial"/>
          <w:b/>
          <w:sz w:val="22"/>
          <w:szCs w:val="22"/>
        </w:rPr>
        <w:t xml:space="preserve"> </w:t>
      </w:r>
    </w:p>
    <w:p w:rsidR="00BB1E0D" w:rsidRDefault="00BB1E0D" w:rsidP="00850DC1">
      <w:pPr>
        <w:jc w:val="both"/>
        <w:rPr>
          <w:rFonts w:cs="Arial"/>
          <w:sz w:val="22"/>
          <w:szCs w:val="22"/>
        </w:rPr>
      </w:pPr>
    </w:p>
    <w:p w:rsidR="007B5259" w:rsidRDefault="00BB1E0D" w:rsidP="00572875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 stavbu D1 </w:t>
      </w:r>
      <w:r w:rsidR="00A60865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úseku Přerov – Lipník nad Bečvou bylo územní rozhodnutí vydáno v </w:t>
      </w:r>
      <w:r w:rsidR="008E1B8F">
        <w:rPr>
          <w:rFonts w:cs="Arial"/>
          <w:sz w:val="22"/>
          <w:szCs w:val="22"/>
        </w:rPr>
        <w:t>dubnu</w:t>
      </w:r>
      <w:r>
        <w:rPr>
          <w:rFonts w:cs="Arial"/>
          <w:sz w:val="22"/>
          <w:szCs w:val="22"/>
        </w:rPr>
        <w:t xml:space="preserve"> 2004. Územní rozhodnutí bylo </w:t>
      </w:r>
      <w:r w:rsidR="008E1B8F">
        <w:rPr>
          <w:rFonts w:cs="Arial"/>
          <w:sz w:val="22"/>
          <w:szCs w:val="22"/>
        </w:rPr>
        <w:t>opakovaně napadáno a jeho platnost byla potvrzena až v říjnu 2007 zamítnutím odvolání. Předtím ŘSD v prosinci 2006 doplnilo stavební objekty a</w:t>
      </w:r>
      <w:r w:rsidR="00E93F20">
        <w:rPr>
          <w:rFonts w:cs="Arial"/>
          <w:sz w:val="22"/>
          <w:szCs w:val="22"/>
        </w:rPr>
        <w:t> </w:t>
      </w:r>
      <w:r w:rsidR="008E1B8F">
        <w:rPr>
          <w:rFonts w:cs="Arial"/>
          <w:sz w:val="22"/>
          <w:szCs w:val="22"/>
        </w:rPr>
        <w:t>upř</w:t>
      </w:r>
      <w:r w:rsidR="001442C8">
        <w:rPr>
          <w:rFonts w:cs="Arial"/>
          <w:sz w:val="22"/>
          <w:szCs w:val="22"/>
        </w:rPr>
        <w:t xml:space="preserve">esnilo některá technická řešení, což vyžadovalo vydání nového územního rozhodnutí. Důvodem změn bylo i opoždění přípravy navazujícího úseku. Nové územní rozhodnutí nabylo po vyřízení odvolání platnosti v únoru 2008. </w:t>
      </w:r>
      <w:r w:rsidR="00BC5BD1">
        <w:rPr>
          <w:rFonts w:cs="Arial"/>
          <w:sz w:val="22"/>
          <w:szCs w:val="22"/>
        </w:rPr>
        <w:t xml:space="preserve">O stavební povolení požádalo ŘSD v říjnu 2009 a MD jej vydalo až v červnu 2011 po vyřízení připomínek účastníků stavebního řízení. </w:t>
      </w:r>
      <w:r w:rsidR="00BC5BD1" w:rsidRPr="008F4458">
        <w:rPr>
          <w:rFonts w:cs="Arial"/>
          <w:b/>
          <w:sz w:val="22"/>
          <w:szCs w:val="22"/>
        </w:rPr>
        <w:t xml:space="preserve">Příprava od zpracování dokumentace pro územní rozhodnutí po vydání všech stavebních povolení trvala </w:t>
      </w:r>
      <w:r w:rsidR="008B7405" w:rsidRPr="008F4458">
        <w:rPr>
          <w:rFonts w:cs="Arial"/>
          <w:b/>
          <w:sz w:val="22"/>
          <w:szCs w:val="22"/>
        </w:rPr>
        <w:t>přes 7 let</w:t>
      </w:r>
      <w:r w:rsidR="008B7405" w:rsidRPr="00F46AC8">
        <w:rPr>
          <w:rFonts w:cs="Arial"/>
          <w:b/>
          <w:sz w:val="22"/>
          <w:szCs w:val="22"/>
        </w:rPr>
        <w:t>.</w:t>
      </w:r>
    </w:p>
    <w:p w:rsidR="001B2A38" w:rsidRPr="001B2A38" w:rsidRDefault="001B2A38" w:rsidP="001B2A38">
      <w:pPr>
        <w:jc w:val="both"/>
        <w:rPr>
          <w:rFonts w:cs="Arial"/>
          <w:sz w:val="22"/>
          <w:szCs w:val="22"/>
        </w:rPr>
      </w:pPr>
    </w:p>
    <w:p w:rsidR="009E660A" w:rsidRDefault="00D37ADD" w:rsidP="001B2A38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3.</w:t>
      </w:r>
      <w:r w:rsidR="001B2A38">
        <w:rPr>
          <w:rFonts w:cs="Arial"/>
          <w:b/>
          <w:sz w:val="22"/>
          <w:szCs w:val="22"/>
        </w:rPr>
        <w:t>3</w:t>
      </w:r>
      <w:r w:rsidR="00142073" w:rsidRPr="00A87228">
        <w:rPr>
          <w:rFonts w:cs="Arial"/>
          <w:b/>
          <w:sz w:val="22"/>
          <w:szCs w:val="22"/>
        </w:rPr>
        <w:t xml:space="preserve"> </w:t>
      </w:r>
      <w:r w:rsidR="005C1434" w:rsidRPr="00E17D38">
        <w:rPr>
          <w:rFonts w:cs="Arial"/>
          <w:b/>
          <w:sz w:val="22"/>
          <w:szCs w:val="22"/>
        </w:rPr>
        <w:t>Majetkoprávní vypořádání nemovitostí a pozemků potřebných k výstavbě akcí</w:t>
      </w:r>
      <w:r w:rsidR="008F4458">
        <w:rPr>
          <w:rFonts w:cs="Arial"/>
          <w:b/>
          <w:sz w:val="22"/>
          <w:szCs w:val="22"/>
        </w:rPr>
        <w:t xml:space="preserve"> na</w:t>
      </w:r>
      <w:r w:rsidR="003A4481">
        <w:rPr>
          <w:rFonts w:cs="Arial"/>
          <w:b/>
          <w:sz w:val="22"/>
          <w:szCs w:val="22"/>
        </w:rPr>
        <w:t xml:space="preserve"> D a R trvala</w:t>
      </w:r>
      <w:r w:rsidR="005C1434" w:rsidRPr="00E17D38">
        <w:rPr>
          <w:rFonts w:cs="Arial"/>
          <w:b/>
          <w:sz w:val="22"/>
          <w:szCs w:val="22"/>
        </w:rPr>
        <w:t xml:space="preserve"> běžně dva až tři roky</w:t>
      </w:r>
      <w:r w:rsidR="00C76F9D">
        <w:rPr>
          <w:rFonts w:cs="Arial"/>
          <w:b/>
          <w:sz w:val="22"/>
          <w:szCs w:val="22"/>
        </w:rPr>
        <w:t>.</w:t>
      </w:r>
      <w:r w:rsidR="00E17D38" w:rsidRPr="00E17D38">
        <w:rPr>
          <w:rFonts w:cs="Arial"/>
          <w:b/>
          <w:sz w:val="22"/>
          <w:szCs w:val="22"/>
        </w:rPr>
        <w:t xml:space="preserve"> </w:t>
      </w:r>
      <w:r w:rsidR="00B86F5C">
        <w:rPr>
          <w:rFonts w:cs="Arial"/>
          <w:b/>
          <w:sz w:val="22"/>
          <w:szCs w:val="22"/>
        </w:rPr>
        <w:t>V</w:t>
      </w:r>
      <w:r w:rsidR="00E17D38" w:rsidRPr="00E17D38">
        <w:rPr>
          <w:rFonts w:cs="Arial"/>
          <w:b/>
          <w:sz w:val="22"/>
          <w:szCs w:val="22"/>
        </w:rPr>
        <w:t> některých případech</w:t>
      </w:r>
      <w:r w:rsidR="002A028B">
        <w:rPr>
          <w:rFonts w:cs="Arial"/>
          <w:b/>
          <w:sz w:val="22"/>
          <w:szCs w:val="22"/>
        </w:rPr>
        <w:t xml:space="preserve"> </w:t>
      </w:r>
      <w:r w:rsidR="00B86F5C">
        <w:rPr>
          <w:rFonts w:cs="Arial"/>
          <w:b/>
          <w:sz w:val="22"/>
          <w:szCs w:val="22"/>
        </w:rPr>
        <w:t>však</w:t>
      </w:r>
      <w:r w:rsidR="00E17D38" w:rsidRPr="00E17D38">
        <w:rPr>
          <w:rFonts w:cs="Arial"/>
          <w:b/>
          <w:sz w:val="22"/>
          <w:szCs w:val="22"/>
        </w:rPr>
        <w:t xml:space="preserve"> trvala </w:t>
      </w:r>
      <w:r w:rsidR="009C4096">
        <w:rPr>
          <w:rFonts w:cs="Arial"/>
          <w:b/>
          <w:sz w:val="22"/>
          <w:szCs w:val="22"/>
        </w:rPr>
        <w:t>(</w:t>
      </w:r>
      <w:r w:rsidR="00E17D38" w:rsidRPr="00E17D38">
        <w:rPr>
          <w:rFonts w:cs="Arial"/>
          <w:b/>
          <w:sz w:val="22"/>
          <w:szCs w:val="22"/>
        </w:rPr>
        <w:t>nebo</w:t>
      </w:r>
      <w:r w:rsidR="00E17D38">
        <w:rPr>
          <w:rFonts w:cs="Arial"/>
          <w:b/>
          <w:sz w:val="22"/>
          <w:szCs w:val="22"/>
        </w:rPr>
        <w:t xml:space="preserve"> v době kontroly probíhala</w:t>
      </w:r>
      <w:r w:rsidR="009C4096">
        <w:rPr>
          <w:rFonts w:cs="Arial"/>
          <w:b/>
          <w:sz w:val="22"/>
          <w:szCs w:val="22"/>
        </w:rPr>
        <w:t>)</w:t>
      </w:r>
      <w:r w:rsidR="00E17D38">
        <w:rPr>
          <w:rFonts w:cs="Arial"/>
          <w:b/>
          <w:sz w:val="22"/>
          <w:szCs w:val="22"/>
        </w:rPr>
        <w:t xml:space="preserve"> </w:t>
      </w:r>
      <w:r w:rsidR="00B86F5C">
        <w:rPr>
          <w:rFonts w:cs="Arial"/>
          <w:b/>
          <w:sz w:val="22"/>
          <w:szCs w:val="22"/>
        </w:rPr>
        <w:t>déle</w:t>
      </w:r>
      <w:r w:rsidR="00E17D38" w:rsidRPr="00E17D38">
        <w:rPr>
          <w:rFonts w:cs="Arial"/>
          <w:b/>
          <w:sz w:val="22"/>
          <w:szCs w:val="22"/>
        </w:rPr>
        <w:t xml:space="preserve"> než 5 let</w:t>
      </w:r>
      <w:r w:rsidR="002A028B" w:rsidRPr="00F46AC8">
        <w:rPr>
          <w:rFonts w:cs="Arial"/>
          <w:b/>
          <w:sz w:val="22"/>
          <w:szCs w:val="22"/>
        </w:rPr>
        <w:t>,</w:t>
      </w:r>
      <w:r w:rsidR="002A028B" w:rsidRPr="002A028B">
        <w:rPr>
          <w:rFonts w:cs="Arial"/>
          <w:sz w:val="22"/>
          <w:szCs w:val="22"/>
        </w:rPr>
        <w:t xml:space="preserve"> zejména</w:t>
      </w:r>
      <w:r w:rsidR="002A028B">
        <w:rPr>
          <w:rFonts w:cs="Arial"/>
          <w:sz w:val="22"/>
          <w:szCs w:val="22"/>
        </w:rPr>
        <w:t xml:space="preserve"> v případech, kdy bylo</w:t>
      </w:r>
      <w:r w:rsidR="002A028B" w:rsidRPr="002A028B">
        <w:rPr>
          <w:rFonts w:cs="Arial"/>
          <w:sz w:val="22"/>
          <w:szCs w:val="22"/>
        </w:rPr>
        <w:t xml:space="preserve"> z důvodu nesouhlasu vlastníka přikročeno k vyvlastňovacímu řízení</w:t>
      </w:r>
      <w:r w:rsidR="009E660A">
        <w:rPr>
          <w:rStyle w:val="Znakapoznpodarou"/>
          <w:rFonts w:cs="Arial"/>
          <w:sz w:val="22"/>
          <w:szCs w:val="22"/>
        </w:rPr>
        <w:footnoteReference w:id="25"/>
      </w:r>
      <w:r w:rsidR="00B86F5C">
        <w:rPr>
          <w:rFonts w:cs="Arial"/>
          <w:sz w:val="22"/>
          <w:szCs w:val="22"/>
        </w:rPr>
        <w:t xml:space="preserve">. </w:t>
      </w:r>
      <w:r w:rsidR="00C76F9D">
        <w:rPr>
          <w:rFonts w:cs="Arial"/>
          <w:sz w:val="22"/>
          <w:szCs w:val="22"/>
        </w:rPr>
        <w:t xml:space="preserve">Od února 2013 je účinná novela zákona </w:t>
      </w:r>
      <w:r w:rsidR="009C4096">
        <w:rPr>
          <w:rFonts w:cs="Arial"/>
          <w:sz w:val="22"/>
          <w:szCs w:val="22"/>
        </w:rPr>
        <w:t>č. </w:t>
      </w:r>
      <w:r w:rsidR="00C76F9D">
        <w:rPr>
          <w:rFonts w:cs="Arial"/>
          <w:sz w:val="22"/>
          <w:szCs w:val="22"/>
        </w:rPr>
        <w:t xml:space="preserve">416/2009 Sb., která v případě uzavření kupní smlouvy umožňuje zvýšit cenu stanovenou znaleckým posudkem u nestavebních pozemků až o 100 % a u stavebních pozemků až o 15 %. </w:t>
      </w:r>
    </w:p>
    <w:p w:rsidR="009E660A" w:rsidRDefault="009E660A" w:rsidP="001B2A38">
      <w:pPr>
        <w:jc w:val="both"/>
        <w:rPr>
          <w:rFonts w:cs="Arial"/>
          <w:sz w:val="22"/>
          <w:szCs w:val="22"/>
        </w:rPr>
      </w:pPr>
    </w:p>
    <w:p w:rsidR="00E17D38" w:rsidRDefault="003C01C4" w:rsidP="00572875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Extrémním příkladem je výkup pozemků pro stavbu D11 </w:t>
      </w:r>
      <w:r w:rsidR="00E93F20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úseku Osičky – Hradec Králové</w:t>
      </w:r>
      <w:r w:rsidR="0022140D">
        <w:rPr>
          <w:rFonts w:cs="Arial"/>
          <w:sz w:val="22"/>
          <w:szCs w:val="22"/>
        </w:rPr>
        <w:t xml:space="preserve"> </w:t>
      </w:r>
      <w:r w:rsidR="00E93F20">
        <w:rPr>
          <w:rFonts w:cs="Arial"/>
          <w:sz w:val="22"/>
          <w:szCs w:val="22"/>
        </w:rPr>
        <w:t>(</w:t>
      </w:r>
      <w:r w:rsidR="0022140D">
        <w:rPr>
          <w:rFonts w:cs="Arial"/>
          <w:sz w:val="22"/>
          <w:szCs w:val="22"/>
        </w:rPr>
        <w:t>2. etapa</w:t>
      </w:r>
      <w:r w:rsidR="00E93F20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, který trvá přes deset let a</w:t>
      </w:r>
      <w:r w:rsidR="00E93F20">
        <w:rPr>
          <w:rFonts w:cs="Arial"/>
          <w:sz w:val="22"/>
          <w:szCs w:val="22"/>
        </w:rPr>
        <w:t> dosud</w:t>
      </w:r>
      <w:r w:rsidR="0022140D">
        <w:rPr>
          <w:rFonts w:cs="Arial"/>
          <w:sz w:val="22"/>
          <w:szCs w:val="22"/>
        </w:rPr>
        <w:t xml:space="preserve"> nebyl </w:t>
      </w:r>
      <w:r w:rsidR="00E93F20">
        <w:rPr>
          <w:rFonts w:cs="Arial"/>
          <w:sz w:val="22"/>
          <w:szCs w:val="22"/>
        </w:rPr>
        <w:t xml:space="preserve">dokončen </w:t>
      </w:r>
      <w:r w:rsidR="008E7A1E">
        <w:rPr>
          <w:rFonts w:cs="Arial"/>
          <w:sz w:val="22"/>
          <w:szCs w:val="22"/>
        </w:rPr>
        <w:t>pro část stavby v délce 2,2 </w:t>
      </w:r>
      <w:r w:rsidR="0022140D">
        <w:rPr>
          <w:rFonts w:cs="Arial"/>
          <w:sz w:val="22"/>
          <w:szCs w:val="22"/>
        </w:rPr>
        <w:t>km</w:t>
      </w:r>
      <w:r w:rsidR="00DB5E62">
        <w:rPr>
          <w:rFonts w:cs="Arial"/>
          <w:sz w:val="22"/>
          <w:szCs w:val="22"/>
        </w:rPr>
        <w:t xml:space="preserve">. </w:t>
      </w:r>
      <w:r w:rsidR="00DB5E62" w:rsidRPr="008F4458">
        <w:rPr>
          <w:rFonts w:cs="Arial"/>
          <w:b/>
          <w:sz w:val="22"/>
          <w:szCs w:val="22"/>
        </w:rPr>
        <w:t>Z tohoto důvodu muselo být s náklady 194 mil. Kč vybudováno p</w:t>
      </w:r>
      <w:r w:rsidR="0022140D" w:rsidRPr="008F4458">
        <w:rPr>
          <w:rFonts w:cs="Arial"/>
          <w:b/>
          <w:sz w:val="22"/>
          <w:szCs w:val="22"/>
        </w:rPr>
        <w:t>rovizorní napojení dokončených částí D11 na sil</w:t>
      </w:r>
      <w:r w:rsidR="00DB5E62" w:rsidRPr="008F4458">
        <w:rPr>
          <w:rFonts w:cs="Arial"/>
          <w:b/>
          <w:sz w:val="22"/>
          <w:szCs w:val="22"/>
        </w:rPr>
        <w:t>niční síť</w:t>
      </w:r>
      <w:r w:rsidR="00DB5E62" w:rsidRPr="00F46AC8">
        <w:rPr>
          <w:rFonts w:cs="Arial"/>
          <w:b/>
          <w:sz w:val="22"/>
          <w:szCs w:val="22"/>
        </w:rPr>
        <w:t>.</w:t>
      </w:r>
      <w:r w:rsidR="0022140D">
        <w:rPr>
          <w:rFonts w:cs="Arial"/>
          <w:sz w:val="22"/>
          <w:szCs w:val="22"/>
        </w:rPr>
        <w:t xml:space="preserve"> </w:t>
      </w:r>
    </w:p>
    <w:p w:rsidR="00D37ADD" w:rsidRDefault="00D37ADD" w:rsidP="001671F8">
      <w:pPr>
        <w:jc w:val="both"/>
        <w:rPr>
          <w:rFonts w:cs="Arial"/>
          <w:sz w:val="22"/>
          <w:szCs w:val="22"/>
        </w:rPr>
      </w:pPr>
    </w:p>
    <w:p w:rsidR="00C16FF4" w:rsidRDefault="00972B03" w:rsidP="00DC358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Neukončená majetkoprávní vypořádání bránila vydání stavebních povolení. </w:t>
      </w:r>
      <w:r w:rsidR="00DC3581" w:rsidRPr="00E97504">
        <w:rPr>
          <w:rFonts w:cs="Arial"/>
          <w:b/>
          <w:sz w:val="22"/>
          <w:szCs w:val="22"/>
        </w:rPr>
        <w:t>ŘSD</w:t>
      </w:r>
      <w:r>
        <w:rPr>
          <w:rFonts w:cs="Arial"/>
          <w:b/>
          <w:sz w:val="22"/>
          <w:szCs w:val="22"/>
        </w:rPr>
        <w:t xml:space="preserve"> přesto</w:t>
      </w:r>
      <w:r w:rsidR="00DC3581" w:rsidRPr="00E97504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u </w:t>
      </w:r>
      <w:r w:rsidR="00E97504" w:rsidRPr="00E97504">
        <w:rPr>
          <w:rFonts w:cs="Arial"/>
          <w:b/>
          <w:sz w:val="22"/>
          <w:szCs w:val="22"/>
        </w:rPr>
        <w:t>sedmi kontrolovaných akcí uzavřelo</w:t>
      </w:r>
      <w:r w:rsidR="008F4458">
        <w:rPr>
          <w:rFonts w:cs="Arial"/>
          <w:b/>
          <w:sz w:val="22"/>
          <w:szCs w:val="22"/>
        </w:rPr>
        <w:t xml:space="preserve"> smlouvu s dodavatelem stavebních</w:t>
      </w:r>
      <w:r w:rsidR="00E97504" w:rsidRPr="00E97504">
        <w:rPr>
          <w:rFonts w:cs="Arial"/>
          <w:b/>
          <w:sz w:val="22"/>
          <w:szCs w:val="22"/>
        </w:rPr>
        <w:t xml:space="preserve"> prací v době, kdy ještě </w:t>
      </w:r>
      <w:r>
        <w:rPr>
          <w:rFonts w:cs="Arial"/>
          <w:b/>
          <w:sz w:val="22"/>
          <w:szCs w:val="22"/>
        </w:rPr>
        <w:t>nebyla majetkoprávní vypořádání ukončena</w:t>
      </w:r>
      <w:r w:rsidRPr="00F46AC8">
        <w:rPr>
          <w:rFonts w:cs="Arial"/>
          <w:b/>
          <w:sz w:val="22"/>
          <w:szCs w:val="22"/>
        </w:rPr>
        <w:t>.</w:t>
      </w:r>
      <w:r w:rsidR="00E97504">
        <w:rPr>
          <w:rFonts w:cs="Arial"/>
          <w:sz w:val="22"/>
          <w:szCs w:val="22"/>
        </w:rPr>
        <w:t xml:space="preserve"> </w:t>
      </w:r>
      <w:r w:rsidR="00C16FF4">
        <w:rPr>
          <w:rFonts w:cs="Arial"/>
          <w:sz w:val="22"/>
          <w:szCs w:val="22"/>
        </w:rPr>
        <w:t>ŘSD k tomu sdělilo, že důvodem byla snaha nezpozdit následnou realizaci. Tato snaha se však minula účinkem, neboť realizace staveb byla zpožděna o několik let s dopady do</w:t>
      </w:r>
      <w:r w:rsidR="00E93F20">
        <w:rPr>
          <w:rFonts w:cs="Arial"/>
          <w:sz w:val="22"/>
          <w:szCs w:val="22"/>
        </w:rPr>
        <w:t xml:space="preserve"> </w:t>
      </w:r>
      <w:r w:rsidR="00C16FF4">
        <w:rPr>
          <w:rFonts w:cs="Arial"/>
          <w:sz w:val="22"/>
          <w:szCs w:val="22"/>
        </w:rPr>
        <w:t xml:space="preserve">aktuálnosti příslušných projektových dokumentací a smluv. </w:t>
      </w:r>
    </w:p>
    <w:p w:rsidR="00C16FF4" w:rsidRDefault="00C16FF4" w:rsidP="00DC3581">
      <w:pPr>
        <w:jc w:val="both"/>
        <w:rPr>
          <w:rFonts w:cs="Arial"/>
          <w:sz w:val="22"/>
          <w:szCs w:val="22"/>
        </w:rPr>
      </w:pPr>
    </w:p>
    <w:p w:rsidR="00BB396F" w:rsidRPr="00FF3E46" w:rsidRDefault="00C16FF4" w:rsidP="009D1AE6">
      <w:pPr>
        <w:ind w:left="284"/>
        <w:jc w:val="both"/>
        <w:rPr>
          <w:rFonts w:cs="Arial"/>
          <w:sz w:val="22"/>
          <w:szCs w:val="22"/>
        </w:rPr>
      </w:pPr>
      <w:r w:rsidRPr="00FF3E46">
        <w:rPr>
          <w:rFonts w:cs="Arial"/>
          <w:sz w:val="22"/>
          <w:szCs w:val="22"/>
        </w:rPr>
        <w:t xml:space="preserve">Například </w:t>
      </w:r>
      <w:r w:rsidR="00510863" w:rsidRPr="00FF3E46">
        <w:rPr>
          <w:rFonts w:cs="Arial"/>
          <w:sz w:val="22"/>
          <w:szCs w:val="22"/>
        </w:rPr>
        <w:t>na stavbu</w:t>
      </w:r>
      <w:r w:rsidRPr="00FF3E46">
        <w:rPr>
          <w:rFonts w:cs="Arial"/>
          <w:sz w:val="22"/>
          <w:szCs w:val="22"/>
        </w:rPr>
        <w:t xml:space="preserve"> R7</w:t>
      </w:r>
      <w:r w:rsidR="008F4458" w:rsidRPr="00FF3E46">
        <w:rPr>
          <w:rFonts w:cs="Arial"/>
          <w:sz w:val="22"/>
          <w:szCs w:val="22"/>
        </w:rPr>
        <w:t xml:space="preserve"> v</w:t>
      </w:r>
      <w:r w:rsidRPr="00FF3E46">
        <w:rPr>
          <w:rFonts w:cs="Arial"/>
          <w:sz w:val="22"/>
          <w:szCs w:val="22"/>
        </w:rPr>
        <w:t xml:space="preserve"> úseku </w:t>
      </w:r>
      <w:proofErr w:type="gramStart"/>
      <w:r w:rsidRPr="00FF3E46">
        <w:rPr>
          <w:rFonts w:cs="Arial"/>
          <w:sz w:val="22"/>
          <w:szCs w:val="22"/>
        </w:rPr>
        <w:t>Postoloprty</w:t>
      </w:r>
      <w:proofErr w:type="gramEnd"/>
      <w:r w:rsidRPr="00FF3E46">
        <w:rPr>
          <w:rFonts w:cs="Arial"/>
          <w:sz w:val="22"/>
          <w:szCs w:val="22"/>
        </w:rPr>
        <w:t>–</w:t>
      </w:r>
      <w:proofErr w:type="spellStart"/>
      <w:proofErr w:type="gramStart"/>
      <w:r w:rsidRPr="00FF3E46">
        <w:rPr>
          <w:rFonts w:cs="Arial"/>
          <w:sz w:val="22"/>
          <w:szCs w:val="22"/>
        </w:rPr>
        <w:t>Bítozeves</w:t>
      </w:r>
      <w:proofErr w:type="spellEnd"/>
      <w:proofErr w:type="gramEnd"/>
      <w:r w:rsidRPr="00FF3E46">
        <w:rPr>
          <w:rFonts w:cs="Arial"/>
          <w:sz w:val="22"/>
          <w:szCs w:val="22"/>
        </w:rPr>
        <w:t xml:space="preserve"> uzavřelo ŘSD na základě zadávacího řízení</w:t>
      </w:r>
      <w:r w:rsidR="00510863" w:rsidRPr="00FF3E46">
        <w:rPr>
          <w:rFonts w:cs="Arial"/>
          <w:sz w:val="22"/>
          <w:szCs w:val="22"/>
        </w:rPr>
        <w:t xml:space="preserve"> podle zákona č. 137/2006 Sb.</w:t>
      </w:r>
      <w:r w:rsidR="00510863">
        <w:rPr>
          <w:rStyle w:val="Znakapoznpodarou"/>
          <w:rFonts w:cs="Arial"/>
          <w:sz w:val="22"/>
          <w:szCs w:val="22"/>
        </w:rPr>
        <w:footnoteReference w:id="26"/>
      </w:r>
      <w:r w:rsidRPr="00FF3E46">
        <w:rPr>
          <w:rFonts w:cs="Arial"/>
          <w:sz w:val="22"/>
          <w:szCs w:val="22"/>
        </w:rPr>
        <w:t xml:space="preserve"> </w:t>
      </w:r>
      <w:r w:rsidR="00510863" w:rsidRPr="00FF3E46">
        <w:rPr>
          <w:rFonts w:cs="Arial"/>
          <w:sz w:val="22"/>
          <w:szCs w:val="22"/>
        </w:rPr>
        <w:t xml:space="preserve">v dubnu 2010 </w:t>
      </w:r>
      <w:r w:rsidRPr="00FF3E46">
        <w:rPr>
          <w:rFonts w:cs="Arial"/>
          <w:sz w:val="22"/>
          <w:szCs w:val="22"/>
        </w:rPr>
        <w:t xml:space="preserve">smlouvu s dodavatelem stavebních prací. </w:t>
      </w:r>
      <w:r w:rsidR="00510863" w:rsidRPr="00FF3E46">
        <w:rPr>
          <w:rFonts w:cs="Arial"/>
          <w:sz w:val="22"/>
          <w:szCs w:val="22"/>
        </w:rPr>
        <w:t>Po uzavření smlouvy</w:t>
      </w:r>
      <w:r w:rsidR="004563AF" w:rsidRPr="00FF3E46">
        <w:rPr>
          <w:rFonts w:cs="Arial"/>
          <w:sz w:val="22"/>
          <w:szCs w:val="22"/>
        </w:rPr>
        <w:t xml:space="preserve"> </w:t>
      </w:r>
      <w:r w:rsidR="00510863" w:rsidRPr="00FF3E46">
        <w:rPr>
          <w:rFonts w:cs="Arial"/>
          <w:sz w:val="22"/>
          <w:szCs w:val="22"/>
        </w:rPr>
        <w:t>však stavbu</w:t>
      </w:r>
      <w:r w:rsidR="004563AF" w:rsidRPr="00FF3E46">
        <w:rPr>
          <w:rFonts w:cs="Arial"/>
          <w:sz w:val="22"/>
          <w:szCs w:val="22"/>
        </w:rPr>
        <w:t xml:space="preserve"> z důvodu problémů s maje</w:t>
      </w:r>
      <w:r w:rsidR="00510863" w:rsidRPr="00FF3E46">
        <w:rPr>
          <w:rFonts w:cs="Arial"/>
          <w:sz w:val="22"/>
          <w:szCs w:val="22"/>
        </w:rPr>
        <w:t>tkoprávním vypořádáním rozdělilo</w:t>
      </w:r>
      <w:r w:rsidR="004563AF" w:rsidRPr="00FF3E46">
        <w:rPr>
          <w:rFonts w:cs="Arial"/>
          <w:sz w:val="22"/>
          <w:szCs w:val="22"/>
        </w:rPr>
        <w:t xml:space="preserve"> na dvě etapy.</w:t>
      </w:r>
      <w:r w:rsidR="00BB396F" w:rsidRPr="00FF3E46">
        <w:rPr>
          <w:rFonts w:cs="Arial"/>
          <w:sz w:val="22"/>
          <w:szCs w:val="22"/>
        </w:rPr>
        <w:t xml:space="preserve"> Stavební povolení na 1. etapu bylo vydáno</w:t>
      </w:r>
      <w:r w:rsidR="00510863" w:rsidRPr="00FF3E46">
        <w:rPr>
          <w:rFonts w:cs="Arial"/>
          <w:sz w:val="22"/>
          <w:szCs w:val="22"/>
        </w:rPr>
        <w:t xml:space="preserve"> až</w:t>
      </w:r>
      <w:r w:rsidR="00BB396F" w:rsidRPr="00FF3E46">
        <w:rPr>
          <w:rFonts w:cs="Arial"/>
          <w:sz w:val="22"/>
          <w:szCs w:val="22"/>
        </w:rPr>
        <w:t xml:space="preserve"> v prosinci 2011. Její realizace však nebyla podle sdělení ŘSD z důvodu nedostatku finančních prostředků zahájena. V případě 2. etapy muselo být změněno</w:t>
      </w:r>
      <w:r w:rsidR="00F26D89" w:rsidRPr="00FF3E46">
        <w:rPr>
          <w:rFonts w:cs="Arial"/>
          <w:sz w:val="22"/>
          <w:szCs w:val="22"/>
        </w:rPr>
        <w:t xml:space="preserve"> </w:t>
      </w:r>
      <w:r w:rsidR="00BB396F" w:rsidRPr="00FF3E46">
        <w:rPr>
          <w:rFonts w:cs="Arial"/>
          <w:sz w:val="22"/>
          <w:szCs w:val="22"/>
        </w:rPr>
        <w:t xml:space="preserve">technické řešení. Důvodem byl nesouhlas dvou obcí převzít do svého vlastnictví most pro účelovou komunikaci. Změna vyžadovala vydání nového územního rozhodnutí. </w:t>
      </w:r>
      <w:r w:rsidR="00510863" w:rsidRPr="00FF3E46">
        <w:rPr>
          <w:rFonts w:cs="Arial"/>
          <w:sz w:val="22"/>
          <w:szCs w:val="22"/>
        </w:rPr>
        <w:t xml:space="preserve">Územní řízení nebylo v době kontroly zahájeno. </w:t>
      </w:r>
      <w:r w:rsidR="00510863" w:rsidRPr="00FF3E46">
        <w:rPr>
          <w:rFonts w:cs="Arial"/>
          <w:b/>
          <w:sz w:val="22"/>
          <w:szCs w:val="22"/>
        </w:rPr>
        <w:t>Uveden</w:t>
      </w:r>
      <w:r w:rsidR="00F26D89" w:rsidRPr="00FF3E46">
        <w:rPr>
          <w:rFonts w:cs="Arial"/>
          <w:b/>
          <w:sz w:val="22"/>
          <w:szCs w:val="22"/>
        </w:rPr>
        <w:t>é změny zásadně ovlivní výsledek</w:t>
      </w:r>
      <w:r w:rsidR="00510863" w:rsidRPr="00FF3E46">
        <w:rPr>
          <w:rFonts w:cs="Arial"/>
          <w:b/>
          <w:sz w:val="22"/>
          <w:szCs w:val="22"/>
        </w:rPr>
        <w:t xml:space="preserve"> zadávacího řízení na výběr dodavatele stavebních prací.</w:t>
      </w:r>
      <w:r w:rsidR="00510863" w:rsidRPr="00FF3E46">
        <w:rPr>
          <w:rFonts w:cs="Arial"/>
          <w:sz w:val="22"/>
          <w:szCs w:val="22"/>
        </w:rPr>
        <w:t xml:space="preserve"> </w:t>
      </w:r>
    </w:p>
    <w:p w:rsidR="009676A0" w:rsidRDefault="009676A0" w:rsidP="001671F8">
      <w:pPr>
        <w:jc w:val="both"/>
        <w:rPr>
          <w:rFonts w:cs="Arial"/>
          <w:sz w:val="22"/>
          <w:szCs w:val="22"/>
        </w:rPr>
      </w:pPr>
    </w:p>
    <w:p w:rsidR="008E7A1E" w:rsidRDefault="008E7A1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DC3581" w:rsidRDefault="00F26D89" w:rsidP="001671F8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4. Zadávací řízení</w:t>
      </w:r>
    </w:p>
    <w:p w:rsidR="00F26D89" w:rsidRDefault="00F26D89" w:rsidP="001671F8">
      <w:pPr>
        <w:jc w:val="both"/>
        <w:rPr>
          <w:rFonts w:cs="Arial"/>
          <w:sz w:val="22"/>
          <w:szCs w:val="22"/>
        </w:rPr>
      </w:pPr>
    </w:p>
    <w:p w:rsidR="00990CA5" w:rsidRDefault="008F4458" w:rsidP="001671F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Prověřeno b</w:t>
      </w:r>
      <w:r w:rsidR="00990CA5">
        <w:rPr>
          <w:rFonts w:cs="Arial"/>
          <w:sz w:val="22"/>
          <w:szCs w:val="22"/>
        </w:rPr>
        <w:t>ylo 38 veřejných zakázek</w:t>
      </w:r>
      <w:r w:rsidR="009C4096" w:rsidRPr="009C4096">
        <w:rPr>
          <w:rFonts w:cs="Arial"/>
          <w:sz w:val="22"/>
          <w:szCs w:val="22"/>
        </w:rPr>
        <w:t xml:space="preserve"> </w:t>
      </w:r>
      <w:r w:rsidR="009C4096">
        <w:rPr>
          <w:rFonts w:cs="Arial"/>
          <w:sz w:val="22"/>
          <w:szCs w:val="22"/>
        </w:rPr>
        <w:t>v celkovém objemu 6 395 mil. Kč souvisejících s </w:t>
      </w:r>
      <w:r w:rsidR="00455704">
        <w:rPr>
          <w:rFonts w:cs="Arial"/>
          <w:sz w:val="22"/>
          <w:szCs w:val="22"/>
        </w:rPr>
        <w:t>přípravou a realizací</w:t>
      </w:r>
      <w:r w:rsidR="00990CA5">
        <w:rPr>
          <w:rFonts w:cs="Arial"/>
          <w:sz w:val="22"/>
          <w:szCs w:val="22"/>
        </w:rPr>
        <w:t xml:space="preserve"> akcí</w:t>
      </w:r>
      <w:r>
        <w:rPr>
          <w:rFonts w:cs="Arial"/>
          <w:sz w:val="22"/>
          <w:szCs w:val="22"/>
        </w:rPr>
        <w:t xml:space="preserve"> na</w:t>
      </w:r>
      <w:r w:rsidR="00990CA5">
        <w:rPr>
          <w:rFonts w:cs="Arial"/>
          <w:sz w:val="22"/>
          <w:szCs w:val="22"/>
        </w:rPr>
        <w:t xml:space="preserve"> D a R</w:t>
      </w:r>
      <w:r w:rsidR="0046040B">
        <w:rPr>
          <w:rFonts w:cs="Arial"/>
          <w:sz w:val="22"/>
          <w:szCs w:val="22"/>
        </w:rPr>
        <w:t xml:space="preserve">, </w:t>
      </w:r>
      <w:r w:rsidR="009C4096">
        <w:rPr>
          <w:rFonts w:cs="Arial"/>
          <w:sz w:val="22"/>
          <w:szCs w:val="22"/>
        </w:rPr>
        <w:t xml:space="preserve">které </w:t>
      </w:r>
      <w:r w:rsidR="0046040B">
        <w:rPr>
          <w:rFonts w:cs="Arial"/>
          <w:sz w:val="22"/>
          <w:szCs w:val="22"/>
        </w:rPr>
        <w:t>zada</w:t>
      </w:r>
      <w:r w:rsidR="009C4096">
        <w:rPr>
          <w:rFonts w:cs="Arial"/>
          <w:sz w:val="22"/>
          <w:szCs w:val="22"/>
        </w:rPr>
        <w:t>lo</w:t>
      </w:r>
      <w:r>
        <w:rPr>
          <w:rFonts w:cs="Arial"/>
          <w:sz w:val="22"/>
          <w:szCs w:val="22"/>
        </w:rPr>
        <w:t xml:space="preserve"> ŘSD.</w:t>
      </w:r>
      <w:r w:rsidRPr="00402BE6">
        <w:rPr>
          <w:rFonts w:cs="Arial"/>
          <w:b/>
          <w:sz w:val="22"/>
          <w:szCs w:val="22"/>
        </w:rPr>
        <w:t xml:space="preserve"> </w:t>
      </w:r>
      <w:r w:rsidR="0046040B">
        <w:rPr>
          <w:rFonts w:cs="Arial"/>
          <w:b/>
          <w:sz w:val="22"/>
          <w:szCs w:val="22"/>
        </w:rPr>
        <w:t>N</w:t>
      </w:r>
      <w:r w:rsidR="0046040B" w:rsidRPr="00402BE6">
        <w:rPr>
          <w:rFonts w:cs="Arial"/>
          <w:b/>
          <w:sz w:val="22"/>
          <w:szCs w:val="22"/>
        </w:rPr>
        <w:t>edodržení zákona č.</w:t>
      </w:r>
      <w:r w:rsidR="00A97480">
        <w:rPr>
          <w:rFonts w:cs="Arial"/>
          <w:b/>
          <w:sz w:val="22"/>
          <w:szCs w:val="22"/>
        </w:rPr>
        <w:t> </w:t>
      </w:r>
      <w:r w:rsidR="0046040B" w:rsidRPr="00402BE6">
        <w:rPr>
          <w:rFonts w:cs="Arial"/>
          <w:b/>
          <w:sz w:val="22"/>
          <w:szCs w:val="22"/>
        </w:rPr>
        <w:t>137/2006</w:t>
      </w:r>
      <w:r w:rsidR="00A97480">
        <w:rPr>
          <w:rFonts w:cs="Arial"/>
          <w:b/>
          <w:sz w:val="22"/>
          <w:szCs w:val="22"/>
        </w:rPr>
        <w:t> </w:t>
      </w:r>
      <w:r w:rsidR="0046040B" w:rsidRPr="00402BE6">
        <w:rPr>
          <w:rFonts w:cs="Arial"/>
          <w:b/>
          <w:sz w:val="22"/>
          <w:szCs w:val="22"/>
        </w:rPr>
        <w:t>Sb.</w:t>
      </w:r>
      <w:r w:rsidR="0046040B">
        <w:rPr>
          <w:rFonts w:cs="Arial"/>
          <w:sz w:val="22"/>
          <w:szCs w:val="22"/>
        </w:rPr>
        <w:t xml:space="preserve"> </w:t>
      </w:r>
      <w:r w:rsidR="0046040B" w:rsidRPr="00402BE6">
        <w:rPr>
          <w:rFonts w:cs="Arial"/>
          <w:b/>
          <w:sz w:val="22"/>
          <w:szCs w:val="22"/>
        </w:rPr>
        <w:t xml:space="preserve">bylo zjištěno </w:t>
      </w:r>
      <w:r w:rsidR="0046040B">
        <w:rPr>
          <w:rFonts w:cs="Arial"/>
          <w:b/>
          <w:sz w:val="22"/>
          <w:szCs w:val="22"/>
        </w:rPr>
        <w:t>u</w:t>
      </w:r>
      <w:r w:rsidR="00B809F8" w:rsidRPr="00402BE6">
        <w:rPr>
          <w:rFonts w:cs="Arial"/>
          <w:b/>
          <w:sz w:val="22"/>
          <w:szCs w:val="22"/>
        </w:rPr>
        <w:t> 21</w:t>
      </w:r>
      <w:r w:rsidR="00B809F8">
        <w:rPr>
          <w:rFonts w:cs="Arial"/>
          <w:b/>
          <w:sz w:val="22"/>
          <w:szCs w:val="22"/>
        </w:rPr>
        <w:t xml:space="preserve"> veřejných zakázek </w:t>
      </w:r>
      <w:r w:rsidR="00B809F8" w:rsidRPr="00402BE6">
        <w:rPr>
          <w:rFonts w:cs="Arial"/>
          <w:b/>
          <w:sz w:val="22"/>
          <w:szCs w:val="22"/>
        </w:rPr>
        <w:t>v celkovém objemu 4 303 mil. Kč</w:t>
      </w:r>
      <w:r w:rsidR="0046040B" w:rsidRPr="00D425E9">
        <w:rPr>
          <w:rFonts w:cs="Arial"/>
          <w:b/>
          <w:sz w:val="22"/>
          <w:szCs w:val="22"/>
        </w:rPr>
        <w:t>.</w:t>
      </w:r>
      <w:r w:rsidR="00B809F8" w:rsidRPr="00E93F20">
        <w:rPr>
          <w:rFonts w:cs="Arial"/>
          <w:sz w:val="22"/>
          <w:szCs w:val="22"/>
        </w:rPr>
        <w:t xml:space="preserve"> </w:t>
      </w:r>
      <w:r w:rsidR="0046040B">
        <w:rPr>
          <w:rFonts w:cs="Arial"/>
          <w:sz w:val="22"/>
          <w:szCs w:val="22"/>
        </w:rPr>
        <w:t>Podle zákona č. </w:t>
      </w:r>
      <w:r w:rsidR="00990CA5">
        <w:rPr>
          <w:rFonts w:cs="Arial"/>
          <w:sz w:val="22"/>
          <w:szCs w:val="22"/>
        </w:rPr>
        <w:t>218/2000 Sb.</w:t>
      </w:r>
      <w:r w:rsidR="00FD2665">
        <w:rPr>
          <w:rStyle w:val="Znakapoznpodarou"/>
          <w:rFonts w:cs="Arial"/>
          <w:sz w:val="22"/>
          <w:szCs w:val="22"/>
        </w:rPr>
        <w:footnoteReference w:id="27"/>
      </w:r>
      <w:r w:rsidR="00990CA5">
        <w:rPr>
          <w:rFonts w:cs="Arial"/>
          <w:sz w:val="22"/>
          <w:szCs w:val="22"/>
        </w:rPr>
        <w:t xml:space="preserve"> jde o porušení </w:t>
      </w:r>
      <w:r w:rsidR="0046040B">
        <w:rPr>
          <w:rFonts w:cs="Arial"/>
          <w:sz w:val="22"/>
          <w:szCs w:val="22"/>
        </w:rPr>
        <w:t>rozpočtové k</w:t>
      </w:r>
      <w:r w:rsidR="00541D5C">
        <w:rPr>
          <w:rFonts w:cs="Arial"/>
          <w:sz w:val="22"/>
          <w:szCs w:val="22"/>
        </w:rPr>
        <w:t>ázně. Například byly zjištěny ty</w:t>
      </w:r>
      <w:r w:rsidR="00FD2665">
        <w:rPr>
          <w:rFonts w:cs="Arial"/>
          <w:sz w:val="22"/>
          <w:szCs w:val="22"/>
        </w:rPr>
        <w:t>to</w:t>
      </w:r>
      <w:r w:rsidR="00541D5C">
        <w:rPr>
          <w:rFonts w:cs="Arial"/>
          <w:sz w:val="22"/>
          <w:szCs w:val="22"/>
        </w:rPr>
        <w:t xml:space="preserve"> </w:t>
      </w:r>
      <w:r w:rsidR="006F4053">
        <w:rPr>
          <w:rFonts w:cs="Arial"/>
          <w:sz w:val="22"/>
          <w:szCs w:val="22"/>
        </w:rPr>
        <w:t>skutečnosti</w:t>
      </w:r>
      <w:r w:rsidR="00FD2665">
        <w:rPr>
          <w:rFonts w:cs="Arial"/>
          <w:sz w:val="22"/>
          <w:szCs w:val="22"/>
        </w:rPr>
        <w:t>:</w:t>
      </w:r>
      <w:r w:rsidR="00541D5C">
        <w:rPr>
          <w:rFonts w:cs="Arial"/>
          <w:sz w:val="22"/>
          <w:szCs w:val="22"/>
        </w:rPr>
        <w:t xml:space="preserve"> </w:t>
      </w:r>
      <w:r w:rsidR="00B809F8">
        <w:rPr>
          <w:rFonts w:cs="Arial"/>
          <w:sz w:val="22"/>
          <w:szCs w:val="22"/>
        </w:rPr>
        <w:t xml:space="preserve"> </w:t>
      </w:r>
    </w:p>
    <w:p w:rsidR="00402BE6" w:rsidRPr="00043B6B" w:rsidRDefault="000813FB" w:rsidP="005D099E">
      <w:pPr>
        <w:pStyle w:val="Odstavecseseznamem"/>
        <w:numPr>
          <w:ilvl w:val="0"/>
          <w:numId w:val="6"/>
        </w:numPr>
        <w:ind w:left="284" w:hanging="284"/>
        <w:jc w:val="both"/>
        <w:rPr>
          <w:rFonts w:cs="Arial"/>
          <w:sz w:val="22"/>
          <w:szCs w:val="22"/>
        </w:rPr>
      </w:pPr>
      <w:r w:rsidRPr="00043B6B">
        <w:rPr>
          <w:rFonts w:cs="Arial"/>
          <w:sz w:val="22"/>
          <w:szCs w:val="22"/>
        </w:rPr>
        <w:t>Vícepráce jsou z pohledu zákona č. 137/2006 Sb. veřejnou zakázkou</w:t>
      </w:r>
      <w:r w:rsidR="00B809F8" w:rsidRPr="00043B6B">
        <w:rPr>
          <w:rFonts w:cs="Arial"/>
          <w:sz w:val="22"/>
          <w:szCs w:val="22"/>
        </w:rPr>
        <w:t xml:space="preserve"> a musí být </w:t>
      </w:r>
      <w:r w:rsidR="00533E8B" w:rsidRPr="00043B6B">
        <w:rPr>
          <w:rFonts w:cs="Arial"/>
          <w:sz w:val="22"/>
          <w:szCs w:val="22"/>
        </w:rPr>
        <w:t xml:space="preserve">zadány v zadávacím řízení a </w:t>
      </w:r>
      <w:r w:rsidR="00B809F8" w:rsidRPr="00043B6B">
        <w:rPr>
          <w:rFonts w:cs="Arial"/>
          <w:sz w:val="22"/>
          <w:szCs w:val="22"/>
        </w:rPr>
        <w:t>realizovány</w:t>
      </w:r>
      <w:r w:rsidRPr="00043B6B">
        <w:rPr>
          <w:rFonts w:cs="Arial"/>
          <w:sz w:val="22"/>
          <w:szCs w:val="22"/>
        </w:rPr>
        <w:t xml:space="preserve"> na základě písemné smlouvy.</w:t>
      </w:r>
      <w:r w:rsidR="00402BE6" w:rsidRPr="00043B6B">
        <w:rPr>
          <w:rFonts w:cs="Arial"/>
          <w:sz w:val="22"/>
          <w:szCs w:val="22"/>
        </w:rPr>
        <w:t xml:space="preserve"> </w:t>
      </w:r>
      <w:r w:rsidR="00402BE6" w:rsidRPr="00043B6B">
        <w:rPr>
          <w:rFonts w:cs="Arial"/>
          <w:b/>
          <w:sz w:val="22"/>
          <w:szCs w:val="22"/>
        </w:rPr>
        <w:t>ŘSD u 1</w:t>
      </w:r>
      <w:r w:rsidR="00885A29" w:rsidRPr="00043B6B">
        <w:rPr>
          <w:rFonts w:cs="Arial"/>
          <w:b/>
          <w:sz w:val="22"/>
          <w:szCs w:val="22"/>
        </w:rPr>
        <w:t>1</w:t>
      </w:r>
      <w:r w:rsidR="00402BE6" w:rsidRPr="00043B6B">
        <w:rPr>
          <w:rFonts w:cs="Arial"/>
          <w:b/>
          <w:sz w:val="22"/>
          <w:szCs w:val="22"/>
        </w:rPr>
        <w:t xml:space="preserve"> akcí zadalo vícepráce ve výši 5 % až 29 % z původní ceny</w:t>
      </w:r>
      <w:r w:rsidR="00B809F8" w:rsidRPr="00043B6B">
        <w:rPr>
          <w:rFonts w:cs="Arial"/>
          <w:b/>
          <w:sz w:val="22"/>
          <w:szCs w:val="22"/>
        </w:rPr>
        <w:t xml:space="preserve"> v </w:t>
      </w:r>
      <w:r w:rsidR="00402BE6" w:rsidRPr="00043B6B">
        <w:rPr>
          <w:rFonts w:cs="Arial"/>
          <w:b/>
          <w:sz w:val="22"/>
          <w:szCs w:val="22"/>
        </w:rPr>
        <w:t>celkov</w:t>
      </w:r>
      <w:r w:rsidR="00B809F8" w:rsidRPr="00043B6B">
        <w:rPr>
          <w:rFonts w:cs="Arial"/>
          <w:b/>
          <w:sz w:val="22"/>
          <w:szCs w:val="22"/>
        </w:rPr>
        <w:t>ém</w:t>
      </w:r>
      <w:r w:rsidR="00402BE6" w:rsidRPr="00043B6B">
        <w:rPr>
          <w:rFonts w:cs="Arial"/>
          <w:b/>
          <w:sz w:val="22"/>
          <w:szCs w:val="22"/>
        </w:rPr>
        <w:t xml:space="preserve"> objem</w:t>
      </w:r>
      <w:r w:rsidR="00B809F8" w:rsidRPr="00043B6B">
        <w:rPr>
          <w:rFonts w:cs="Arial"/>
          <w:b/>
          <w:sz w:val="22"/>
          <w:szCs w:val="22"/>
        </w:rPr>
        <w:t xml:space="preserve">u </w:t>
      </w:r>
      <w:r w:rsidR="00402BE6" w:rsidRPr="00043B6B">
        <w:rPr>
          <w:rFonts w:cs="Arial"/>
          <w:b/>
          <w:sz w:val="22"/>
          <w:szCs w:val="22"/>
        </w:rPr>
        <w:t>2</w:t>
      </w:r>
      <w:r w:rsidR="002B2260">
        <w:rPr>
          <w:rFonts w:cs="Arial"/>
          <w:b/>
          <w:sz w:val="22"/>
          <w:szCs w:val="22"/>
        </w:rPr>
        <w:t> </w:t>
      </w:r>
      <w:r w:rsidR="00402BE6" w:rsidRPr="00043B6B">
        <w:rPr>
          <w:rFonts w:cs="Arial"/>
          <w:b/>
          <w:sz w:val="22"/>
          <w:szCs w:val="22"/>
        </w:rPr>
        <w:t>3</w:t>
      </w:r>
      <w:r w:rsidR="00885A29" w:rsidRPr="00043B6B">
        <w:rPr>
          <w:rFonts w:cs="Arial"/>
          <w:b/>
          <w:sz w:val="22"/>
          <w:szCs w:val="22"/>
        </w:rPr>
        <w:t>56</w:t>
      </w:r>
      <w:r w:rsidR="002B2260">
        <w:rPr>
          <w:rFonts w:cs="Arial"/>
          <w:b/>
          <w:sz w:val="22"/>
          <w:szCs w:val="22"/>
        </w:rPr>
        <w:t> mil. </w:t>
      </w:r>
      <w:r w:rsidR="00B809F8" w:rsidRPr="00043B6B">
        <w:rPr>
          <w:rFonts w:cs="Arial"/>
          <w:b/>
          <w:sz w:val="22"/>
          <w:szCs w:val="22"/>
        </w:rPr>
        <w:t>Kč</w:t>
      </w:r>
      <w:r w:rsidR="00402BE6" w:rsidRPr="00043B6B">
        <w:rPr>
          <w:rFonts w:cs="Arial"/>
          <w:b/>
          <w:sz w:val="22"/>
          <w:szCs w:val="22"/>
        </w:rPr>
        <w:t xml:space="preserve"> původnímu dodavateli bez zadávacího řízení nebo bez jeho ukončení</w:t>
      </w:r>
      <w:r w:rsidR="00B809F8" w:rsidRPr="00043B6B">
        <w:rPr>
          <w:rFonts w:cs="Arial"/>
          <w:b/>
          <w:sz w:val="22"/>
          <w:szCs w:val="22"/>
        </w:rPr>
        <w:t xml:space="preserve"> a v některých případech i bez písemné smlouvy</w:t>
      </w:r>
      <w:r w:rsidR="00B809F8" w:rsidRPr="00043B6B">
        <w:rPr>
          <w:rFonts w:cs="Arial"/>
          <w:sz w:val="22"/>
          <w:szCs w:val="22"/>
        </w:rPr>
        <w:t xml:space="preserve"> (nedodržení § 7 a §</w:t>
      </w:r>
      <w:r w:rsidR="001E374C">
        <w:rPr>
          <w:rFonts w:cs="Arial"/>
          <w:sz w:val="22"/>
          <w:szCs w:val="22"/>
        </w:rPr>
        <w:t> </w:t>
      </w:r>
      <w:r w:rsidR="00B809F8" w:rsidRPr="00043B6B">
        <w:rPr>
          <w:rFonts w:cs="Arial"/>
          <w:sz w:val="22"/>
          <w:szCs w:val="22"/>
        </w:rPr>
        <w:t>21).</w:t>
      </w:r>
    </w:p>
    <w:p w:rsidR="005B69B1" w:rsidRPr="00043B6B" w:rsidRDefault="00455704" w:rsidP="005D099E">
      <w:pPr>
        <w:pStyle w:val="Odstavecseseznamem"/>
        <w:numPr>
          <w:ilvl w:val="0"/>
          <w:numId w:val="6"/>
        </w:numPr>
        <w:ind w:left="284" w:hanging="284"/>
        <w:jc w:val="both"/>
        <w:rPr>
          <w:rFonts w:cs="Arial"/>
          <w:sz w:val="22"/>
          <w:szCs w:val="22"/>
        </w:rPr>
      </w:pPr>
      <w:r w:rsidRPr="00043B6B">
        <w:rPr>
          <w:rFonts w:cs="Arial"/>
          <w:sz w:val="22"/>
          <w:szCs w:val="22"/>
        </w:rPr>
        <w:t>ŘSD uzavřelo</w:t>
      </w:r>
      <w:r w:rsidR="005B69B1" w:rsidRPr="00043B6B">
        <w:rPr>
          <w:rFonts w:cs="Arial"/>
          <w:sz w:val="22"/>
          <w:szCs w:val="22"/>
        </w:rPr>
        <w:t xml:space="preserve"> v březnu 2008</w:t>
      </w:r>
      <w:r w:rsidRPr="00043B6B">
        <w:rPr>
          <w:rFonts w:cs="Arial"/>
          <w:sz w:val="22"/>
          <w:szCs w:val="22"/>
        </w:rPr>
        <w:t xml:space="preserve"> na základě jednacího řízení bez uveřejnění smlouvu na poradenství k problematice rozvoje dopravní infrastruktury, mýtného systému a telematiky v ceně </w:t>
      </w:r>
      <w:r w:rsidR="005B69B1" w:rsidRPr="00043B6B">
        <w:rPr>
          <w:rFonts w:cs="Arial"/>
          <w:sz w:val="22"/>
          <w:szCs w:val="22"/>
        </w:rPr>
        <w:t>100 mil. Kč s dobou trvání deseti let. Na základě této smlouvy bylo</w:t>
      </w:r>
      <w:r w:rsidR="00522C42" w:rsidRPr="00043B6B">
        <w:rPr>
          <w:rFonts w:cs="Arial"/>
          <w:sz w:val="22"/>
          <w:szCs w:val="22"/>
        </w:rPr>
        <w:t xml:space="preserve"> v době kontroly</w:t>
      </w:r>
      <w:r w:rsidR="005B69B1" w:rsidRPr="00043B6B">
        <w:rPr>
          <w:rFonts w:cs="Arial"/>
          <w:sz w:val="22"/>
          <w:szCs w:val="22"/>
        </w:rPr>
        <w:t xml:space="preserve"> uhrazeno 50 mil. Kč. </w:t>
      </w:r>
      <w:r w:rsidR="005B69B1" w:rsidRPr="00043B6B">
        <w:rPr>
          <w:rFonts w:cs="Arial"/>
          <w:b/>
          <w:sz w:val="22"/>
          <w:szCs w:val="22"/>
        </w:rPr>
        <w:t>Pro zadání</w:t>
      </w:r>
      <w:r w:rsidR="009C4096">
        <w:rPr>
          <w:rFonts w:cs="Arial"/>
          <w:b/>
          <w:sz w:val="22"/>
          <w:szCs w:val="22"/>
        </w:rPr>
        <w:t xml:space="preserve"> zakázky</w:t>
      </w:r>
      <w:r w:rsidR="005B69B1" w:rsidRPr="00043B6B">
        <w:rPr>
          <w:rFonts w:cs="Arial"/>
          <w:b/>
          <w:sz w:val="22"/>
          <w:szCs w:val="22"/>
        </w:rPr>
        <w:t xml:space="preserve"> v jednacím řízení bez uveřejnění však nebyly splněny zákonné podmínky</w:t>
      </w:r>
      <w:r w:rsidR="005B69B1" w:rsidRPr="00043B6B">
        <w:rPr>
          <w:rFonts w:cs="Arial"/>
          <w:sz w:val="22"/>
          <w:szCs w:val="22"/>
        </w:rPr>
        <w:t xml:space="preserve"> (nedodržení § 23). ŘSD </w:t>
      </w:r>
      <w:r w:rsidR="0046040B" w:rsidRPr="00043B6B">
        <w:rPr>
          <w:rFonts w:cs="Arial"/>
          <w:sz w:val="22"/>
          <w:szCs w:val="22"/>
        </w:rPr>
        <w:t>navíc</w:t>
      </w:r>
      <w:r w:rsidR="005B69B1" w:rsidRPr="00043B6B">
        <w:rPr>
          <w:rFonts w:cs="Arial"/>
          <w:sz w:val="22"/>
          <w:szCs w:val="22"/>
        </w:rPr>
        <w:t xml:space="preserve"> specifikovalo zadávací podmínky tak, že je mohl splnit</w:t>
      </w:r>
      <w:r w:rsidR="00B809F8" w:rsidRPr="00043B6B">
        <w:rPr>
          <w:rFonts w:cs="Arial"/>
          <w:sz w:val="22"/>
          <w:szCs w:val="22"/>
        </w:rPr>
        <w:t xml:space="preserve"> jen</w:t>
      </w:r>
      <w:r w:rsidR="005B69B1" w:rsidRPr="00043B6B">
        <w:rPr>
          <w:rFonts w:cs="Arial"/>
          <w:sz w:val="22"/>
          <w:szCs w:val="22"/>
        </w:rPr>
        <w:t xml:space="preserve"> dodavatel, se kterým byla uzavřena smlouva (nedodržení § 45).</w:t>
      </w:r>
      <w:r w:rsidR="003F72F2" w:rsidRPr="00043B6B">
        <w:rPr>
          <w:rFonts w:cs="Arial"/>
          <w:sz w:val="22"/>
          <w:szCs w:val="22"/>
        </w:rPr>
        <w:t xml:space="preserve">  </w:t>
      </w:r>
    </w:p>
    <w:p w:rsidR="003F72F2" w:rsidRPr="00043B6B" w:rsidRDefault="003F72F2" w:rsidP="005D099E">
      <w:pPr>
        <w:pStyle w:val="Odstavecseseznamem"/>
        <w:numPr>
          <w:ilvl w:val="0"/>
          <w:numId w:val="6"/>
        </w:numPr>
        <w:ind w:left="284" w:hanging="284"/>
        <w:jc w:val="both"/>
        <w:rPr>
          <w:rFonts w:cs="Arial"/>
          <w:sz w:val="22"/>
          <w:szCs w:val="22"/>
        </w:rPr>
      </w:pPr>
      <w:r w:rsidRPr="00043B6B">
        <w:rPr>
          <w:rFonts w:cs="Arial"/>
          <w:sz w:val="22"/>
          <w:szCs w:val="22"/>
        </w:rPr>
        <w:t xml:space="preserve">ŘSD zadávalo od listopadu 2011 </w:t>
      </w:r>
      <w:r w:rsidR="009C4096">
        <w:rPr>
          <w:rFonts w:cs="Arial"/>
          <w:sz w:val="22"/>
          <w:szCs w:val="22"/>
        </w:rPr>
        <w:t xml:space="preserve">zakázky na </w:t>
      </w:r>
      <w:r w:rsidR="00E8284D" w:rsidRPr="00043B6B">
        <w:rPr>
          <w:rFonts w:cs="Arial"/>
          <w:sz w:val="22"/>
          <w:szCs w:val="22"/>
        </w:rPr>
        <w:t>poskytování</w:t>
      </w:r>
      <w:r w:rsidR="00FB7993" w:rsidRPr="00043B6B">
        <w:rPr>
          <w:rFonts w:cs="Arial"/>
          <w:sz w:val="22"/>
          <w:szCs w:val="22"/>
        </w:rPr>
        <w:t xml:space="preserve"> právní</w:t>
      </w:r>
      <w:r w:rsidR="00E8284D" w:rsidRPr="00043B6B">
        <w:rPr>
          <w:rFonts w:cs="Arial"/>
          <w:sz w:val="22"/>
          <w:szCs w:val="22"/>
        </w:rPr>
        <w:t>ch</w:t>
      </w:r>
      <w:r w:rsidR="00FB7993" w:rsidRPr="00043B6B">
        <w:rPr>
          <w:rFonts w:cs="Arial"/>
          <w:sz w:val="22"/>
          <w:szCs w:val="22"/>
        </w:rPr>
        <w:t xml:space="preserve"> služ</w:t>
      </w:r>
      <w:r w:rsidR="00E8284D" w:rsidRPr="00043B6B">
        <w:rPr>
          <w:rFonts w:cs="Arial"/>
          <w:sz w:val="22"/>
          <w:szCs w:val="22"/>
        </w:rPr>
        <w:t>e</w:t>
      </w:r>
      <w:r w:rsidR="00FB7993" w:rsidRPr="00043B6B">
        <w:rPr>
          <w:rFonts w:cs="Arial"/>
          <w:sz w:val="22"/>
          <w:szCs w:val="22"/>
        </w:rPr>
        <w:t>b související</w:t>
      </w:r>
      <w:r w:rsidR="00E8284D" w:rsidRPr="00043B6B">
        <w:rPr>
          <w:rFonts w:cs="Arial"/>
          <w:sz w:val="22"/>
          <w:szCs w:val="22"/>
        </w:rPr>
        <w:t>ch</w:t>
      </w:r>
      <w:r w:rsidR="00FB7993" w:rsidRPr="00043B6B">
        <w:rPr>
          <w:rFonts w:cs="Arial"/>
          <w:sz w:val="22"/>
          <w:szCs w:val="22"/>
        </w:rPr>
        <w:t xml:space="preserve"> s</w:t>
      </w:r>
      <w:r w:rsidR="00AB2264">
        <w:rPr>
          <w:rFonts w:cs="Arial"/>
          <w:sz w:val="22"/>
          <w:szCs w:val="22"/>
        </w:rPr>
        <w:t> </w:t>
      </w:r>
      <w:r w:rsidR="00FB7993" w:rsidRPr="00043B6B">
        <w:rPr>
          <w:rFonts w:cs="Arial"/>
          <w:sz w:val="22"/>
          <w:szCs w:val="22"/>
        </w:rPr>
        <w:t xml:space="preserve">uplatňováním nároků z vad dálnice </w:t>
      </w:r>
      <w:r w:rsidR="00E8284D" w:rsidRPr="00043B6B">
        <w:rPr>
          <w:rFonts w:cs="Arial"/>
          <w:sz w:val="22"/>
          <w:szCs w:val="22"/>
        </w:rPr>
        <w:t>advokátní kanceláři</w:t>
      </w:r>
      <w:r w:rsidR="00B809F8" w:rsidRPr="00043B6B">
        <w:rPr>
          <w:rFonts w:cs="Arial"/>
          <w:sz w:val="22"/>
          <w:szCs w:val="22"/>
        </w:rPr>
        <w:t xml:space="preserve">, se kterou </w:t>
      </w:r>
      <w:r w:rsidR="0093035C" w:rsidRPr="00043B6B">
        <w:rPr>
          <w:rFonts w:cs="Arial"/>
          <w:sz w:val="22"/>
          <w:szCs w:val="22"/>
        </w:rPr>
        <w:t>uzavřelo v květnu 2010 prováděcí smlouvu</w:t>
      </w:r>
      <w:r w:rsidR="00B809F8" w:rsidRPr="00043B6B">
        <w:rPr>
          <w:rFonts w:cs="Arial"/>
          <w:sz w:val="22"/>
          <w:szCs w:val="22"/>
        </w:rPr>
        <w:t xml:space="preserve"> k rámcové smlouvě</w:t>
      </w:r>
      <w:r w:rsidR="00E8284D">
        <w:rPr>
          <w:rStyle w:val="Znakapoznpodarou"/>
          <w:rFonts w:cs="Arial"/>
          <w:sz w:val="22"/>
          <w:szCs w:val="22"/>
        </w:rPr>
        <w:footnoteReference w:id="28"/>
      </w:r>
      <w:r w:rsidR="00E8284D" w:rsidRPr="00043B6B">
        <w:rPr>
          <w:rFonts w:cs="Arial"/>
          <w:sz w:val="22"/>
          <w:szCs w:val="22"/>
        </w:rPr>
        <w:t>.</w:t>
      </w:r>
      <w:r w:rsidRPr="00043B6B">
        <w:rPr>
          <w:rFonts w:cs="Arial"/>
          <w:sz w:val="22"/>
          <w:szCs w:val="22"/>
        </w:rPr>
        <w:t xml:space="preserve"> Do doby kontroly j</w:t>
      </w:r>
      <w:r w:rsidR="009C4096">
        <w:rPr>
          <w:rFonts w:cs="Arial"/>
          <w:sz w:val="22"/>
          <w:szCs w:val="22"/>
        </w:rPr>
        <w:t>í</w:t>
      </w:r>
      <w:r w:rsidRPr="00043B6B">
        <w:rPr>
          <w:rFonts w:cs="Arial"/>
          <w:sz w:val="22"/>
          <w:szCs w:val="22"/>
        </w:rPr>
        <w:t xml:space="preserve"> za poskyt</w:t>
      </w:r>
      <w:r w:rsidR="00AE3A56" w:rsidRPr="00043B6B">
        <w:rPr>
          <w:rFonts w:cs="Arial"/>
          <w:sz w:val="22"/>
          <w:szCs w:val="22"/>
        </w:rPr>
        <w:t>ování těchto služeb uhradilo 32 mil. </w:t>
      </w:r>
      <w:r w:rsidRPr="00043B6B">
        <w:rPr>
          <w:rFonts w:cs="Arial"/>
          <w:sz w:val="22"/>
          <w:szCs w:val="22"/>
        </w:rPr>
        <w:t>Kč.</w:t>
      </w:r>
      <w:r w:rsidR="00E8284D" w:rsidRPr="00043B6B">
        <w:rPr>
          <w:rFonts w:cs="Arial"/>
          <w:sz w:val="22"/>
          <w:szCs w:val="22"/>
        </w:rPr>
        <w:t xml:space="preserve"> Předmětem</w:t>
      </w:r>
      <w:r w:rsidR="00B809F8" w:rsidRPr="00043B6B">
        <w:rPr>
          <w:rFonts w:cs="Arial"/>
          <w:sz w:val="22"/>
          <w:szCs w:val="22"/>
        </w:rPr>
        <w:t xml:space="preserve"> </w:t>
      </w:r>
      <w:r w:rsidR="0087748D" w:rsidRPr="00043B6B">
        <w:rPr>
          <w:rFonts w:cs="Arial"/>
          <w:sz w:val="22"/>
          <w:szCs w:val="22"/>
        </w:rPr>
        <w:t>prováděcí</w:t>
      </w:r>
      <w:r w:rsidR="00E8284D" w:rsidRPr="00043B6B">
        <w:rPr>
          <w:rFonts w:cs="Arial"/>
          <w:sz w:val="22"/>
          <w:szCs w:val="22"/>
        </w:rPr>
        <w:t xml:space="preserve"> smlouvy však nebyly právní s</w:t>
      </w:r>
      <w:r w:rsidRPr="00043B6B">
        <w:rPr>
          <w:rFonts w:cs="Arial"/>
          <w:sz w:val="22"/>
          <w:szCs w:val="22"/>
        </w:rPr>
        <w:t xml:space="preserve">lužby související s reklamacemi. </w:t>
      </w:r>
      <w:r w:rsidRPr="00043B6B">
        <w:rPr>
          <w:rFonts w:cs="Arial"/>
          <w:b/>
          <w:sz w:val="22"/>
          <w:szCs w:val="22"/>
        </w:rPr>
        <w:t xml:space="preserve">Veřejná zakázka tak </w:t>
      </w:r>
      <w:r w:rsidR="004357F7" w:rsidRPr="00043B6B">
        <w:rPr>
          <w:rFonts w:cs="Arial"/>
          <w:b/>
          <w:sz w:val="22"/>
          <w:szCs w:val="22"/>
        </w:rPr>
        <w:t>ne</w:t>
      </w:r>
      <w:r w:rsidRPr="00043B6B">
        <w:rPr>
          <w:rFonts w:cs="Arial"/>
          <w:b/>
          <w:sz w:val="22"/>
          <w:szCs w:val="22"/>
        </w:rPr>
        <w:t>byla zadána</w:t>
      </w:r>
      <w:r w:rsidR="004357F7" w:rsidRPr="00043B6B">
        <w:rPr>
          <w:rFonts w:cs="Arial"/>
          <w:b/>
          <w:sz w:val="22"/>
          <w:szCs w:val="22"/>
        </w:rPr>
        <w:t xml:space="preserve"> žádným ze způsobů stan</w:t>
      </w:r>
      <w:r w:rsidR="00A5596A" w:rsidRPr="00043B6B">
        <w:rPr>
          <w:rFonts w:cs="Arial"/>
          <w:b/>
          <w:sz w:val="22"/>
          <w:szCs w:val="22"/>
        </w:rPr>
        <w:t>ovených v zákoně č. 137/2006 Sb</w:t>
      </w:r>
      <w:r w:rsidRPr="00D425E9">
        <w:rPr>
          <w:rFonts w:cs="Arial"/>
          <w:b/>
          <w:sz w:val="22"/>
          <w:szCs w:val="22"/>
        </w:rPr>
        <w:t>.</w:t>
      </w:r>
      <w:r w:rsidRPr="00043B6B">
        <w:rPr>
          <w:rFonts w:cs="Arial"/>
          <w:sz w:val="22"/>
          <w:szCs w:val="22"/>
        </w:rPr>
        <w:t xml:space="preserve"> Jednotková cena této advokátní</w:t>
      </w:r>
      <w:r w:rsidR="00A5596A" w:rsidRPr="00043B6B">
        <w:rPr>
          <w:rFonts w:cs="Arial"/>
          <w:sz w:val="22"/>
          <w:szCs w:val="22"/>
        </w:rPr>
        <w:t xml:space="preserve"> kanceláře 5</w:t>
      </w:r>
      <w:r w:rsidR="00704BC9">
        <w:rPr>
          <w:rFonts w:cs="Arial"/>
          <w:sz w:val="22"/>
          <w:szCs w:val="22"/>
        </w:rPr>
        <w:t> </w:t>
      </w:r>
      <w:r w:rsidR="00A5596A" w:rsidRPr="00043B6B">
        <w:rPr>
          <w:rFonts w:cs="Arial"/>
          <w:sz w:val="22"/>
          <w:szCs w:val="22"/>
        </w:rPr>
        <w:t>712</w:t>
      </w:r>
      <w:r w:rsidR="00704BC9">
        <w:rPr>
          <w:rFonts w:cs="Arial"/>
          <w:sz w:val="22"/>
          <w:szCs w:val="22"/>
        </w:rPr>
        <w:t> </w:t>
      </w:r>
      <w:r w:rsidR="00A5596A" w:rsidRPr="00043B6B">
        <w:rPr>
          <w:rFonts w:cs="Arial"/>
          <w:sz w:val="22"/>
          <w:szCs w:val="22"/>
        </w:rPr>
        <w:t>Kč/hod. byla o </w:t>
      </w:r>
      <w:r w:rsidRPr="00043B6B">
        <w:rPr>
          <w:rFonts w:cs="Arial"/>
          <w:sz w:val="22"/>
          <w:szCs w:val="22"/>
        </w:rPr>
        <w:t xml:space="preserve">37 % vyšší než </w:t>
      </w:r>
      <w:r w:rsidR="009C4096">
        <w:rPr>
          <w:rFonts w:cs="Arial"/>
          <w:sz w:val="22"/>
          <w:szCs w:val="22"/>
        </w:rPr>
        <w:t xml:space="preserve">cena </w:t>
      </w:r>
      <w:r w:rsidR="001E374C">
        <w:rPr>
          <w:rFonts w:cs="Arial"/>
          <w:sz w:val="22"/>
          <w:szCs w:val="22"/>
        </w:rPr>
        <w:t>u </w:t>
      </w:r>
      <w:r w:rsidRPr="00043B6B">
        <w:rPr>
          <w:rFonts w:cs="Arial"/>
          <w:sz w:val="22"/>
          <w:szCs w:val="22"/>
        </w:rPr>
        <w:t>ostatních</w:t>
      </w:r>
      <w:r w:rsidR="00522C42" w:rsidRPr="00043B6B">
        <w:rPr>
          <w:rFonts w:cs="Arial"/>
          <w:sz w:val="22"/>
          <w:szCs w:val="22"/>
        </w:rPr>
        <w:t xml:space="preserve"> advokátních kanceláří, se kterými byla rámcová smlouva</w:t>
      </w:r>
      <w:r w:rsidRPr="00043B6B">
        <w:rPr>
          <w:rFonts w:cs="Arial"/>
          <w:sz w:val="22"/>
          <w:szCs w:val="22"/>
        </w:rPr>
        <w:t xml:space="preserve"> </w:t>
      </w:r>
      <w:r w:rsidR="0093035C" w:rsidRPr="00043B6B">
        <w:rPr>
          <w:rFonts w:cs="Arial"/>
          <w:sz w:val="22"/>
          <w:szCs w:val="22"/>
        </w:rPr>
        <w:t>uzavřena.</w:t>
      </w:r>
    </w:p>
    <w:p w:rsidR="00FB7993" w:rsidRPr="00A87228" w:rsidRDefault="006F0733" w:rsidP="00A87228">
      <w:pPr>
        <w:ind w:left="284"/>
        <w:jc w:val="both"/>
        <w:rPr>
          <w:rFonts w:cs="Arial"/>
          <w:sz w:val="22"/>
          <w:szCs w:val="22"/>
        </w:rPr>
      </w:pPr>
      <w:r w:rsidRPr="00A87228">
        <w:rPr>
          <w:rFonts w:cs="Arial"/>
          <w:sz w:val="22"/>
          <w:szCs w:val="22"/>
        </w:rPr>
        <w:t>Pro potřeby řízení před rozhodčím soudem ve věci uvedeného reklamačního řízení uzavřelo ŘSD v dubnu 2012 n</w:t>
      </w:r>
      <w:r w:rsidR="00564313" w:rsidRPr="00A87228">
        <w:rPr>
          <w:rFonts w:cs="Arial"/>
          <w:sz w:val="22"/>
          <w:szCs w:val="22"/>
        </w:rPr>
        <w:t>a základě</w:t>
      </w:r>
      <w:r w:rsidRPr="00A87228">
        <w:rPr>
          <w:rFonts w:cs="Arial"/>
          <w:sz w:val="22"/>
          <w:szCs w:val="22"/>
        </w:rPr>
        <w:t xml:space="preserve"> výzvy jednomu zájemci v jednacím</w:t>
      </w:r>
      <w:r w:rsidR="00564313" w:rsidRPr="00A87228">
        <w:rPr>
          <w:rFonts w:cs="Arial"/>
          <w:sz w:val="22"/>
          <w:szCs w:val="22"/>
        </w:rPr>
        <w:t xml:space="preserve"> řízení bez uveřejnění </w:t>
      </w:r>
      <w:r w:rsidR="00D425E9">
        <w:rPr>
          <w:rFonts w:cs="Arial"/>
          <w:sz w:val="22"/>
          <w:szCs w:val="22"/>
        </w:rPr>
        <w:t xml:space="preserve">i </w:t>
      </w:r>
      <w:r w:rsidRPr="00A87228">
        <w:rPr>
          <w:rFonts w:cs="Arial"/>
          <w:sz w:val="22"/>
          <w:szCs w:val="22"/>
        </w:rPr>
        <w:t xml:space="preserve">smlouvu v ceně 25 mil. Kč na geotechnický a diagnostický průzkum. </w:t>
      </w:r>
      <w:r w:rsidRPr="00A87228">
        <w:rPr>
          <w:rFonts w:cs="Arial"/>
          <w:b/>
          <w:sz w:val="22"/>
          <w:szCs w:val="22"/>
        </w:rPr>
        <w:t>Důvod, proč vyzvalo pouze jednoho zájemce</w:t>
      </w:r>
      <w:r w:rsidR="007017B7">
        <w:rPr>
          <w:rFonts w:cs="Arial"/>
          <w:b/>
          <w:sz w:val="22"/>
          <w:szCs w:val="22"/>
        </w:rPr>
        <w:t>,</w:t>
      </w:r>
      <w:r w:rsidRPr="00A87228">
        <w:rPr>
          <w:rFonts w:cs="Arial"/>
          <w:b/>
          <w:sz w:val="22"/>
          <w:szCs w:val="22"/>
        </w:rPr>
        <w:t xml:space="preserve"> ŘSD dostatečně nedoložilo</w:t>
      </w:r>
      <w:r w:rsidRPr="00D425E9">
        <w:rPr>
          <w:rFonts w:cs="Arial"/>
          <w:b/>
          <w:sz w:val="22"/>
          <w:szCs w:val="22"/>
        </w:rPr>
        <w:t>.</w:t>
      </w:r>
      <w:r w:rsidRPr="00A87228">
        <w:rPr>
          <w:rFonts w:cs="Arial"/>
          <w:sz w:val="22"/>
          <w:szCs w:val="22"/>
        </w:rPr>
        <w:t xml:space="preserve"> Rozhodčí řízení bylo v průběhu provádění této zakázky</w:t>
      </w:r>
      <w:r w:rsidR="00A674DD" w:rsidRPr="00A87228">
        <w:rPr>
          <w:rFonts w:cs="Arial"/>
          <w:sz w:val="22"/>
          <w:szCs w:val="22"/>
        </w:rPr>
        <w:t xml:space="preserve"> v červenci 2012</w:t>
      </w:r>
      <w:r w:rsidRPr="00A87228">
        <w:rPr>
          <w:rFonts w:cs="Arial"/>
          <w:sz w:val="22"/>
          <w:szCs w:val="22"/>
        </w:rPr>
        <w:t xml:space="preserve"> ukončeno.</w:t>
      </w:r>
      <w:r w:rsidR="00A674DD" w:rsidRPr="00A87228">
        <w:rPr>
          <w:rFonts w:cs="Arial"/>
          <w:sz w:val="22"/>
          <w:szCs w:val="22"/>
        </w:rPr>
        <w:t xml:space="preserve"> ŘSD pro řízení před rozhodčím soudem použilo jen tři dílčí zprávy a uvedlo, že závěrečné zprávy byly využity pro žaloby, které podalo v listopadu a prosinci 2012. </w:t>
      </w:r>
      <w:r w:rsidRPr="00A87228">
        <w:rPr>
          <w:rFonts w:cs="Arial"/>
          <w:sz w:val="22"/>
          <w:szCs w:val="22"/>
        </w:rPr>
        <w:t xml:space="preserve">   </w:t>
      </w:r>
      <w:r w:rsidR="00564313" w:rsidRPr="00A87228">
        <w:rPr>
          <w:rFonts w:cs="Arial"/>
          <w:sz w:val="22"/>
          <w:szCs w:val="22"/>
        </w:rPr>
        <w:t xml:space="preserve"> </w:t>
      </w:r>
      <w:r w:rsidR="003F72F2" w:rsidRPr="00A87228">
        <w:rPr>
          <w:rFonts w:cs="Arial"/>
          <w:sz w:val="22"/>
          <w:szCs w:val="22"/>
        </w:rPr>
        <w:t xml:space="preserve">   </w:t>
      </w:r>
    </w:p>
    <w:p w:rsidR="003A4B8E" w:rsidRPr="00043B6B" w:rsidRDefault="00917B99" w:rsidP="005D099E">
      <w:pPr>
        <w:pStyle w:val="Odstavecseseznamem"/>
        <w:numPr>
          <w:ilvl w:val="0"/>
          <w:numId w:val="6"/>
        </w:numPr>
        <w:ind w:left="284" w:hanging="284"/>
        <w:jc w:val="both"/>
        <w:rPr>
          <w:rFonts w:cs="Arial"/>
          <w:sz w:val="22"/>
          <w:szCs w:val="22"/>
        </w:rPr>
      </w:pPr>
      <w:r w:rsidRPr="00043B6B">
        <w:rPr>
          <w:rFonts w:cs="Arial"/>
          <w:b/>
          <w:sz w:val="22"/>
          <w:szCs w:val="22"/>
        </w:rPr>
        <w:t>ŘSD nepředložilo k zadávacímu řízení na výběr dodavatele stavebních prací</w:t>
      </w:r>
      <w:r w:rsidRPr="00043B6B">
        <w:rPr>
          <w:rFonts w:cs="Arial"/>
          <w:sz w:val="22"/>
          <w:szCs w:val="22"/>
        </w:rPr>
        <w:t xml:space="preserve"> na R46</w:t>
      </w:r>
      <w:r w:rsidR="009B4BE6" w:rsidRPr="00043B6B">
        <w:rPr>
          <w:rFonts w:cs="Arial"/>
          <w:sz w:val="22"/>
          <w:szCs w:val="22"/>
        </w:rPr>
        <w:t xml:space="preserve"> </w:t>
      </w:r>
      <w:r w:rsidR="00747358">
        <w:rPr>
          <w:rFonts w:cs="Arial"/>
          <w:sz w:val="22"/>
          <w:szCs w:val="22"/>
        </w:rPr>
        <w:t>v rámci výstavby</w:t>
      </w:r>
      <w:r w:rsidR="009B4BE6" w:rsidRPr="00043B6B">
        <w:rPr>
          <w:rFonts w:cs="Arial"/>
          <w:sz w:val="22"/>
          <w:szCs w:val="22"/>
        </w:rPr>
        <w:t xml:space="preserve"> mimoúrovňových křižovatek </w:t>
      </w:r>
      <w:proofErr w:type="gramStart"/>
      <w:r w:rsidRPr="00043B6B">
        <w:rPr>
          <w:rFonts w:cs="Arial"/>
          <w:sz w:val="22"/>
          <w:szCs w:val="22"/>
        </w:rPr>
        <w:t>Vranovice</w:t>
      </w:r>
      <w:proofErr w:type="gramEnd"/>
      <w:r w:rsidR="009B4BE6" w:rsidRPr="00043B6B">
        <w:rPr>
          <w:rFonts w:cs="Arial"/>
          <w:sz w:val="22"/>
          <w:szCs w:val="22"/>
        </w:rPr>
        <w:t>–</w:t>
      </w:r>
      <w:proofErr w:type="gramStart"/>
      <w:r w:rsidR="009B4BE6" w:rsidRPr="00043B6B">
        <w:rPr>
          <w:rFonts w:cs="Arial"/>
          <w:sz w:val="22"/>
          <w:szCs w:val="22"/>
        </w:rPr>
        <w:t>K</w:t>
      </w:r>
      <w:r w:rsidRPr="00043B6B">
        <w:rPr>
          <w:rFonts w:cs="Arial"/>
          <w:sz w:val="22"/>
          <w:szCs w:val="22"/>
        </w:rPr>
        <w:t>elčice</w:t>
      </w:r>
      <w:proofErr w:type="gramEnd"/>
      <w:r w:rsidR="009B4BE6" w:rsidRPr="00043B6B">
        <w:rPr>
          <w:rFonts w:cs="Arial"/>
          <w:sz w:val="22"/>
          <w:szCs w:val="22"/>
        </w:rPr>
        <w:t xml:space="preserve"> a </w:t>
      </w:r>
      <w:r w:rsidRPr="00043B6B">
        <w:rPr>
          <w:rFonts w:cs="Arial"/>
          <w:sz w:val="22"/>
          <w:szCs w:val="22"/>
        </w:rPr>
        <w:t>Brodek u</w:t>
      </w:r>
      <w:r w:rsidR="00747358">
        <w:rPr>
          <w:rFonts w:cs="Arial"/>
          <w:sz w:val="22"/>
          <w:szCs w:val="22"/>
        </w:rPr>
        <w:t> </w:t>
      </w:r>
      <w:r w:rsidRPr="00043B6B">
        <w:rPr>
          <w:rFonts w:cs="Arial"/>
          <w:sz w:val="22"/>
          <w:szCs w:val="22"/>
        </w:rPr>
        <w:t xml:space="preserve">Prostějova, které bylo ukončeno v červnu 2008, </w:t>
      </w:r>
      <w:r w:rsidRPr="00043B6B">
        <w:rPr>
          <w:rFonts w:cs="Arial"/>
          <w:b/>
          <w:sz w:val="22"/>
          <w:szCs w:val="22"/>
        </w:rPr>
        <w:t>úplnou zadávací dokumentaci</w:t>
      </w:r>
      <w:r w:rsidR="008809F3" w:rsidRPr="00043B6B">
        <w:rPr>
          <w:rFonts w:cs="Arial"/>
          <w:b/>
          <w:sz w:val="22"/>
          <w:szCs w:val="22"/>
        </w:rPr>
        <w:t xml:space="preserve"> ani některé další doklady</w:t>
      </w:r>
      <w:r w:rsidR="008809F3" w:rsidRPr="00043B6B">
        <w:rPr>
          <w:rFonts w:cs="Arial"/>
          <w:sz w:val="22"/>
          <w:szCs w:val="22"/>
        </w:rPr>
        <w:t xml:space="preserve"> s odůvodněním, že je</w:t>
      </w:r>
      <w:r w:rsidR="00EB643C" w:rsidRPr="00043B6B">
        <w:rPr>
          <w:rFonts w:cs="Arial"/>
          <w:sz w:val="22"/>
          <w:szCs w:val="22"/>
        </w:rPr>
        <w:t xml:space="preserve"> již nemá </w:t>
      </w:r>
      <w:r w:rsidR="003A4B8E" w:rsidRPr="00043B6B">
        <w:rPr>
          <w:rFonts w:cs="Arial"/>
          <w:sz w:val="22"/>
          <w:szCs w:val="22"/>
        </w:rPr>
        <w:t xml:space="preserve">k dispozici (nedodržení § 155). </w:t>
      </w:r>
      <w:r w:rsidR="00EB643C" w:rsidRPr="00043B6B">
        <w:rPr>
          <w:rFonts w:cs="Arial"/>
          <w:sz w:val="22"/>
          <w:szCs w:val="22"/>
        </w:rPr>
        <w:t>Nebylo</w:t>
      </w:r>
      <w:r w:rsidR="003A4B8E" w:rsidRPr="00043B6B">
        <w:rPr>
          <w:rFonts w:cs="Arial"/>
          <w:sz w:val="22"/>
          <w:szCs w:val="22"/>
        </w:rPr>
        <w:t xml:space="preserve"> tak</w:t>
      </w:r>
      <w:r w:rsidR="00EB643C" w:rsidRPr="00043B6B">
        <w:rPr>
          <w:rFonts w:cs="Arial"/>
          <w:sz w:val="22"/>
          <w:szCs w:val="22"/>
        </w:rPr>
        <w:t xml:space="preserve"> možno ověřit, zda </w:t>
      </w:r>
      <w:r w:rsidR="00311871" w:rsidRPr="00043B6B">
        <w:rPr>
          <w:rFonts w:cs="Arial"/>
          <w:sz w:val="22"/>
          <w:szCs w:val="22"/>
        </w:rPr>
        <w:t>tato</w:t>
      </w:r>
      <w:r w:rsidR="00EB643C" w:rsidRPr="00043B6B">
        <w:rPr>
          <w:rFonts w:cs="Arial"/>
          <w:sz w:val="22"/>
          <w:szCs w:val="22"/>
        </w:rPr>
        <w:t xml:space="preserve"> dokumentace </w:t>
      </w:r>
      <w:r w:rsidR="00311871" w:rsidRPr="00043B6B">
        <w:rPr>
          <w:rFonts w:cs="Arial"/>
          <w:sz w:val="22"/>
          <w:szCs w:val="22"/>
        </w:rPr>
        <w:t>odpovídala požadavkům stanoveným v</w:t>
      </w:r>
      <w:r w:rsidR="009D1AE6">
        <w:rPr>
          <w:rFonts w:cs="Arial"/>
          <w:sz w:val="22"/>
          <w:szCs w:val="22"/>
        </w:rPr>
        <w:t> </w:t>
      </w:r>
      <w:r w:rsidR="00EB643C" w:rsidRPr="00043B6B">
        <w:rPr>
          <w:rFonts w:cs="Arial"/>
          <w:sz w:val="22"/>
          <w:szCs w:val="22"/>
        </w:rPr>
        <w:t>§ 44</w:t>
      </w:r>
      <w:r w:rsidR="00E70AE1" w:rsidRPr="00043B6B">
        <w:rPr>
          <w:rFonts w:cs="Arial"/>
          <w:sz w:val="22"/>
          <w:szCs w:val="22"/>
        </w:rPr>
        <w:t xml:space="preserve"> zákona č. </w:t>
      </w:r>
      <w:r w:rsidR="00184724" w:rsidRPr="00043B6B">
        <w:rPr>
          <w:rFonts w:cs="Arial"/>
          <w:sz w:val="22"/>
          <w:szCs w:val="22"/>
        </w:rPr>
        <w:t>137/2006 Sb.</w:t>
      </w:r>
      <w:r w:rsidR="003A4B8E" w:rsidRPr="00043B6B">
        <w:rPr>
          <w:rFonts w:cs="Arial"/>
          <w:sz w:val="22"/>
          <w:szCs w:val="22"/>
        </w:rPr>
        <w:t xml:space="preserve"> </w:t>
      </w:r>
    </w:p>
    <w:p w:rsidR="00FB0E34" w:rsidRPr="00043B6B" w:rsidRDefault="000855DB" w:rsidP="005D099E">
      <w:pPr>
        <w:pStyle w:val="Odstavecseseznamem"/>
        <w:numPr>
          <w:ilvl w:val="0"/>
          <w:numId w:val="6"/>
        </w:numPr>
        <w:ind w:left="284" w:hanging="284"/>
        <w:jc w:val="both"/>
        <w:rPr>
          <w:rFonts w:cs="Arial"/>
          <w:sz w:val="22"/>
          <w:szCs w:val="22"/>
        </w:rPr>
      </w:pPr>
      <w:r w:rsidRPr="00043B6B">
        <w:rPr>
          <w:rFonts w:cs="Arial"/>
          <w:sz w:val="22"/>
          <w:szCs w:val="22"/>
        </w:rPr>
        <w:t>Předmět</w:t>
      </w:r>
      <w:r w:rsidR="00FB0E34" w:rsidRPr="00043B6B">
        <w:rPr>
          <w:rFonts w:cs="Arial"/>
          <w:sz w:val="22"/>
          <w:szCs w:val="22"/>
        </w:rPr>
        <w:t>em veřejné zakázky byly</w:t>
      </w:r>
      <w:r w:rsidRPr="00043B6B">
        <w:rPr>
          <w:rFonts w:cs="Arial"/>
          <w:sz w:val="22"/>
          <w:szCs w:val="22"/>
        </w:rPr>
        <w:t xml:space="preserve"> v</w:t>
      </w:r>
      <w:r w:rsidR="00184724" w:rsidRPr="00043B6B">
        <w:rPr>
          <w:rFonts w:cs="Arial"/>
          <w:sz w:val="22"/>
          <w:szCs w:val="22"/>
        </w:rPr>
        <w:t> podmínkách ŘSD nestandardn</w:t>
      </w:r>
      <w:r w:rsidR="001E374C">
        <w:rPr>
          <w:rFonts w:cs="Arial"/>
          <w:sz w:val="22"/>
          <w:szCs w:val="22"/>
        </w:rPr>
        <w:t>í</w:t>
      </w:r>
      <w:r w:rsidR="00FB0E34" w:rsidRPr="00043B6B">
        <w:rPr>
          <w:rFonts w:cs="Arial"/>
          <w:sz w:val="22"/>
          <w:szCs w:val="22"/>
        </w:rPr>
        <w:t xml:space="preserve"> výkon</w:t>
      </w:r>
      <w:r w:rsidR="00533E8B" w:rsidRPr="00043B6B">
        <w:rPr>
          <w:rFonts w:cs="Arial"/>
          <w:sz w:val="22"/>
          <w:szCs w:val="22"/>
        </w:rPr>
        <w:t>y</w:t>
      </w:r>
      <w:r w:rsidR="00FB0E34" w:rsidRPr="00043B6B">
        <w:rPr>
          <w:rFonts w:cs="Arial"/>
          <w:sz w:val="22"/>
          <w:szCs w:val="22"/>
        </w:rPr>
        <w:t xml:space="preserve"> veškerých inženýrských činností </w:t>
      </w:r>
      <w:r w:rsidR="00533E8B" w:rsidRPr="00043B6B">
        <w:rPr>
          <w:rFonts w:cs="Arial"/>
          <w:sz w:val="22"/>
          <w:szCs w:val="22"/>
        </w:rPr>
        <w:t>i</w:t>
      </w:r>
      <w:r w:rsidR="00FB0E34" w:rsidRPr="00043B6B">
        <w:rPr>
          <w:rFonts w:cs="Arial"/>
          <w:sz w:val="22"/>
          <w:szCs w:val="22"/>
        </w:rPr>
        <w:t xml:space="preserve"> realizace stavebních prací. V rámci inženýrských činností měl dodavatel mj. vypracovat projektové dokumentace a zajistit územní rozhodnutí a stavební povolení.</w:t>
      </w:r>
      <w:r w:rsidR="00D16C09" w:rsidRPr="00043B6B">
        <w:rPr>
          <w:rFonts w:cs="Arial"/>
          <w:sz w:val="22"/>
          <w:szCs w:val="22"/>
        </w:rPr>
        <w:t xml:space="preserve"> Z dokladů nebylo zřejmé, jaký stupeň projektové dokumentace měl dodavatel vypracovat</w:t>
      </w:r>
      <w:r w:rsidR="001E374C">
        <w:rPr>
          <w:rFonts w:cs="Arial"/>
          <w:sz w:val="22"/>
          <w:szCs w:val="22"/>
        </w:rPr>
        <w:t>,</w:t>
      </w:r>
      <w:r w:rsidR="00D16C09" w:rsidRPr="00043B6B">
        <w:rPr>
          <w:rFonts w:cs="Arial"/>
          <w:sz w:val="22"/>
          <w:szCs w:val="22"/>
        </w:rPr>
        <w:t xml:space="preserve"> ani její ocenění. </w:t>
      </w:r>
      <w:r w:rsidR="00FB0E34" w:rsidRPr="00043B6B">
        <w:rPr>
          <w:rFonts w:cs="Arial"/>
          <w:sz w:val="22"/>
          <w:szCs w:val="22"/>
        </w:rPr>
        <w:t>ŘSD</w:t>
      </w:r>
      <w:r w:rsidR="008809F3" w:rsidRPr="00043B6B">
        <w:rPr>
          <w:rFonts w:cs="Arial"/>
          <w:sz w:val="22"/>
          <w:szCs w:val="22"/>
        </w:rPr>
        <w:t xml:space="preserve"> přitom</w:t>
      </w:r>
      <w:r w:rsidR="00FB0E34" w:rsidRPr="00043B6B">
        <w:rPr>
          <w:rFonts w:cs="Arial"/>
          <w:sz w:val="22"/>
          <w:szCs w:val="22"/>
        </w:rPr>
        <w:t xml:space="preserve"> již mělo k dispozici kompletní dokumentaci pro stavební povolení z roku 2005, která měla sloužit pro vydání územního roz</w:t>
      </w:r>
      <w:r w:rsidR="00AE3A56" w:rsidRPr="00043B6B">
        <w:rPr>
          <w:rFonts w:cs="Arial"/>
          <w:sz w:val="22"/>
          <w:szCs w:val="22"/>
        </w:rPr>
        <w:t>hodnutí a </w:t>
      </w:r>
      <w:r w:rsidR="008809F3" w:rsidRPr="00043B6B">
        <w:rPr>
          <w:rFonts w:cs="Arial"/>
          <w:sz w:val="22"/>
          <w:szCs w:val="22"/>
        </w:rPr>
        <w:t>stavebního povolení.</w:t>
      </w:r>
    </w:p>
    <w:p w:rsidR="008809F3" w:rsidRPr="00A87228" w:rsidRDefault="009B4BE6" w:rsidP="00A87228">
      <w:pPr>
        <w:ind w:left="284"/>
        <w:jc w:val="both"/>
        <w:rPr>
          <w:rFonts w:cs="Arial"/>
          <w:sz w:val="22"/>
          <w:szCs w:val="22"/>
        </w:rPr>
      </w:pPr>
      <w:r w:rsidRPr="00A87228">
        <w:rPr>
          <w:rFonts w:cs="Arial"/>
          <w:b/>
          <w:sz w:val="22"/>
          <w:szCs w:val="22"/>
        </w:rPr>
        <w:t>Okruh zájemců o tuto veř</w:t>
      </w:r>
      <w:r w:rsidR="00E70AE1" w:rsidRPr="00A87228">
        <w:rPr>
          <w:rFonts w:cs="Arial"/>
          <w:b/>
          <w:sz w:val="22"/>
          <w:szCs w:val="22"/>
        </w:rPr>
        <w:t>ejnou zakázku mohl být omezen i </w:t>
      </w:r>
      <w:r w:rsidRPr="00A87228">
        <w:rPr>
          <w:rFonts w:cs="Arial"/>
          <w:b/>
          <w:sz w:val="22"/>
          <w:szCs w:val="22"/>
        </w:rPr>
        <w:t>neodůvodněnými kvalifikačními požadavky</w:t>
      </w:r>
      <w:r w:rsidRPr="00D425E9">
        <w:rPr>
          <w:rFonts w:cs="Arial"/>
          <w:b/>
          <w:sz w:val="22"/>
          <w:szCs w:val="22"/>
        </w:rPr>
        <w:t>.</w:t>
      </w:r>
      <w:r w:rsidRPr="00A87228">
        <w:rPr>
          <w:rFonts w:cs="Arial"/>
          <w:sz w:val="22"/>
          <w:szCs w:val="22"/>
        </w:rPr>
        <w:t xml:space="preserve"> ŘSD požadovalo, aby zájemci měli dokončeny nejméně tři stavby </w:t>
      </w:r>
      <w:proofErr w:type="spellStart"/>
      <w:r w:rsidRPr="00A87228">
        <w:rPr>
          <w:rFonts w:cs="Arial"/>
          <w:sz w:val="22"/>
          <w:szCs w:val="22"/>
        </w:rPr>
        <w:t>čtyřpruhových</w:t>
      </w:r>
      <w:proofErr w:type="spellEnd"/>
      <w:r w:rsidRPr="00A87228">
        <w:rPr>
          <w:rFonts w:cs="Arial"/>
          <w:sz w:val="22"/>
          <w:szCs w:val="22"/>
        </w:rPr>
        <w:t xml:space="preserve"> dálnic v objemu 100 mil. Kč, přestože se jednalo o výstavbu </w:t>
      </w:r>
      <w:r w:rsidRPr="00A87228">
        <w:rPr>
          <w:rFonts w:cs="Arial"/>
          <w:sz w:val="22"/>
          <w:szCs w:val="22"/>
        </w:rPr>
        <w:lastRenderedPageBreak/>
        <w:t xml:space="preserve">mimoúrovňových křižovatek a předpokládaná hodnota veřejné zakázky byla 70 mil. Kč. </w:t>
      </w:r>
      <w:r w:rsidR="00A342F9" w:rsidRPr="00A87228">
        <w:rPr>
          <w:rFonts w:cs="Arial"/>
          <w:sz w:val="22"/>
          <w:szCs w:val="22"/>
        </w:rPr>
        <w:t>Z</w:t>
      </w:r>
      <w:r w:rsidR="00421BBD">
        <w:rPr>
          <w:rFonts w:cs="Arial"/>
          <w:sz w:val="22"/>
          <w:szCs w:val="22"/>
        </w:rPr>
        <w:t> </w:t>
      </w:r>
      <w:r w:rsidR="00A342F9" w:rsidRPr="00A87228">
        <w:rPr>
          <w:rFonts w:cs="Arial"/>
          <w:sz w:val="22"/>
          <w:szCs w:val="22"/>
        </w:rPr>
        <w:t>hodnocených</w:t>
      </w:r>
      <w:r w:rsidR="001E374C" w:rsidRPr="00A87228">
        <w:rPr>
          <w:rFonts w:cs="Arial"/>
          <w:sz w:val="22"/>
          <w:szCs w:val="22"/>
        </w:rPr>
        <w:t xml:space="preserve"> </w:t>
      </w:r>
      <w:r w:rsidR="00A342F9" w:rsidRPr="00A87228">
        <w:rPr>
          <w:rFonts w:cs="Arial"/>
          <w:sz w:val="22"/>
          <w:szCs w:val="22"/>
        </w:rPr>
        <w:t xml:space="preserve">nabídek uchazečů nebylo zřejmé </w:t>
      </w:r>
      <w:r w:rsidR="00573718" w:rsidRPr="00A87228">
        <w:rPr>
          <w:rFonts w:cs="Arial"/>
          <w:sz w:val="22"/>
          <w:szCs w:val="22"/>
        </w:rPr>
        <w:t>stanovení</w:t>
      </w:r>
      <w:r w:rsidR="00A342F9" w:rsidRPr="00A87228">
        <w:rPr>
          <w:rFonts w:cs="Arial"/>
          <w:sz w:val="22"/>
          <w:szCs w:val="22"/>
        </w:rPr>
        <w:t xml:space="preserve"> ceny </w:t>
      </w:r>
      <w:r w:rsidR="0093035C" w:rsidRPr="00A87228">
        <w:rPr>
          <w:rFonts w:cs="Arial"/>
          <w:sz w:val="22"/>
          <w:szCs w:val="22"/>
        </w:rPr>
        <w:t>podle</w:t>
      </w:r>
      <w:r w:rsidR="00A342F9" w:rsidRPr="00A87228">
        <w:rPr>
          <w:rFonts w:cs="Arial"/>
          <w:sz w:val="22"/>
          <w:szCs w:val="22"/>
        </w:rPr>
        <w:t xml:space="preserve"> výkazu výměr ani ocenění za vypracování projektových dokumentací nebo konkrétních inženýrských činností. </w:t>
      </w:r>
      <w:r w:rsidR="0077108F" w:rsidRPr="00A87228">
        <w:rPr>
          <w:rFonts w:cs="Arial"/>
          <w:sz w:val="22"/>
          <w:szCs w:val="22"/>
        </w:rPr>
        <w:t>N</w:t>
      </w:r>
      <w:r w:rsidR="00A342F9" w:rsidRPr="00A87228">
        <w:rPr>
          <w:rFonts w:cs="Arial"/>
          <w:sz w:val="22"/>
          <w:szCs w:val="22"/>
        </w:rPr>
        <w:t>abídka</w:t>
      </w:r>
      <w:r w:rsidR="0077108F" w:rsidRPr="00A87228">
        <w:rPr>
          <w:rFonts w:cs="Arial"/>
          <w:sz w:val="22"/>
          <w:szCs w:val="22"/>
        </w:rPr>
        <w:t xml:space="preserve"> vybraného uchazeče</w:t>
      </w:r>
      <w:r w:rsidR="00A342F9" w:rsidRPr="00A87228">
        <w:rPr>
          <w:rFonts w:cs="Arial"/>
          <w:sz w:val="22"/>
          <w:szCs w:val="22"/>
        </w:rPr>
        <w:t xml:space="preserve"> s cenou 161 mil. Kč (nejnižší nabídková cena) byla o 130 % vyšší než předpokládaná hodnota. </w:t>
      </w:r>
      <w:r w:rsidR="0077108F" w:rsidRPr="00A87228">
        <w:rPr>
          <w:rFonts w:cs="Arial"/>
          <w:sz w:val="22"/>
          <w:szCs w:val="22"/>
        </w:rPr>
        <w:t xml:space="preserve">Termín ukončení výstavby červen 2010 byl ve smlouvě stanoven o rok </w:t>
      </w:r>
      <w:r w:rsidR="001E374C" w:rsidRPr="00A87228">
        <w:rPr>
          <w:rFonts w:cs="Arial"/>
          <w:sz w:val="22"/>
          <w:szCs w:val="22"/>
        </w:rPr>
        <w:t>později</w:t>
      </w:r>
      <w:r w:rsidR="0077108F" w:rsidRPr="00A87228">
        <w:rPr>
          <w:rFonts w:cs="Arial"/>
          <w:sz w:val="22"/>
          <w:szCs w:val="22"/>
        </w:rPr>
        <w:t xml:space="preserve">, než vybraný uchazeč uvedl v nabídce. Ve skutečnosti byla dokončena v listopadu 2011 jen 1. etapa, přičemž termín zahájení stavby 2. </w:t>
      </w:r>
      <w:r w:rsidR="00CB2B98" w:rsidRPr="00A87228">
        <w:rPr>
          <w:rFonts w:cs="Arial"/>
          <w:sz w:val="22"/>
          <w:szCs w:val="22"/>
        </w:rPr>
        <w:t>etapy nebyl v době kontroly stanoven</w:t>
      </w:r>
      <w:r w:rsidR="0077108F" w:rsidRPr="00A87228">
        <w:rPr>
          <w:rFonts w:cs="Arial"/>
          <w:sz w:val="22"/>
          <w:szCs w:val="22"/>
        </w:rPr>
        <w:t>.</w:t>
      </w:r>
    </w:p>
    <w:p w:rsidR="00184724" w:rsidRDefault="00184724" w:rsidP="00184724">
      <w:pPr>
        <w:ind w:left="142" w:hanging="142"/>
        <w:jc w:val="both"/>
        <w:rPr>
          <w:rFonts w:cs="Arial"/>
          <w:sz w:val="22"/>
          <w:szCs w:val="22"/>
        </w:rPr>
      </w:pPr>
    </w:p>
    <w:p w:rsidR="00FD2665" w:rsidRDefault="00522C42" w:rsidP="001671F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Obdobné </w:t>
      </w:r>
      <w:r w:rsidRPr="00A8351D">
        <w:rPr>
          <w:rFonts w:cs="Arial"/>
          <w:b/>
          <w:sz w:val="22"/>
          <w:szCs w:val="22"/>
        </w:rPr>
        <w:t>neodůvodněné kvalifikační požadavky</w:t>
      </w:r>
      <w:r w:rsidR="00056F4B">
        <w:rPr>
          <w:rFonts w:cs="Arial"/>
          <w:b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jako byly uvedeny v předchozím příkladu stavby na R46, které mohly omezovat počet uchazečů o veřejnou zakázku, byly </w:t>
      </w:r>
      <w:r w:rsidR="00AE3A56">
        <w:rPr>
          <w:rFonts w:cs="Arial"/>
          <w:sz w:val="22"/>
          <w:szCs w:val="22"/>
        </w:rPr>
        <w:t>zjištěny i v </w:t>
      </w:r>
      <w:r w:rsidR="00EC6532">
        <w:rPr>
          <w:rFonts w:cs="Arial"/>
          <w:sz w:val="22"/>
          <w:szCs w:val="22"/>
        </w:rPr>
        <w:t>několika</w:t>
      </w:r>
      <w:r w:rsidR="001E374C">
        <w:rPr>
          <w:rFonts w:cs="Arial"/>
          <w:sz w:val="22"/>
          <w:szCs w:val="22"/>
        </w:rPr>
        <w:t xml:space="preserve"> </w:t>
      </w:r>
      <w:r w:rsidR="00EC6532">
        <w:rPr>
          <w:rFonts w:cs="Arial"/>
          <w:sz w:val="22"/>
          <w:szCs w:val="22"/>
        </w:rPr>
        <w:t>dalších případech veřejných zakázek.</w:t>
      </w:r>
    </w:p>
    <w:p w:rsidR="00F26D89" w:rsidRPr="00F26D89" w:rsidRDefault="00F26D89" w:rsidP="001671F8">
      <w:pPr>
        <w:jc w:val="both"/>
        <w:rPr>
          <w:rFonts w:cs="Arial"/>
          <w:sz w:val="22"/>
          <w:szCs w:val="22"/>
        </w:rPr>
      </w:pPr>
    </w:p>
    <w:p w:rsidR="00EC6532" w:rsidRPr="00BD031F" w:rsidRDefault="00EC6532" w:rsidP="00EC6532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5. Náklady na výstavbu dálnic a rychlostních komunikací</w:t>
      </w:r>
    </w:p>
    <w:p w:rsidR="00DC3581" w:rsidRPr="00EC6532" w:rsidRDefault="00DC3581" w:rsidP="001671F8">
      <w:pPr>
        <w:jc w:val="both"/>
        <w:rPr>
          <w:rFonts w:cs="Arial"/>
          <w:b/>
          <w:sz w:val="22"/>
          <w:szCs w:val="22"/>
        </w:rPr>
      </w:pPr>
    </w:p>
    <w:p w:rsidR="00BB27AA" w:rsidRDefault="00051EBF" w:rsidP="001671F8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5.1 </w:t>
      </w:r>
      <w:r w:rsidR="00B129E8">
        <w:rPr>
          <w:rFonts w:cs="Arial"/>
          <w:sz w:val="22"/>
          <w:szCs w:val="22"/>
        </w:rPr>
        <w:t xml:space="preserve">Průměrné celkové náklady na výstavbu jednoho kilometru dálnic byly </w:t>
      </w:r>
      <w:r w:rsidR="001E71E7" w:rsidRPr="00704BC9">
        <w:rPr>
          <w:rFonts w:cs="Arial"/>
          <w:sz w:val="22"/>
          <w:szCs w:val="22"/>
        </w:rPr>
        <w:t xml:space="preserve">416 </w:t>
      </w:r>
      <w:r w:rsidR="00B129E8">
        <w:rPr>
          <w:rFonts w:cs="Arial"/>
          <w:sz w:val="22"/>
          <w:szCs w:val="22"/>
        </w:rPr>
        <w:t>mil. Kč, z toho stavební náklady 368 mil. Kč</w:t>
      </w:r>
      <w:r w:rsidR="000465B1">
        <w:rPr>
          <w:rFonts w:cs="Arial"/>
          <w:sz w:val="22"/>
          <w:szCs w:val="22"/>
        </w:rPr>
        <w:t xml:space="preserve"> (příloha č. 1)</w:t>
      </w:r>
      <w:r w:rsidR="00B129E8">
        <w:rPr>
          <w:rFonts w:cs="Arial"/>
          <w:sz w:val="22"/>
          <w:szCs w:val="22"/>
        </w:rPr>
        <w:t xml:space="preserve">. U rychlostních komunikací byly celkové náklady </w:t>
      </w:r>
      <w:r w:rsidR="001E71E7">
        <w:rPr>
          <w:rFonts w:cs="Arial"/>
          <w:sz w:val="22"/>
          <w:szCs w:val="22"/>
        </w:rPr>
        <w:t xml:space="preserve">378 </w:t>
      </w:r>
      <w:r w:rsidR="00B129E8">
        <w:rPr>
          <w:rFonts w:cs="Arial"/>
          <w:sz w:val="22"/>
          <w:szCs w:val="22"/>
        </w:rPr>
        <w:t>mil. Kč, z toho stavební 317 mil. Kč</w:t>
      </w:r>
      <w:r w:rsidR="000465B1">
        <w:rPr>
          <w:rFonts w:cs="Arial"/>
          <w:sz w:val="22"/>
          <w:szCs w:val="22"/>
        </w:rPr>
        <w:t xml:space="preserve"> (příloha č. 1)</w:t>
      </w:r>
      <w:r w:rsidR="00B129E8">
        <w:rPr>
          <w:rFonts w:cs="Arial"/>
          <w:sz w:val="22"/>
          <w:szCs w:val="22"/>
        </w:rPr>
        <w:t xml:space="preserve">. </w:t>
      </w:r>
      <w:r w:rsidR="00BB27AA" w:rsidRPr="00BB27AA">
        <w:rPr>
          <w:rFonts w:cs="Arial"/>
          <w:b/>
          <w:sz w:val="22"/>
          <w:szCs w:val="22"/>
        </w:rPr>
        <w:t>Efektivnost výstavby akcí na D a R a plánování zdrojů SFDI na jejich financování negativně ovlivňoval významný růst nákladů akcí v průběhu přípravy a realizace</w:t>
      </w:r>
      <w:r w:rsidR="00BB27AA" w:rsidRPr="00D425E9">
        <w:rPr>
          <w:rFonts w:cs="Arial"/>
          <w:b/>
          <w:sz w:val="22"/>
          <w:szCs w:val="22"/>
        </w:rPr>
        <w:t>.</w:t>
      </w:r>
    </w:p>
    <w:p w:rsidR="00BB27AA" w:rsidRDefault="00BB27AA" w:rsidP="001671F8">
      <w:pPr>
        <w:jc w:val="both"/>
        <w:rPr>
          <w:rFonts w:cs="Arial"/>
          <w:sz w:val="22"/>
          <w:szCs w:val="22"/>
        </w:rPr>
      </w:pPr>
    </w:p>
    <w:p w:rsidR="007905C9" w:rsidRDefault="00D62779" w:rsidP="001671F8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5.1</w:t>
      </w:r>
      <w:r w:rsidR="00051EBF">
        <w:rPr>
          <w:rFonts w:cs="Arial"/>
          <w:b/>
          <w:sz w:val="22"/>
          <w:szCs w:val="22"/>
        </w:rPr>
        <w:t>.1</w:t>
      </w:r>
      <w:r>
        <w:rPr>
          <w:rFonts w:cs="Arial"/>
          <w:b/>
          <w:sz w:val="22"/>
          <w:szCs w:val="22"/>
        </w:rPr>
        <w:t xml:space="preserve"> </w:t>
      </w:r>
      <w:r w:rsidR="00051EBF">
        <w:rPr>
          <w:rFonts w:cs="Arial"/>
          <w:b/>
          <w:sz w:val="22"/>
          <w:szCs w:val="22"/>
        </w:rPr>
        <w:t>Nejvíce rostly předpokládané náklady</w:t>
      </w:r>
      <w:r w:rsidR="006037AB" w:rsidRPr="007905C9">
        <w:rPr>
          <w:rFonts w:cs="Arial"/>
          <w:b/>
          <w:sz w:val="22"/>
          <w:szCs w:val="22"/>
        </w:rPr>
        <w:t xml:space="preserve"> v průběhu územních řízení (nárůst</w:t>
      </w:r>
      <w:r w:rsidR="00573718">
        <w:rPr>
          <w:rFonts w:cs="Arial"/>
          <w:b/>
          <w:sz w:val="22"/>
          <w:szCs w:val="22"/>
        </w:rPr>
        <w:t xml:space="preserve"> činil</w:t>
      </w:r>
      <w:r w:rsidR="006037AB" w:rsidRPr="007905C9">
        <w:rPr>
          <w:rFonts w:cs="Arial"/>
          <w:b/>
          <w:sz w:val="22"/>
          <w:szCs w:val="22"/>
        </w:rPr>
        <w:t xml:space="preserve"> 21</w:t>
      </w:r>
      <w:r w:rsidR="002B2260">
        <w:rPr>
          <w:rFonts w:cs="Arial"/>
          <w:b/>
          <w:sz w:val="22"/>
          <w:szCs w:val="22"/>
        </w:rPr>
        <w:t> </w:t>
      </w:r>
      <w:r w:rsidR="006037AB" w:rsidRPr="007905C9">
        <w:rPr>
          <w:rFonts w:cs="Arial"/>
          <w:b/>
          <w:sz w:val="22"/>
          <w:szCs w:val="22"/>
        </w:rPr>
        <w:t>927</w:t>
      </w:r>
      <w:r w:rsidR="002B2260">
        <w:rPr>
          <w:rFonts w:cs="Arial"/>
          <w:b/>
          <w:sz w:val="22"/>
          <w:szCs w:val="22"/>
        </w:rPr>
        <w:t> </w:t>
      </w:r>
      <w:r w:rsidR="006037AB" w:rsidRPr="007905C9">
        <w:rPr>
          <w:rFonts w:cs="Arial"/>
          <w:b/>
          <w:sz w:val="22"/>
          <w:szCs w:val="22"/>
        </w:rPr>
        <w:t>mil.</w:t>
      </w:r>
      <w:r w:rsidR="002B2260">
        <w:rPr>
          <w:rFonts w:cs="Arial"/>
          <w:b/>
          <w:sz w:val="22"/>
          <w:szCs w:val="22"/>
        </w:rPr>
        <w:t> </w:t>
      </w:r>
      <w:r w:rsidR="006037AB" w:rsidRPr="007905C9">
        <w:rPr>
          <w:rFonts w:cs="Arial"/>
          <w:b/>
          <w:sz w:val="22"/>
          <w:szCs w:val="22"/>
        </w:rPr>
        <w:t>Kč</w:t>
      </w:r>
      <w:r w:rsidR="00573718">
        <w:rPr>
          <w:rFonts w:cs="Arial"/>
          <w:b/>
          <w:sz w:val="22"/>
          <w:szCs w:val="22"/>
        </w:rPr>
        <w:t xml:space="preserve"> a</w:t>
      </w:r>
      <w:r w:rsidR="002B2260">
        <w:rPr>
          <w:rFonts w:cs="Arial"/>
          <w:b/>
          <w:sz w:val="22"/>
          <w:szCs w:val="22"/>
        </w:rPr>
        <w:t> </w:t>
      </w:r>
      <w:r w:rsidR="006037AB" w:rsidRPr="007905C9">
        <w:rPr>
          <w:rFonts w:cs="Arial"/>
          <w:b/>
          <w:sz w:val="22"/>
          <w:szCs w:val="22"/>
        </w:rPr>
        <w:t>představoval zvýšení nákladů o 68 %) a stavebních řízení (nárůst</w:t>
      </w:r>
      <w:r w:rsidR="00573718">
        <w:rPr>
          <w:rFonts w:cs="Arial"/>
          <w:b/>
          <w:sz w:val="22"/>
          <w:szCs w:val="22"/>
        </w:rPr>
        <w:t xml:space="preserve"> činil</w:t>
      </w:r>
      <w:r w:rsidR="002B2260">
        <w:rPr>
          <w:rFonts w:cs="Arial"/>
          <w:b/>
          <w:sz w:val="22"/>
          <w:szCs w:val="22"/>
        </w:rPr>
        <w:t xml:space="preserve"> 5 919 mil. </w:t>
      </w:r>
      <w:r w:rsidR="006037AB" w:rsidRPr="007905C9">
        <w:rPr>
          <w:rFonts w:cs="Arial"/>
          <w:b/>
          <w:sz w:val="22"/>
          <w:szCs w:val="22"/>
        </w:rPr>
        <w:t>Kč</w:t>
      </w:r>
      <w:r w:rsidR="00573718">
        <w:rPr>
          <w:rFonts w:cs="Arial"/>
          <w:b/>
          <w:sz w:val="22"/>
          <w:szCs w:val="22"/>
        </w:rPr>
        <w:t xml:space="preserve"> a</w:t>
      </w:r>
      <w:r w:rsidR="006037AB" w:rsidRPr="007905C9">
        <w:rPr>
          <w:rFonts w:cs="Arial"/>
          <w:b/>
          <w:sz w:val="22"/>
          <w:szCs w:val="22"/>
        </w:rPr>
        <w:t xml:space="preserve"> představoval zvýšení nákladů o 37 %)</w:t>
      </w:r>
      <w:r w:rsidR="006037AB" w:rsidRPr="00D425E9">
        <w:rPr>
          <w:rFonts w:cs="Arial"/>
          <w:b/>
          <w:sz w:val="22"/>
          <w:szCs w:val="22"/>
        </w:rPr>
        <w:t>.</w:t>
      </w:r>
      <w:r w:rsidR="00573718">
        <w:rPr>
          <w:rFonts w:cs="Arial"/>
          <w:sz w:val="22"/>
          <w:szCs w:val="22"/>
        </w:rPr>
        <w:t xml:space="preserve"> </w:t>
      </w:r>
      <w:r w:rsidR="00051EBF">
        <w:rPr>
          <w:rFonts w:cs="Arial"/>
          <w:sz w:val="22"/>
          <w:szCs w:val="22"/>
        </w:rPr>
        <w:t>S</w:t>
      </w:r>
      <w:r w:rsidR="00573718">
        <w:rPr>
          <w:rFonts w:cs="Arial"/>
          <w:sz w:val="22"/>
          <w:szCs w:val="22"/>
        </w:rPr>
        <w:t>ouvisel</w:t>
      </w:r>
      <w:r w:rsidR="00051EBF">
        <w:rPr>
          <w:rFonts w:cs="Arial"/>
          <w:sz w:val="22"/>
          <w:szCs w:val="22"/>
        </w:rPr>
        <w:t>o to</w:t>
      </w:r>
      <w:r w:rsidR="00513B71">
        <w:rPr>
          <w:rFonts w:cs="Arial"/>
          <w:sz w:val="22"/>
          <w:szCs w:val="22"/>
        </w:rPr>
        <w:t xml:space="preserve"> </w:t>
      </w:r>
      <w:r w:rsidR="0064383B">
        <w:rPr>
          <w:rFonts w:cs="Arial"/>
          <w:sz w:val="22"/>
          <w:szCs w:val="22"/>
        </w:rPr>
        <w:t>mj.</w:t>
      </w:r>
      <w:r w:rsidR="00573718">
        <w:rPr>
          <w:rFonts w:cs="Arial"/>
          <w:sz w:val="22"/>
          <w:szCs w:val="22"/>
        </w:rPr>
        <w:t xml:space="preserve"> s prodlužováním </w:t>
      </w:r>
      <w:r w:rsidR="0064383B">
        <w:rPr>
          <w:rFonts w:cs="Arial"/>
          <w:sz w:val="22"/>
          <w:szCs w:val="22"/>
        </w:rPr>
        <w:t>územní</w:t>
      </w:r>
      <w:r w:rsidR="00573718">
        <w:rPr>
          <w:rFonts w:cs="Arial"/>
          <w:sz w:val="22"/>
          <w:szCs w:val="22"/>
        </w:rPr>
        <w:t>ch a stavebních řízení, jak bylo uvedeno</w:t>
      </w:r>
      <w:r w:rsidR="00513B71">
        <w:rPr>
          <w:rFonts w:cs="Arial"/>
          <w:sz w:val="22"/>
          <w:szCs w:val="22"/>
        </w:rPr>
        <w:t xml:space="preserve"> v bodě 3</w:t>
      </w:r>
      <w:r w:rsidR="00056F4B">
        <w:rPr>
          <w:rFonts w:cs="Arial"/>
          <w:sz w:val="22"/>
          <w:szCs w:val="22"/>
        </w:rPr>
        <w:t>.</w:t>
      </w:r>
      <w:r w:rsidR="00513B71">
        <w:rPr>
          <w:rFonts w:cs="Arial"/>
          <w:sz w:val="22"/>
          <w:szCs w:val="22"/>
        </w:rPr>
        <w:t xml:space="preserve"> kontrolního závěru.</w:t>
      </w:r>
      <w:r w:rsidR="006037AB">
        <w:rPr>
          <w:rFonts w:cs="Arial"/>
          <w:sz w:val="22"/>
          <w:szCs w:val="22"/>
        </w:rPr>
        <w:t xml:space="preserve"> Náklady zvyšovaly i požadavky účastníků územních a stavebních řízení na zařazení dodatečných stavebních objektů nebo</w:t>
      </w:r>
      <w:r w:rsidR="007905C9">
        <w:rPr>
          <w:rFonts w:cs="Arial"/>
          <w:sz w:val="22"/>
          <w:szCs w:val="22"/>
        </w:rPr>
        <w:t xml:space="preserve"> na</w:t>
      </w:r>
      <w:r w:rsidR="006037AB">
        <w:rPr>
          <w:rFonts w:cs="Arial"/>
          <w:sz w:val="22"/>
          <w:szCs w:val="22"/>
        </w:rPr>
        <w:t xml:space="preserve"> změny stávajících.</w:t>
      </w:r>
      <w:r w:rsidR="007905C9">
        <w:rPr>
          <w:rFonts w:cs="Arial"/>
          <w:sz w:val="22"/>
          <w:szCs w:val="22"/>
        </w:rPr>
        <w:t xml:space="preserve"> Tyto požadavky však nebyly v některých případech dostatečně odůvodněné.</w:t>
      </w:r>
      <w:r w:rsidR="00F65334">
        <w:rPr>
          <w:rFonts w:cs="Arial"/>
          <w:sz w:val="22"/>
          <w:szCs w:val="22"/>
        </w:rPr>
        <w:t xml:space="preserve"> Pokud je ŘSD odmítlo, docházelo k dalším průtahům </w:t>
      </w:r>
      <w:r w:rsidR="0092161B">
        <w:rPr>
          <w:rFonts w:cs="Arial"/>
          <w:sz w:val="22"/>
          <w:szCs w:val="22"/>
        </w:rPr>
        <w:t>v</w:t>
      </w:r>
      <w:r w:rsidR="00051EBF">
        <w:rPr>
          <w:rFonts w:cs="Arial"/>
          <w:sz w:val="22"/>
          <w:szCs w:val="22"/>
        </w:rPr>
        <w:t> </w:t>
      </w:r>
      <w:r w:rsidR="0092161B">
        <w:rPr>
          <w:rFonts w:cs="Arial"/>
          <w:sz w:val="22"/>
          <w:szCs w:val="22"/>
        </w:rPr>
        <w:t>přípravě staveb</w:t>
      </w:r>
      <w:r w:rsidR="00051EBF">
        <w:rPr>
          <w:rFonts w:cs="Arial"/>
          <w:sz w:val="22"/>
          <w:szCs w:val="22"/>
        </w:rPr>
        <w:t>.</w:t>
      </w:r>
      <w:r w:rsidR="00875253">
        <w:rPr>
          <w:rFonts w:cs="Arial"/>
          <w:sz w:val="22"/>
          <w:szCs w:val="22"/>
        </w:rPr>
        <w:t xml:space="preserve"> </w:t>
      </w:r>
      <w:r w:rsidR="00051EBF">
        <w:rPr>
          <w:rFonts w:cs="Arial"/>
          <w:sz w:val="22"/>
          <w:szCs w:val="22"/>
        </w:rPr>
        <w:t>V</w:t>
      </w:r>
      <w:r w:rsidR="00F40725">
        <w:rPr>
          <w:rFonts w:cs="Arial"/>
          <w:sz w:val="22"/>
          <w:szCs w:val="22"/>
        </w:rPr>
        <w:t> některých případech</w:t>
      </w:r>
      <w:r w:rsidR="00051EBF">
        <w:rPr>
          <w:rFonts w:cs="Arial"/>
          <w:sz w:val="22"/>
          <w:szCs w:val="22"/>
        </w:rPr>
        <w:t xml:space="preserve"> byly tyto požadavky stanoveny jako závazné podmín</w:t>
      </w:r>
      <w:r w:rsidR="00875253">
        <w:rPr>
          <w:rFonts w:cs="Arial"/>
          <w:sz w:val="22"/>
          <w:szCs w:val="22"/>
        </w:rPr>
        <w:t>k</w:t>
      </w:r>
      <w:r w:rsidR="00051EBF">
        <w:rPr>
          <w:rFonts w:cs="Arial"/>
          <w:sz w:val="22"/>
          <w:szCs w:val="22"/>
        </w:rPr>
        <w:t>y</w:t>
      </w:r>
      <w:r w:rsidR="00875253">
        <w:rPr>
          <w:rFonts w:cs="Arial"/>
          <w:sz w:val="22"/>
          <w:szCs w:val="22"/>
        </w:rPr>
        <w:t xml:space="preserve"> územního rozh</w:t>
      </w:r>
      <w:r w:rsidR="00F40725">
        <w:rPr>
          <w:rFonts w:cs="Arial"/>
          <w:sz w:val="22"/>
          <w:szCs w:val="22"/>
        </w:rPr>
        <w:t>od</w:t>
      </w:r>
      <w:r w:rsidR="00051EBF">
        <w:rPr>
          <w:rFonts w:cs="Arial"/>
          <w:sz w:val="22"/>
          <w:szCs w:val="22"/>
        </w:rPr>
        <w:t>nutí, popř. stavebního povolení</w:t>
      </w:r>
      <w:r w:rsidR="00F40725">
        <w:rPr>
          <w:rFonts w:cs="Arial"/>
          <w:sz w:val="22"/>
          <w:szCs w:val="22"/>
        </w:rPr>
        <w:t>.</w:t>
      </w:r>
      <w:r w:rsidR="00573718">
        <w:rPr>
          <w:rFonts w:cs="Arial"/>
          <w:sz w:val="22"/>
          <w:szCs w:val="22"/>
        </w:rPr>
        <w:t xml:space="preserve"> </w:t>
      </w:r>
    </w:p>
    <w:p w:rsidR="00F65334" w:rsidRDefault="00F65334" w:rsidP="001671F8">
      <w:pPr>
        <w:jc w:val="both"/>
        <w:rPr>
          <w:rFonts w:cs="Arial"/>
          <w:sz w:val="22"/>
          <w:szCs w:val="22"/>
        </w:rPr>
      </w:pPr>
    </w:p>
    <w:p w:rsidR="002E0973" w:rsidRPr="00056F4B" w:rsidRDefault="00F65334" w:rsidP="009D1AE6">
      <w:pPr>
        <w:ind w:left="284"/>
        <w:jc w:val="both"/>
        <w:rPr>
          <w:rFonts w:cs="Arial"/>
          <w:sz w:val="22"/>
          <w:szCs w:val="22"/>
        </w:rPr>
      </w:pPr>
      <w:r w:rsidRPr="00056F4B">
        <w:rPr>
          <w:rFonts w:cs="Arial"/>
          <w:sz w:val="22"/>
          <w:szCs w:val="22"/>
        </w:rPr>
        <w:t>Například u stavby R7</w:t>
      </w:r>
      <w:r w:rsidR="00573718" w:rsidRPr="00056F4B">
        <w:rPr>
          <w:rFonts w:cs="Arial"/>
          <w:sz w:val="22"/>
          <w:szCs w:val="22"/>
        </w:rPr>
        <w:t xml:space="preserve"> v</w:t>
      </w:r>
      <w:r w:rsidRPr="00056F4B">
        <w:rPr>
          <w:rFonts w:cs="Arial"/>
          <w:sz w:val="22"/>
          <w:szCs w:val="22"/>
        </w:rPr>
        <w:t xml:space="preserve"> úseku Slaný – hranice Středočeského kraje</w:t>
      </w:r>
      <w:r w:rsidR="001E374C" w:rsidRPr="00056F4B">
        <w:rPr>
          <w:rFonts w:cs="Arial"/>
          <w:sz w:val="22"/>
          <w:szCs w:val="22"/>
        </w:rPr>
        <w:t xml:space="preserve"> uplatnily v letech 2008 a </w:t>
      </w:r>
      <w:r w:rsidR="00B416F4" w:rsidRPr="00056F4B">
        <w:rPr>
          <w:rFonts w:cs="Arial"/>
          <w:sz w:val="22"/>
          <w:szCs w:val="22"/>
        </w:rPr>
        <w:t>2009 při projednávání dokumentace pro územní rozhodnutí dotčené orgány</w:t>
      </w:r>
      <w:r w:rsidR="008D496B" w:rsidRPr="00056F4B">
        <w:rPr>
          <w:rFonts w:cs="Arial"/>
          <w:sz w:val="22"/>
          <w:szCs w:val="22"/>
        </w:rPr>
        <w:t xml:space="preserve"> </w:t>
      </w:r>
      <w:r w:rsidR="00B416F4" w:rsidRPr="00056F4B">
        <w:rPr>
          <w:rFonts w:cs="Arial"/>
          <w:sz w:val="22"/>
          <w:szCs w:val="22"/>
        </w:rPr>
        <w:t xml:space="preserve">nesouhlasná stanoviska </w:t>
      </w:r>
      <w:r w:rsidR="00573718" w:rsidRPr="00056F4B">
        <w:rPr>
          <w:rFonts w:cs="Arial"/>
          <w:sz w:val="22"/>
          <w:szCs w:val="22"/>
        </w:rPr>
        <w:t xml:space="preserve">především </w:t>
      </w:r>
      <w:r w:rsidR="00B416F4" w:rsidRPr="00056F4B">
        <w:rPr>
          <w:rFonts w:cs="Arial"/>
          <w:sz w:val="22"/>
          <w:szCs w:val="22"/>
        </w:rPr>
        <w:t xml:space="preserve">k vedení doprovodných </w:t>
      </w:r>
      <w:r w:rsidR="008D496B" w:rsidRPr="00056F4B">
        <w:rPr>
          <w:rFonts w:cs="Arial"/>
          <w:sz w:val="22"/>
          <w:szCs w:val="22"/>
        </w:rPr>
        <w:t>komunikací v prostoru dvou obcí a</w:t>
      </w:r>
      <w:r w:rsidR="00B416F4" w:rsidRPr="00056F4B">
        <w:rPr>
          <w:rFonts w:cs="Arial"/>
          <w:sz w:val="22"/>
          <w:szCs w:val="22"/>
        </w:rPr>
        <w:t xml:space="preserve"> k napojení silnice II/237.</w:t>
      </w:r>
      <w:r w:rsidR="00AF1459" w:rsidRPr="00056F4B">
        <w:rPr>
          <w:rFonts w:cs="Arial"/>
          <w:sz w:val="22"/>
          <w:szCs w:val="22"/>
        </w:rPr>
        <w:t xml:space="preserve"> Podle</w:t>
      </w:r>
      <w:r w:rsidR="00B416F4" w:rsidRPr="00056F4B">
        <w:rPr>
          <w:rFonts w:cs="Arial"/>
          <w:sz w:val="22"/>
          <w:szCs w:val="22"/>
        </w:rPr>
        <w:t xml:space="preserve"> </w:t>
      </w:r>
      <w:r w:rsidR="00AF1459" w:rsidRPr="00056F4B">
        <w:rPr>
          <w:rFonts w:cs="Arial"/>
          <w:sz w:val="22"/>
          <w:szCs w:val="22"/>
        </w:rPr>
        <w:t>posouzení a dodat</w:t>
      </w:r>
      <w:r w:rsidR="008D496B" w:rsidRPr="00056F4B">
        <w:rPr>
          <w:rFonts w:cs="Arial"/>
          <w:sz w:val="22"/>
          <w:szCs w:val="22"/>
        </w:rPr>
        <w:t>k</w:t>
      </w:r>
      <w:r w:rsidR="00AF1459" w:rsidRPr="00056F4B">
        <w:rPr>
          <w:rFonts w:cs="Arial"/>
          <w:sz w:val="22"/>
          <w:szCs w:val="22"/>
        </w:rPr>
        <w:t>u</w:t>
      </w:r>
      <w:r w:rsidR="008D496B" w:rsidRPr="00056F4B">
        <w:rPr>
          <w:rFonts w:cs="Arial"/>
          <w:sz w:val="22"/>
          <w:szCs w:val="22"/>
        </w:rPr>
        <w:t xml:space="preserve"> k dokumentaci pro územní rozhodnutí,</w:t>
      </w:r>
      <w:r w:rsidR="00AF1459" w:rsidRPr="00056F4B">
        <w:rPr>
          <w:rFonts w:cs="Arial"/>
          <w:sz w:val="22"/>
          <w:szCs w:val="22"/>
        </w:rPr>
        <w:t xml:space="preserve"> které v souvislosti s tím nechalo vypracovat</w:t>
      </w:r>
      <w:r w:rsidR="008D496B" w:rsidRPr="00056F4B">
        <w:rPr>
          <w:rFonts w:cs="Arial"/>
          <w:sz w:val="22"/>
          <w:szCs w:val="22"/>
        </w:rPr>
        <w:t xml:space="preserve"> </w:t>
      </w:r>
      <w:r w:rsidR="00AF1459" w:rsidRPr="00056F4B">
        <w:rPr>
          <w:rFonts w:cs="Arial"/>
          <w:sz w:val="22"/>
          <w:szCs w:val="22"/>
        </w:rPr>
        <w:t xml:space="preserve">ŘSD, </w:t>
      </w:r>
      <w:r w:rsidR="008D496B" w:rsidRPr="00056F4B">
        <w:rPr>
          <w:rFonts w:cs="Arial"/>
          <w:b/>
          <w:sz w:val="22"/>
          <w:szCs w:val="22"/>
        </w:rPr>
        <w:t>by realizací požadavků došlo ke zvýšení nákladů o 587 mil. Kč</w:t>
      </w:r>
      <w:r w:rsidR="00051EBF" w:rsidRPr="00D425E9">
        <w:rPr>
          <w:rFonts w:cs="Arial"/>
          <w:b/>
          <w:sz w:val="22"/>
          <w:szCs w:val="22"/>
        </w:rPr>
        <w:t>,</w:t>
      </w:r>
      <w:r w:rsidR="00051EBF" w:rsidRPr="00056F4B">
        <w:rPr>
          <w:rFonts w:cs="Arial"/>
          <w:sz w:val="22"/>
          <w:szCs w:val="22"/>
        </w:rPr>
        <w:t xml:space="preserve"> tj. o 15 </w:t>
      </w:r>
      <w:r w:rsidR="008D496B" w:rsidRPr="00056F4B">
        <w:rPr>
          <w:rFonts w:cs="Arial"/>
          <w:sz w:val="22"/>
          <w:szCs w:val="22"/>
        </w:rPr>
        <w:t xml:space="preserve">%. </w:t>
      </w:r>
      <w:r w:rsidR="00AF1459" w:rsidRPr="00056F4B">
        <w:rPr>
          <w:rFonts w:cs="Arial"/>
          <w:sz w:val="22"/>
          <w:szCs w:val="22"/>
        </w:rPr>
        <w:t xml:space="preserve">ŘSD </w:t>
      </w:r>
      <w:r w:rsidR="00056F4B">
        <w:rPr>
          <w:rFonts w:cs="Arial"/>
          <w:sz w:val="22"/>
          <w:szCs w:val="22"/>
        </w:rPr>
        <w:t xml:space="preserve">proto </w:t>
      </w:r>
      <w:r w:rsidR="00AF1459" w:rsidRPr="00056F4B">
        <w:rPr>
          <w:rFonts w:cs="Arial"/>
          <w:sz w:val="22"/>
          <w:szCs w:val="22"/>
        </w:rPr>
        <w:t xml:space="preserve">přípravu stavby přerušilo. Na projektové dokumentace v letech 2006 až 2010 </w:t>
      </w:r>
      <w:r w:rsidR="000E3580" w:rsidRPr="00056F4B">
        <w:rPr>
          <w:rFonts w:cs="Arial"/>
          <w:sz w:val="22"/>
          <w:szCs w:val="22"/>
        </w:rPr>
        <w:t xml:space="preserve">vynaložilo </w:t>
      </w:r>
      <w:r w:rsidR="00AF1459" w:rsidRPr="00056F4B">
        <w:rPr>
          <w:rFonts w:cs="Arial"/>
          <w:sz w:val="22"/>
          <w:szCs w:val="22"/>
        </w:rPr>
        <w:t>25,3</w:t>
      </w:r>
      <w:r w:rsidR="00056F4B">
        <w:rPr>
          <w:rFonts w:cs="Arial"/>
          <w:sz w:val="22"/>
          <w:szCs w:val="22"/>
        </w:rPr>
        <w:t> mil. </w:t>
      </w:r>
      <w:r w:rsidR="00AF1459" w:rsidRPr="00056F4B">
        <w:rPr>
          <w:rFonts w:cs="Arial"/>
          <w:sz w:val="22"/>
          <w:szCs w:val="22"/>
        </w:rPr>
        <w:t>Kč. V</w:t>
      </w:r>
      <w:r w:rsidR="002E0973" w:rsidRPr="00056F4B">
        <w:rPr>
          <w:rFonts w:cs="Arial"/>
          <w:sz w:val="22"/>
          <w:szCs w:val="22"/>
        </w:rPr>
        <w:t> době kontroly</w:t>
      </w:r>
      <w:r w:rsidR="00AF1459" w:rsidRPr="00056F4B">
        <w:rPr>
          <w:rFonts w:cs="Arial"/>
          <w:sz w:val="22"/>
          <w:szCs w:val="22"/>
        </w:rPr>
        <w:t xml:space="preserve"> ŘSD</w:t>
      </w:r>
      <w:r w:rsidR="002E0973" w:rsidRPr="00056F4B">
        <w:rPr>
          <w:rFonts w:cs="Arial"/>
          <w:sz w:val="22"/>
          <w:szCs w:val="22"/>
        </w:rPr>
        <w:t xml:space="preserve"> připravovalo v souvislosti s úspornými opatřeními prověření ekonomické výhodnost</w:t>
      </w:r>
      <w:r w:rsidR="00AF1459" w:rsidRPr="00056F4B">
        <w:rPr>
          <w:rFonts w:cs="Arial"/>
          <w:sz w:val="22"/>
          <w:szCs w:val="22"/>
        </w:rPr>
        <w:t>i</w:t>
      </w:r>
      <w:r w:rsidR="002E0973" w:rsidRPr="00056F4B">
        <w:rPr>
          <w:rFonts w:cs="Arial"/>
          <w:sz w:val="22"/>
          <w:szCs w:val="22"/>
        </w:rPr>
        <w:t xml:space="preserve"> zkapacitnění silnice I/7 z Chomutova do Slaného.</w:t>
      </w:r>
      <w:r w:rsidR="00AF1459" w:rsidRPr="00056F4B">
        <w:rPr>
          <w:rFonts w:cs="Arial"/>
          <w:sz w:val="22"/>
          <w:szCs w:val="22"/>
        </w:rPr>
        <w:t xml:space="preserve"> </w:t>
      </w:r>
      <w:r w:rsidR="002E0973" w:rsidRPr="00056F4B">
        <w:rPr>
          <w:rFonts w:cs="Arial"/>
          <w:sz w:val="22"/>
          <w:szCs w:val="22"/>
        </w:rPr>
        <w:t xml:space="preserve"> </w:t>
      </w:r>
    </w:p>
    <w:p w:rsidR="002E0973" w:rsidRDefault="002E0973" w:rsidP="00850DC1">
      <w:pPr>
        <w:jc w:val="both"/>
        <w:rPr>
          <w:rFonts w:cs="Arial"/>
          <w:sz w:val="22"/>
          <w:szCs w:val="22"/>
        </w:rPr>
      </w:pPr>
    </w:p>
    <w:p w:rsidR="00B416F4" w:rsidRPr="00056F4B" w:rsidRDefault="002E0973" w:rsidP="009D1AE6">
      <w:pPr>
        <w:ind w:left="284"/>
        <w:jc w:val="both"/>
        <w:rPr>
          <w:rFonts w:cs="Arial"/>
          <w:sz w:val="22"/>
          <w:szCs w:val="22"/>
        </w:rPr>
      </w:pPr>
      <w:r w:rsidRPr="00056F4B">
        <w:rPr>
          <w:rFonts w:cs="Arial"/>
          <w:sz w:val="22"/>
          <w:szCs w:val="22"/>
        </w:rPr>
        <w:t>U stavby R55</w:t>
      </w:r>
      <w:r w:rsidR="00573718" w:rsidRPr="00056F4B">
        <w:rPr>
          <w:rFonts w:cs="Arial"/>
          <w:sz w:val="22"/>
          <w:szCs w:val="22"/>
        </w:rPr>
        <w:t xml:space="preserve"> v</w:t>
      </w:r>
      <w:r w:rsidRPr="00056F4B">
        <w:rPr>
          <w:rFonts w:cs="Arial"/>
          <w:sz w:val="22"/>
          <w:szCs w:val="22"/>
        </w:rPr>
        <w:t xml:space="preserve"> úseku Bzen</w:t>
      </w:r>
      <w:r w:rsidR="00AF1459" w:rsidRPr="00056F4B">
        <w:rPr>
          <w:rFonts w:cs="Arial"/>
          <w:sz w:val="22"/>
          <w:szCs w:val="22"/>
        </w:rPr>
        <w:t>ec Přívoz – Rohatec nesouhlasila</w:t>
      </w:r>
      <w:r w:rsidRPr="00056F4B">
        <w:rPr>
          <w:rFonts w:cs="Arial"/>
          <w:sz w:val="22"/>
          <w:szCs w:val="22"/>
        </w:rPr>
        <w:t xml:space="preserve"> ekologická sdružení s povrchovým vedením trasy. </w:t>
      </w:r>
      <w:r w:rsidR="00260848" w:rsidRPr="00056F4B">
        <w:rPr>
          <w:rFonts w:cs="Arial"/>
          <w:sz w:val="22"/>
          <w:szCs w:val="22"/>
        </w:rPr>
        <w:t xml:space="preserve">Důvodem byl negativní dopad na chráněné druhy ptactva. ŘSD proto </w:t>
      </w:r>
      <w:r w:rsidR="009F53BD" w:rsidRPr="00056F4B">
        <w:rPr>
          <w:rFonts w:cs="Arial"/>
          <w:sz w:val="22"/>
          <w:szCs w:val="22"/>
        </w:rPr>
        <w:t>vypracovalo</w:t>
      </w:r>
      <w:r w:rsidR="00260848" w:rsidRPr="00056F4B">
        <w:rPr>
          <w:rFonts w:cs="Arial"/>
          <w:sz w:val="22"/>
          <w:szCs w:val="22"/>
        </w:rPr>
        <w:t xml:space="preserve"> novou variantu</w:t>
      </w:r>
      <w:r w:rsidR="009F53BD" w:rsidRPr="00056F4B">
        <w:rPr>
          <w:rFonts w:cs="Arial"/>
          <w:sz w:val="22"/>
          <w:szCs w:val="22"/>
        </w:rPr>
        <w:t xml:space="preserve"> vedení trasy v tzv. galerii, která byla o </w:t>
      </w:r>
      <w:r w:rsidR="00260848" w:rsidRPr="00056F4B">
        <w:rPr>
          <w:rFonts w:cs="Arial"/>
          <w:sz w:val="22"/>
          <w:szCs w:val="22"/>
        </w:rPr>
        <w:t>5</w:t>
      </w:r>
      <w:r w:rsidR="00F929C3" w:rsidRPr="00056F4B">
        <w:rPr>
          <w:rFonts w:cs="Arial"/>
          <w:sz w:val="22"/>
          <w:szCs w:val="22"/>
        </w:rPr>
        <w:t> </w:t>
      </w:r>
      <w:r w:rsidR="00260848" w:rsidRPr="00056F4B">
        <w:rPr>
          <w:rFonts w:cs="Arial"/>
          <w:sz w:val="22"/>
          <w:szCs w:val="22"/>
        </w:rPr>
        <w:t>780</w:t>
      </w:r>
      <w:r w:rsidR="00F929C3" w:rsidRPr="00056F4B">
        <w:rPr>
          <w:rFonts w:cs="Arial"/>
          <w:sz w:val="22"/>
          <w:szCs w:val="22"/>
        </w:rPr>
        <w:t> </w:t>
      </w:r>
      <w:r w:rsidR="00260848" w:rsidRPr="00056F4B">
        <w:rPr>
          <w:rFonts w:cs="Arial"/>
          <w:sz w:val="22"/>
          <w:szCs w:val="22"/>
        </w:rPr>
        <w:t>mil.</w:t>
      </w:r>
      <w:r w:rsidR="00F929C3" w:rsidRPr="00056F4B">
        <w:rPr>
          <w:rFonts w:cs="Arial"/>
          <w:sz w:val="22"/>
          <w:szCs w:val="22"/>
        </w:rPr>
        <w:t> </w:t>
      </w:r>
      <w:r w:rsidR="00260848" w:rsidRPr="00056F4B">
        <w:rPr>
          <w:rFonts w:cs="Arial"/>
          <w:sz w:val="22"/>
          <w:szCs w:val="22"/>
        </w:rPr>
        <w:t>Kč dražší. Na novou variantu vydalo Ministerstvo životní</w:t>
      </w:r>
      <w:r w:rsidR="00056F4B">
        <w:rPr>
          <w:rFonts w:cs="Arial"/>
          <w:sz w:val="22"/>
          <w:szCs w:val="22"/>
        </w:rPr>
        <w:t>ho</w:t>
      </w:r>
      <w:r w:rsidR="00260848" w:rsidRPr="00056F4B">
        <w:rPr>
          <w:rFonts w:cs="Arial"/>
          <w:sz w:val="22"/>
          <w:szCs w:val="22"/>
        </w:rPr>
        <w:t xml:space="preserve"> prostředí kladné stanovisko. Ekologická sdr</w:t>
      </w:r>
      <w:r w:rsidR="00944526" w:rsidRPr="00056F4B">
        <w:rPr>
          <w:rFonts w:cs="Arial"/>
          <w:sz w:val="22"/>
          <w:szCs w:val="22"/>
        </w:rPr>
        <w:t>užení i nadále nesouhlasila</w:t>
      </w:r>
      <w:r w:rsidR="0007050F">
        <w:rPr>
          <w:rFonts w:cs="Arial"/>
          <w:sz w:val="22"/>
          <w:szCs w:val="22"/>
        </w:rPr>
        <w:t xml:space="preserve"> ani s touto variantou</w:t>
      </w:r>
      <w:r w:rsidR="00260848" w:rsidRPr="00056F4B">
        <w:rPr>
          <w:rFonts w:cs="Arial"/>
          <w:sz w:val="22"/>
          <w:szCs w:val="22"/>
        </w:rPr>
        <w:t>. Na základě vyhodnocení skupiny odborníků uložila v roce 2010 vláda</w:t>
      </w:r>
      <w:r w:rsidR="0092161B">
        <w:rPr>
          <w:rStyle w:val="Znakapoznpodarou"/>
          <w:rFonts w:cs="Arial"/>
          <w:sz w:val="22"/>
          <w:szCs w:val="22"/>
        </w:rPr>
        <w:footnoteReference w:id="29"/>
      </w:r>
      <w:r w:rsidR="00260848" w:rsidRPr="00056F4B">
        <w:rPr>
          <w:rFonts w:cs="Arial"/>
          <w:sz w:val="22"/>
          <w:szCs w:val="22"/>
        </w:rPr>
        <w:t xml:space="preserve"> pokračovat v přípravě stavby v</w:t>
      </w:r>
      <w:r w:rsidR="00F929C3" w:rsidRPr="00056F4B">
        <w:rPr>
          <w:rFonts w:cs="Arial"/>
          <w:sz w:val="22"/>
          <w:szCs w:val="22"/>
        </w:rPr>
        <w:t> </w:t>
      </w:r>
      <w:r w:rsidR="001E374C" w:rsidRPr="00056F4B">
        <w:rPr>
          <w:rFonts w:cs="Arial"/>
          <w:sz w:val="22"/>
          <w:szCs w:val="22"/>
        </w:rPr>
        <w:t xml:space="preserve">další </w:t>
      </w:r>
      <w:r w:rsidR="009F53BD" w:rsidRPr="00056F4B">
        <w:rPr>
          <w:rFonts w:cs="Arial"/>
          <w:sz w:val="22"/>
          <w:szCs w:val="22"/>
        </w:rPr>
        <w:t>tzv. tunelové variantě</w:t>
      </w:r>
      <w:r w:rsidR="00260848" w:rsidRPr="00056F4B">
        <w:rPr>
          <w:rFonts w:cs="Arial"/>
          <w:sz w:val="22"/>
          <w:szCs w:val="22"/>
        </w:rPr>
        <w:t xml:space="preserve">. </w:t>
      </w:r>
      <w:r w:rsidR="009F53BD" w:rsidRPr="00056F4B">
        <w:rPr>
          <w:rFonts w:cs="Arial"/>
          <w:b/>
          <w:sz w:val="22"/>
          <w:szCs w:val="22"/>
        </w:rPr>
        <w:t>Náklady na tunelovou</w:t>
      </w:r>
      <w:r w:rsidR="00260848" w:rsidRPr="00056F4B">
        <w:rPr>
          <w:rFonts w:cs="Arial"/>
          <w:b/>
          <w:sz w:val="22"/>
          <w:szCs w:val="22"/>
        </w:rPr>
        <w:t xml:space="preserve"> variantu 16 632 mil. Kč</w:t>
      </w:r>
      <w:r w:rsidR="009F53BD" w:rsidRPr="00056F4B">
        <w:rPr>
          <w:rFonts w:cs="Arial"/>
          <w:b/>
          <w:sz w:val="22"/>
          <w:szCs w:val="22"/>
        </w:rPr>
        <w:t xml:space="preserve"> jsou však o</w:t>
      </w:r>
      <w:r w:rsidR="00D551CC">
        <w:rPr>
          <w:rFonts w:cs="Arial"/>
          <w:b/>
          <w:sz w:val="22"/>
          <w:szCs w:val="22"/>
        </w:rPr>
        <w:t> </w:t>
      </w:r>
      <w:r w:rsidR="009F53BD" w:rsidRPr="00056F4B">
        <w:rPr>
          <w:rFonts w:cs="Arial"/>
          <w:b/>
          <w:sz w:val="22"/>
          <w:szCs w:val="22"/>
        </w:rPr>
        <w:t>115</w:t>
      </w:r>
      <w:r w:rsidR="00D551CC">
        <w:rPr>
          <w:rFonts w:cs="Arial"/>
          <w:b/>
          <w:sz w:val="22"/>
          <w:szCs w:val="22"/>
        </w:rPr>
        <w:t> </w:t>
      </w:r>
      <w:r w:rsidR="009F53BD" w:rsidRPr="00056F4B">
        <w:rPr>
          <w:rFonts w:cs="Arial"/>
          <w:b/>
          <w:sz w:val="22"/>
          <w:szCs w:val="22"/>
        </w:rPr>
        <w:t>% vyšší</w:t>
      </w:r>
      <w:r w:rsidR="00260848" w:rsidRPr="00056F4B">
        <w:rPr>
          <w:rFonts w:cs="Arial"/>
          <w:b/>
          <w:sz w:val="22"/>
          <w:szCs w:val="22"/>
        </w:rPr>
        <w:t xml:space="preserve"> proti variantě</w:t>
      </w:r>
      <w:r w:rsidR="009F53BD" w:rsidRPr="00056F4B">
        <w:rPr>
          <w:rFonts w:cs="Arial"/>
          <w:b/>
          <w:sz w:val="22"/>
          <w:szCs w:val="22"/>
        </w:rPr>
        <w:t xml:space="preserve"> v galerii</w:t>
      </w:r>
      <w:r w:rsidR="00260848" w:rsidRPr="00056F4B">
        <w:rPr>
          <w:rFonts w:cs="Arial"/>
          <w:b/>
          <w:sz w:val="22"/>
          <w:szCs w:val="22"/>
        </w:rPr>
        <w:t xml:space="preserve"> a </w:t>
      </w:r>
      <w:r w:rsidR="009F53BD" w:rsidRPr="00056F4B">
        <w:rPr>
          <w:rFonts w:cs="Arial"/>
          <w:b/>
          <w:sz w:val="22"/>
          <w:szCs w:val="22"/>
        </w:rPr>
        <w:t>o 746 % vyšší</w:t>
      </w:r>
      <w:r w:rsidR="00260848" w:rsidRPr="00056F4B">
        <w:rPr>
          <w:rFonts w:cs="Arial"/>
          <w:b/>
          <w:sz w:val="22"/>
          <w:szCs w:val="22"/>
        </w:rPr>
        <w:t xml:space="preserve"> proti původní variantě</w:t>
      </w:r>
      <w:r w:rsidR="00260848" w:rsidRPr="00D425E9">
        <w:rPr>
          <w:rFonts w:cs="Arial"/>
          <w:b/>
          <w:sz w:val="22"/>
          <w:szCs w:val="22"/>
        </w:rPr>
        <w:t>.</w:t>
      </w:r>
      <w:r w:rsidR="00260848" w:rsidRPr="00056F4B">
        <w:rPr>
          <w:rFonts w:cs="Arial"/>
          <w:sz w:val="22"/>
          <w:szCs w:val="22"/>
        </w:rPr>
        <w:t xml:space="preserve"> </w:t>
      </w:r>
      <w:r w:rsidR="0092161B" w:rsidRPr="00056F4B">
        <w:rPr>
          <w:rFonts w:cs="Arial"/>
          <w:sz w:val="22"/>
          <w:szCs w:val="22"/>
        </w:rPr>
        <w:t xml:space="preserve">ŘSD </w:t>
      </w:r>
      <w:r w:rsidR="00944526" w:rsidRPr="00056F4B">
        <w:rPr>
          <w:rFonts w:cs="Arial"/>
          <w:sz w:val="22"/>
          <w:szCs w:val="22"/>
        </w:rPr>
        <w:t>v </w:t>
      </w:r>
      <w:r w:rsidR="0092161B" w:rsidRPr="00056F4B">
        <w:rPr>
          <w:rFonts w:cs="Arial"/>
          <w:sz w:val="22"/>
          <w:szCs w:val="22"/>
        </w:rPr>
        <w:t>přípravě stavby nepokračovalo a nestanovilo další postup.</w:t>
      </w:r>
    </w:p>
    <w:p w:rsidR="00B416F4" w:rsidRDefault="00B416F4" w:rsidP="00850DC1">
      <w:pPr>
        <w:jc w:val="both"/>
        <w:rPr>
          <w:rFonts w:cs="Arial"/>
          <w:sz w:val="22"/>
          <w:szCs w:val="22"/>
        </w:rPr>
      </w:pPr>
    </w:p>
    <w:p w:rsidR="007B7A9C" w:rsidRDefault="00051EBF" w:rsidP="00B5464E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5.1.2 </w:t>
      </w:r>
      <w:r w:rsidR="00BC6A61" w:rsidRPr="009672DC">
        <w:rPr>
          <w:rFonts w:cs="Arial"/>
          <w:b/>
          <w:sz w:val="22"/>
          <w:szCs w:val="22"/>
        </w:rPr>
        <w:t>K zvyšování nákladů staveb</w:t>
      </w:r>
      <w:r w:rsidR="007C45EB">
        <w:rPr>
          <w:rFonts w:cs="Arial"/>
          <w:b/>
          <w:sz w:val="22"/>
          <w:szCs w:val="22"/>
        </w:rPr>
        <w:t xml:space="preserve"> na D a R</w:t>
      </w:r>
      <w:r w:rsidR="00BC6A61" w:rsidRPr="009672DC">
        <w:rPr>
          <w:rFonts w:cs="Arial"/>
          <w:b/>
          <w:sz w:val="22"/>
          <w:szCs w:val="22"/>
        </w:rPr>
        <w:t xml:space="preserve"> docházelo</w:t>
      </w:r>
      <w:r w:rsidR="00944526">
        <w:rPr>
          <w:rFonts w:cs="Arial"/>
          <w:b/>
          <w:sz w:val="22"/>
          <w:szCs w:val="22"/>
        </w:rPr>
        <w:t xml:space="preserve"> také</w:t>
      </w:r>
      <w:r w:rsidR="00BC6A61" w:rsidRPr="009672DC">
        <w:rPr>
          <w:rFonts w:cs="Arial"/>
          <w:b/>
          <w:sz w:val="22"/>
          <w:szCs w:val="22"/>
        </w:rPr>
        <w:t xml:space="preserve"> v průběhu jejich realizace</w:t>
      </w:r>
      <w:r w:rsidR="00944526" w:rsidRPr="00D425E9">
        <w:rPr>
          <w:rFonts w:cs="Arial"/>
          <w:b/>
          <w:sz w:val="22"/>
          <w:szCs w:val="22"/>
        </w:rPr>
        <w:t>.</w:t>
      </w:r>
      <w:r w:rsidR="009672DC">
        <w:rPr>
          <w:rFonts w:cs="Arial"/>
          <w:sz w:val="22"/>
          <w:szCs w:val="22"/>
        </w:rPr>
        <w:t xml:space="preserve"> </w:t>
      </w:r>
      <w:r w:rsidR="00BC6A61">
        <w:rPr>
          <w:rFonts w:cs="Arial"/>
          <w:sz w:val="22"/>
          <w:szCs w:val="22"/>
        </w:rPr>
        <w:t>U 13 staveb</w:t>
      </w:r>
      <w:r w:rsidR="00BC6A61">
        <w:rPr>
          <w:rStyle w:val="Znakapoznpodarou"/>
          <w:rFonts w:cs="Arial"/>
          <w:sz w:val="22"/>
          <w:szCs w:val="22"/>
        </w:rPr>
        <w:footnoteReference w:id="30"/>
      </w:r>
      <w:r w:rsidR="00BC6A61">
        <w:rPr>
          <w:rFonts w:cs="Arial"/>
          <w:sz w:val="22"/>
          <w:szCs w:val="22"/>
        </w:rPr>
        <w:t xml:space="preserve"> </w:t>
      </w:r>
      <w:r w:rsidR="009672DC">
        <w:rPr>
          <w:rFonts w:cs="Arial"/>
          <w:sz w:val="22"/>
          <w:szCs w:val="22"/>
        </w:rPr>
        <w:t>bylo</w:t>
      </w:r>
      <w:r w:rsidR="007C45EB">
        <w:rPr>
          <w:rFonts w:cs="Arial"/>
          <w:sz w:val="22"/>
          <w:szCs w:val="22"/>
        </w:rPr>
        <w:t xml:space="preserve"> provedeno</w:t>
      </w:r>
      <w:r w:rsidR="009672DC">
        <w:rPr>
          <w:rFonts w:cs="Arial"/>
          <w:sz w:val="22"/>
          <w:szCs w:val="22"/>
        </w:rPr>
        <w:t xml:space="preserve"> přes 920 změn</w:t>
      </w:r>
      <w:r w:rsidR="00944526">
        <w:rPr>
          <w:rFonts w:cs="Arial"/>
          <w:sz w:val="22"/>
          <w:szCs w:val="22"/>
        </w:rPr>
        <w:t xml:space="preserve"> (víceprací a </w:t>
      </w:r>
      <w:proofErr w:type="spellStart"/>
      <w:r w:rsidR="00944526">
        <w:rPr>
          <w:rFonts w:cs="Arial"/>
          <w:sz w:val="22"/>
          <w:szCs w:val="22"/>
        </w:rPr>
        <w:t>méněprací</w:t>
      </w:r>
      <w:proofErr w:type="spellEnd"/>
      <w:r w:rsidR="00944526">
        <w:rPr>
          <w:rFonts w:cs="Arial"/>
          <w:sz w:val="22"/>
          <w:szCs w:val="22"/>
        </w:rPr>
        <w:t>)</w:t>
      </w:r>
      <w:r w:rsidR="009672DC">
        <w:rPr>
          <w:rFonts w:cs="Arial"/>
          <w:sz w:val="22"/>
          <w:szCs w:val="22"/>
        </w:rPr>
        <w:t>, kterými byly zvýšeny stavební náklady o témě</w:t>
      </w:r>
      <w:r w:rsidR="007C45EB">
        <w:rPr>
          <w:rFonts w:cs="Arial"/>
          <w:sz w:val="22"/>
          <w:szCs w:val="22"/>
        </w:rPr>
        <w:t>ř 2 000 mil. Kč. Příčinami změn</w:t>
      </w:r>
      <w:r w:rsidR="009672DC">
        <w:rPr>
          <w:rFonts w:cs="Arial"/>
          <w:sz w:val="22"/>
          <w:szCs w:val="22"/>
        </w:rPr>
        <w:t xml:space="preserve"> byly především nedostatky </w:t>
      </w:r>
      <w:r w:rsidR="001E374C">
        <w:rPr>
          <w:rFonts w:cs="Arial"/>
          <w:sz w:val="22"/>
          <w:szCs w:val="22"/>
        </w:rPr>
        <w:t>v</w:t>
      </w:r>
      <w:r w:rsidR="007C45EB">
        <w:rPr>
          <w:rFonts w:cs="Arial"/>
          <w:sz w:val="22"/>
          <w:szCs w:val="22"/>
        </w:rPr>
        <w:t> příprav</w:t>
      </w:r>
      <w:r w:rsidR="001E374C">
        <w:rPr>
          <w:rFonts w:cs="Arial"/>
          <w:sz w:val="22"/>
          <w:szCs w:val="22"/>
        </w:rPr>
        <w:t>ě</w:t>
      </w:r>
      <w:r w:rsidR="007C45EB">
        <w:rPr>
          <w:rFonts w:cs="Arial"/>
          <w:sz w:val="22"/>
          <w:szCs w:val="22"/>
        </w:rPr>
        <w:t xml:space="preserve"> staveb</w:t>
      </w:r>
      <w:r w:rsidR="009672DC">
        <w:rPr>
          <w:rFonts w:cs="Arial"/>
          <w:sz w:val="22"/>
          <w:szCs w:val="22"/>
        </w:rPr>
        <w:t>, dodatečné požadavky ŘSD nebo uzavírání smluv s dodavateli stavebních prací před získáním stavebních povolení. Nepředvídatelné vícepráce tvořily jen menší část</w:t>
      </w:r>
      <w:r w:rsidR="007C45EB">
        <w:rPr>
          <w:rFonts w:cs="Arial"/>
          <w:sz w:val="22"/>
          <w:szCs w:val="22"/>
        </w:rPr>
        <w:t xml:space="preserve"> z realizovaných </w:t>
      </w:r>
      <w:r w:rsidR="00CA3A21">
        <w:rPr>
          <w:rFonts w:cs="Arial"/>
          <w:sz w:val="22"/>
          <w:szCs w:val="22"/>
        </w:rPr>
        <w:t>víceprací</w:t>
      </w:r>
      <w:r w:rsidR="009672DC">
        <w:rPr>
          <w:rFonts w:cs="Arial"/>
          <w:sz w:val="22"/>
          <w:szCs w:val="22"/>
        </w:rPr>
        <w:t>.</w:t>
      </w:r>
    </w:p>
    <w:p w:rsidR="007B7A9C" w:rsidRDefault="007B7A9C" w:rsidP="00B5464E">
      <w:pPr>
        <w:jc w:val="both"/>
        <w:rPr>
          <w:rFonts w:cs="Arial"/>
          <w:sz w:val="22"/>
          <w:szCs w:val="22"/>
        </w:rPr>
      </w:pPr>
    </w:p>
    <w:p w:rsidR="00BC6A61" w:rsidRPr="00FF3E46" w:rsidRDefault="007B7A9C" w:rsidP="009D1AE6">
      <w:pPr>
        <w:ind w:left="284"/>
        <w:jc w:val="both"/>
        <w:rPr>
          <w:rFonts w:cs="Arial"/>
          <w:sz w:val="22"/>
          <w:szCs w:val="22"/>
        </w:rPr>
      </w:pPr>
      <w:r w:rsidRPr="00FF3E46">
        <w:rPr>
          <w:rFonts w:cs="Arial"/>
          <w:sz w:val="22"/>
          <w:szCs w:val="22"/>
        </w:rPr>
        <w:t xml:space="preserve">Například </w:t>
      </w:r>
      <w:r w:rsidR="008324C9" w:rsidRPr="00FF3E46">
        <w:rPr>
          <w:rFonts w:cs="Arial"/>
          <w:sz w:val="22"/>
          <w:szCs w:val="22"/>
        </w:rPr>
        <w:t>na</w:t>
      </w:r>
      <w:r w:rsidRPr="00FF3E46">
        <w:rPr>
          <w:rFonts w:cs="Arial"/>
          <w:sz w:val="22"/>
          <w:szCs w:val="22"/>
        </w:rPr>
        <w:t xml:space="preserve"> stavb</w:t>
      </w:r>
      <w:r w:rsidR="008324C9" w:rsidRPr="00FF3E46">
        <w:rPr>
          <w:rFonts w:cs="Arial"/>
          <w:sz w:val="22"/>
          <w:szCs w:val="22"/>
        </w:rPr>
        <w:t>u</w:t>
      </w:r>
      <w:r w:rsidRPr="00FF3E46">
        <w:rPr>
          <w:rFonts w:cs="Arial"/>
          <w:sz w:val="22"/>
          <w:szCs w:val="22"/>
        </w:rPr>
        <w:t xml:space="preserve"> R4</w:t>
      </w:r>
      <w:r w:rsidR="007C45EB" w:rsidRPr="00FF3E46">
        <w:rPr>
          <w:rFonts w:cs="Arial"/>
          <w:sz w:val="22"/>
          <w:szCs w:val="22"/>
        </w:rPr>
        <w:t xml:space="preserve"> v</w:t>
      </w:r>
      <w:r w:rsidRPr="00FF3E46">
        <w:rPr>
          <w:rFonts w:cs="Arial"/>
          <w:sz w:val="22"/>
          <w:szCs w:val="22"/>
        </w:rPr>
        <w:t xml:space="preserve"> úseku </w:t>
      </w:r>
      <w:proofErr w:type="gramStart"/>
      <w:r w:rsidRPr="00FF3E46">
        <w:rPr>
          <w:rFonts w:cs="Arial"/>
          <w:sz w:val="22"/>
          <w:szCs w:val="22"/>
        </w:rPr>
        <w:t>Mirotice</w:t>
      </w:r>
      <w:proofErr w:type="gramEnd"/>
      <w:r w:rsidRPr="00FF3E46">
        <w:rPr>
          <w:rFonts w:cs="Arial"/>
          <w:sz w:val="22"/>
          <w:szCs w:val="22"/>
        </w:rPr>
        <w:t>–</w:t>
      </w:r>
      <w:proofErr w:type="spellStart"/>
      <w:proofErr w:type="gramStart"/>
      <w:r w:rsidRPr="00FF3E46">
        <w:rPr>
          <w:rFonts w:cs="Arial"/>
          <w:sz w:val="22"/>
          <w:szCs w:val="22"/>
        </w:rPr>
        <w:t>Třebkov</w:t>
      </w:r>
      <w:proofErr w:type="spellEnd"/>
      <w:proofErr w:type="gramEnd"/>
      <w:r w:rsidRPr="00FF3E46">
        <w:rPr>
          <w:rFonts w:cs="Arial"/>
          <w:sz w:val="22"/>
          <w:szCs w:val="22"/>
        </w:rPr>
        <w:t xml:space="preserve"> </w:t>
      </w:r>
      <w:r w:rsidR="008324C9" w:rsidRPr="00FF3E46">
        <w:rPr>
          <w:rFonts w:cs="Arial"/>
          <w:sz w:val="22"/>
          <w:szCs w:val="22"/>
        </w:rPr>
        <w:t>vyhlásilo ŘSD zadávací řízení ještě před vydáním stavebního povolení. Na základě vydaného stavebního povolení musela být upravena mimoúrovňová křižovatka</w:t>
      </w:r>
      <w:r w:rsidR="00820B56" w:rsidRPr="00FF3E46">
        <w:rPr>
          <w:rFonts w:cs="Arial"/>
          <w:sz w:val="22"/>
          <w:szCs w:val="22"/>
        </w:rPr>
        <w:t xml:space="preserve"> a vybudováno provizorní napojení n</w:t>
      </w:r>
      <w:r w:rsidR="008324C9" w:rsidRPr="00FF3E46">
        <w:rPr>
          <w:rFonts w:cs="Arial"/>
          <w:sz w:val="22"/>
          <w:szCs w:val="22"/>
        </w:rPr>
        <w:t>a nov</w:t>
      </w:r>
      <w:r w:rsidR="00820B56" w:rsidRPr="00FF3E46">
        <w:rPr>
          <w:rFonts w:cs="Arial"/>
          <w:sz w:val="22"/>
          <w:szCs w:val="22"/>
        </w:rPr>
        <w:t>ou okružní křižovatku, která byla řešena jako samostatná stavba. Tyto změny zvýšily náklady o</w:t>
      </w:r>
      <w:r w:rsidR="00F929C3" w:rsidRPr="00FF3E46">
        <w:rPr>
          <w:rFonts w:cs="Arial"/>
          <w:sz w:val="22"/>
          <w:szCs w:val="22"/>
        </w:rPr>
        <w:t> </w:t>
      </w:r>
      <w:r w:rsidR="006061D6" w:rsidRPr="00FF3E46">
        <w:rPr>
          <w:rFonts w:cs="Arial"/>
          <w:sz w:val="22"/>
          <w:szCs w:val="22"/>
        </w:rPr>
        <w:t>9</w:t>
      </w:r>
      <w:r w:rsidR="00820B56" w:rsidRPr="00FF3E46">
        <w:rPr>
          <w:rFonts w:cs="Arial"/>
          <w:sz w:val="22"/>
          <w:szCs w:val="22"/>
        </w:rPr>
        <w:t>,</w:t>
      </w:r>
      <w:r w:rsidR="006061D6" w:rsidRPr="00FF3E46">
        <w:rPr>
          <w:rFonts w:cs="Arial"/>
          <w:sz w:val="22"/>
          <w:szCs w:val="22"/>
        </w:rPr>
        <w:t>1</w:t>
      </w:r>
      <w:r w:rsidR="00F929C3" w:rsidRPr="00FF3E46">
        <w:rPr>
          <w:rFonts w:cs="Arial"/>
          <w:sz w:val="22"/>
          <w:szCs w:val="22"/>
        </w:rPr>
        <w:t> </w:t>
      </w:r>
      <w:r w:rsidR="00820B56" w:rsidRPr="00FF3E46">
        <w:rPr>
          <w:rFonts w:cs="Arial"/>
          <w:sz w:val="22"/>
          <w:szCs w:val="22"/>
        </w:rPr>
        <w:t>mil.</w:t>
      </w:r>
      <w:r w:rsidR="001E374C" w:rsidRPr="00FF3E46">
        <w:rPr>
          <w:rFonts w:cs="Arial"/>
          <w:sz w:val="22"/>
          <w:szCs w:val="22"/>
        </w:rPr>
        <w:t> </w:t>
      </w:r>
      <w:r w:rsidR="00820B56" w:rsidRPr="00FF3E46">
        <w:rPr>
          <w:rFonts w:cs="Arial"/>
          <w:sz w:val="22"/>
          <w:szCs w:val="22"/>
        </w:rPr>
        <w:t xml:space="preserve">Kč. </w:t>
      </w:r>
    </w:p>
    <w:p w:rsidR="00BC6A61" w:rsidRDefault="00BC6A61" w:rsidP="00B5464E">
      <w:pPr>
        <w:jc w:val="both"/>
        <w:rPr>
          <w:rFonts w:cs="Arial"/>
          <w:sz w:val="22"/>
          <w:szCs w:val="22"/>
        </w:rPr>
      </w:pPr>
    </w:p>
    <w:p w:rsidR="00B416F4" w:rsidRDefault="00051EBF" w:rsidP="00AE5D74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5.1.3 Byly zjištěny</w:t>
      </w:r>
      <w:r w:rsidR="00DD0EE2">
        <w:rPr>
          <w:rFonts w:cs="Arial"/>
          <w:b/>
          <w:sz w:val="22"/>
          <w:szCs w:val="22"/>
        </w:rPr>
        <w:t xml:space="preserve"> i </w:t>
      </w:r>
      <w:r>
        <w:rPr>
          <w:rFonts w:cs="Arial"/>
          <w:b/>
          <w:sz w:val="22"/>
          <w:szCs w:val="22"/>
        </w:rPr>
        <w:t>další nedostatky</w:t>
      </w:r>
      <w:r w:rsidR="00DD0EE2" w:rsidRPr="00461467">
        <w:rPr>
          <w:rFonts w:cs="Arial"/>
          <w:b/>
          <w:sz w:val="22"/>
          <w:szCs w:val="22"/>
        </w:rPr>
        <w:t>, vyplýv</w:t>
      </w:r>
      <w:r w:rsidR="00FB2DE2">
        <w:rPr>
          <w:rFonts w:cs="Arial"/>
          <w:b/>
          <w:sz w:val="22"/>
          <w:szCs w:val="22"/>
        </w:rPr>
        <w:t>ající</w:t>
      </w:r>
      <w:r w:rsidR="00DD0EE2">
        <w:rPr>
          <w:rFonts w:cs="Arial"/>
          <w:b/>
          <w:sz w:val="22"/>
          <w:szCs w:val="22"/>
        </w:rPr>
        <w:t xml:space="preserve"> zejména z činnosti ŘSD, které negativně ovlivňovaly n</w:t>
      </w:r>
      <w:r w:rsidR="00151B47">
        <w:rPr>
          <w:rFonts w:cs="Arial"/>
          <w:b/>
          <w:sz w:val="22"/>
          <w:szCs w:val="22"/>
        </w:rPr>
        <w:t>áklady</w:t>
      </w:r>
      <w:r w:rsidR="00056F4B">
        <w:rPr>
          <w:rFonts w:cs="Arial"/>
          <w:b/>
          <w:sz w:val="22"/>
          <w:szCs w:val="22"/>
        </w:rPr>
        <w:t>,</w:t>
      </w:r>
      <w:r w:rsidR="00151B47">
        <w:rPr>
          <w:rFonts w:cs="Arial"/>
          <w:b/>
          <w:sz w:val="22"/>
          <w:szCs w:val="22"/>
        </w:rPr>
        <w:t xml:space="preserve"> a tím i hospodárnost přípravy a realizace</w:t>
      </w:r>
      <w:r w:rsidR="00151B47" w:rsidRPr="00461467">
        <w:rPr>
          <w:rFonts w:cs="Arial"/>
          <w:b/>
          <w:sz w:val="22"/>
          <w:szCs w:val="22"/>
        </w:rPr>
        <w:t xml:space="preserve"> akcí</w:t>
      </w:r>
      <w:r w:rsidR="007C45EB">
        <w:rPr>
          <w:rFonts w:cs="Arial"/>
          <w:b/>
          <w:sz w:val="22"/>
          <w:szCs w:val="22"/>
        </w:rPr>
        <w:t xml:space="preserve"> na</w:t>
      </w:r>
      <w:r w:rsidR="00151B47" w:rsidRPr="00461467">
        <w:rPr>
          <w:rFonts w:cs="Arial"/>
          <w:b/>
          <w:sz w:val="22"/>
          <w:szCs w:val="22"/>
        </w:rPr>
        <w:t xml:space="preserve"> D a R</w:t>
      </w:r>
      <w:r w:rsidR="00AE5D74" w:rsidRPr="00D425E9">
        <w:rPr>
          <w:rFonts w:cs="Arial"/>
          <w:b/>
          <w:sz w:val="22"/>
          <w:szCs w:val="22"/>
        </w:rPr>
        <w:t>.</w:t>
      </w:r>
      <w:r w:rsidR="00AE5D74">
        <w:rPr>
          <w:rFonts w:cs="Arial"/>
          <w:sz w:val="22"/>
          <w:szCs w:val="22"/>
        </w:rPr>
        <w:t xml:space="preserve"> Například:</w:t>
      </w:r>
    </w:p>
    <w:p w:rsidR="00A97480" w:rsidRDefault="005056D7" w:rsidP="00D425E9">
      <w:pPr>
        <w:pStyle w:val="Odstavecseseznamem"/>
        <w:numPr>
          <w:ilvl w:val="0"/>
          <w:numId w:val="7"/>
        </w:numPr>
        <w:ind w:left="284" w:hanging="284"/>
        <w:jc w:val="both"/>
        <w:rPr>
          <w:rFonts w:cs="Arial"/>
          <w:sz w:val="22"/>
          <w:szCs w:val="22"/>
        </w:rPr>
      </w:pPr>
      <w:r w:rsidRPr="00056F4B">
        <w:rPr>
          <w:rFonts w:cs="Arial"/>
          <w:sz w:val="22"/>
          <w:szCs w:val="22"/>
        </w:rPr>
        <w:t>U stav</w:t>
      </w:r>
      <w:r w:rsidR="005D77BD" w:rsidRPr="00056F4B">
        <w:rPr>
          <w:rFonts w:cs="Arial"/>
          <w:sz w:val="22"/>
          <w:szCs w:val="22"/>
        </w:rPr>
        <w:t>b</w:t>
      </w:r>
      <w:r w:rsidRPr="00056F4B">
        <w:rPr>
          <w:rFonts w:cs="Arial"/>
          <w:sz w:val="22"/>
          <w:szCs w:val="22"/>
        </w:rPr>
        <w:t>y</w:t>
      </w:r>
      <w:r w:rsidR="005D77BD" w:rsidRPr="00056F4B">
        <w:rPr>
          <w:rFonts w:cs="Arial"/>
          <w:sz w:val="22"/>
          <w:szCs w:val="22"/>
        </w:rPr>
        <w:t xml:space="preserve"> mimoúrovňových křižovatek Vranovice</w:t>
      </w:r>
      <w:r w:rsidR="00056F4B" w:rsidRPr="00056F4B">
        <w:rPr>
          <w:rFonts w:cs="Arial"/>
          <w:sz w:val="22"/>
          <w:szCs w:val="22"/>
        </w:rPr>
        <w:t>-</w:t>
      </w:r>
      <w:r w:rsidR="005D77BD" w:rsidRPr="00056F4B">
        <w:rPr>
          <w:rFonts w:cs="Arial"/>
          <w:sz w:val="22"/>
          <w:szCs w:val="22"/>
        </w:rPr>
        <w:t xml:space="preserve">Kelčice a Brodek u Prostějova na R46 musely být provedeny stavební úpravy v ceně 4,0 mil. Kč. Důvodem byla mýtná brána v místě jednoho stavebního objektu, </w:t>
      </w:r>
      <w:r w:rsidR="00057CBE" w:rsidRPr="00056F4B">
        <w:rPr>
          <w:rFonts w:cs="Arial"/>
          <w:sz w:val="22"/>
          <w:szCs w:val="22"/>
        </w:rPr>
        <w:t xml:space="preserve">jejíž umístění neodpovídalo dokumentaci skutečného provedení její výstavby. </w:t>
      </w:r>
    </w:p>
    <w:p w:rsidR="00537EB3" w:rsidRPr="00A97480" w:rsidRDefault="00BA1FCB" w:rsidP="009D1AE6">
      <w:pPr>
        <w:ind w:left="284"/>
        <w:jc w:val="both"/>
        <w:rPr>
          <w:rFonts w:cs="Arial"/>
          <w:sz w:val="22"/>
          <w:szCs w:val="22"/>
        </w:rPr>
      </w:pPr>
      <w:r w:rsidRPr="00A97480">
        <w:rPr>
          <w:rFonts w:cs="Arial"/>
          <w:sz w:val="22"/>
          <w:szCs w:val="22"/>
        </w:rPr>
        <w:t xml:space="preserve">V roce 2010 </w:t>
      </w:r>
      <w:r w:rsidR="00537EB3" w:rsidRPr="00A97480">
        <w:rPr>
          <w:rFonts w:cs="Arial"/>
          <w:sz w:val="22"/>
          <w:szCs w:val="22"/>
        </w:rPr>
        <w:t xml:space="preserve">nechalo ŘSD </w:t>
      </w:r>
      <w:r w:rsidRPr="00A97480">
        <w:rPr>
          <w:rFonts w:cs="Arial"/>
          <w:sz w:val="22"/>
          <w:szCs w:val="22"/>
        </w:rPr>
        <w:t xml:space="preserve">pro tuto stavbu </w:t>
      </w:r>
      <w:r w:rsidR="00537EB3" w:rsidRPr="00A97480">
        <w:rPr>
          <w:rFonts w:cs="Arial"/>
          <w:sz w:val="22"/>
          <w:szCs w:val="22"/>
        </w:rPr>
        <w:t>zpracovat v ceně 0,2 mil. Kč novou projektovou</w:t>
      </w:r>
      <w:r w:rsidR="00FB2DE2" w:rsidRPr="00A97480">
        <w:rPr>
          <w:rFonts w:cs="Arial"/>
          <w:sz w:val="22"/>
          <w:szCs w:val="22"/>
        </w:rPr>
        <w:t xml:space="preserve"> dokumentaci</w:t>
      </w:r>
      <w:r w:rsidR="00537EB3" w:rsidRPr="00A97480">
        <w:rPr>
          <w:rFonts w:cs="Arial"/>
          <w:sz w:val="22"/>
          <w:szCs w:val="22"/>
        </w:rPr>
        <w:t xml:space="preserve">, která byla shodná s dokumentací, kterou v roce 2005 </w:t>
      </w:r>
      <w:r w:rsidRPr="00A97480">
        <w:rPr>
          <w:rFonts w:cs="Arial"/>
          <w:sz w:val="22"/>
          <w:szCs w:val="22"/>
        </w:rPr>
        <w:t xml:space="preserve">zpracoval </w:t>
      </w:r>
      <w:r w:rsidR="00537EB3" w:rsidRPr="00A97480">
        <w:rPr>
          <w:rFonts w:cs="Arial"/>
          <w:sz w:val="22"/>
          <w:szCs w:val="22"/>
        </w:rPr>
        <w:t>stejn</w:t>
      </w:r>
      <w:r w:rsidRPr="00A97480">
        <w:rPr>
          <w:rFonts w:cs="Arial"/>
          <w:sz w:val="22"/>
          <w:szCs w:val="22"/>
        </w:rPr>
        <w:t xml:space="preserve">ý dodavatel v ceně 1,0 mil. Kč. </w:t>
      </w:r>
    </w:p>
    <w:p w:rsidR="00537EB3" w:rsidRPr="00BA2696" w:rsidRDefault="00057CBE" w:rsidP="00A87228">
      <w:pPr>
        <w:pStyle w:val="Odstavecseseznamem"/>
        <w:numPr>
          <w:ilvl w:val="0"/>
          <w:numId w:val="7"/>
        </w:numPr>
        <w:ind w:left="284" w:hanging="284"/>
        <w:jc w:val="both"/>
        <w:rPr>
          <w:rFonts w:cs="Arial"/>
          <w:sz w:val="22"/>
          <w:szCs w:val="22"/>
        </w:rPr>
      </w:pPr>
      <w:r w:rsidRPr="00BA2696">
        <w:rPr>
          <w:rFonts w:cs="Arial"/>
          <w:sz w:val="22"/>
          <w:szCs w:val="22"/>
        </w:rPr>
        <w:t>U stavby D11</w:t>
      </w:r>
      <w:r w:rsidR="007C45EB" w:rsidRPr="00BA2696">
        <w:rPr>
          <w:rFonts w:cs="Arial"/>
          <w:sz w:val="22"/>
          <w:szCs w:val="22"/>
        </w:rPr>
        <w:t xml:space="preserve"> v</w:t>
      </w:r>
      <w:r w:rsidRPr="00BA2696">
        <w:rPr>
          <w:rFonts w:cs="Arial"/>
          <w:sz w:val="22"/>
          <w:szCs w:val="22"/>
        </w:rPr>
        <w:t xml:space="preserve"> úseku </w:t>
      </w:r>
      <w:proofErr w:type="gramStart"/>
      <w:r w:rsidRPr="00BA2696">
        <w:rPr>
          <w:rFonts w:cs="Arial"/>
          <w:sz w:val="22"/>
          <w:szCs w:val="22"/>
        </w:rPr>
        <w:t>Chýšť</w:t>
      </w:r>
      <w:proofErr w:type="gramEnd"/>
      <w:r w:rsidRPr="00BA2696">
        <w:rPr>
          <w:rFonts w:cs="Arial"/>
          <w:sz w:val="22"/>
          <w:szCs w:val="22"/>
        </w:rPr>
        <w:t>–</w:t>
      </w:r>
      <w:proofErr w:type="gramStart"/>
      <w:r w:rsidRPr="00BA2696">
        <w:rPr>
          <w:rFonts w:cs="Arial"/>
          <w:sz w:val="22"/>
          <w:szCs w:val="22"/>
        </w:rPr>
        <w:t>Osičky</w:t>
      </w:r>
      <w:proofErr w:type="gramEnd"/>
      <w:r w:rsidRPr="00BA2696">
        <w:rPr>
          <w:rFonts w:cs="Arial"/>
          <w:sz w:val="22"/>
          <w:szCs w:val="22"/>
        </w:rPr>
        <w:t xml:space="preserve"> byla zvýšena cena o 60,3 mil. Kč z důvodu změny zastaralého technické</w:t>
      </w:r>
      <w:r w:rsidR="009D1AE6">
        <w:rPr>
          <w:rFonts w:cs="Arial"/>
          <w:sz w:val="22"/>
          <w:szCs w:val="22"/>
        </w:rPr>
        <w:t>ho</w:t>
      </w:r>
      <w:r w:rsidRPr="00BA2696">
        <w:rPr>
          <w:rFonts w:cs="Arial"/>
          <w:sz w:val="22"/>
          <w:szCs w:val="22"/>
        </w:rPr>
        <w:t xml:space="preserve"> řešení některých částí stavebních objektů.</w:t>
      </w:r>
    </w:p>
    <w:p w:rsidR="005B2922" w:rsidRPr="00A97480" w:rsidRDefault="00064144" w:rsidP="009D1AE6">
      <w:pPr>
        <w:ind w:left="284"/>
        <w:jc w:val="both"/>
        <w:rPr>
          <w:rFonts w:cs="Arial"/>
          <w:sz w:val="22"/>
          <w:szCs w:val="22"/>
        </w:rPr>
      </w:pPr>
      <w:r w:rsidRPr="00A97480">
        <w:rPr>
          <w:rFonts w:cs="Arial"/>
          <w:sz w:val="22"/>
          <w:szCs w:val="22"/>
        </w:rPr>
        <w:t>Součást</w:t>
      </w:r>
      <w:r w:rsidR="009B6248" w:rsidRPr="00A97480">
        <w:rPr>
          <w:rFonts w:cs="Arial"/>
          <w:sz w:val="22"/>
          <w:szCs w:val="22"/>
        </w:rPr>
        <w:t>í</w:t>
      </w:r>
      <w:r w:rsidRPr="00A97480">
        <w:rPr>
          <w:rFonts w:cs="Arial"/>
          <w:sz w:val="22"/>
          <w:szCs w:val="22"/>
        </w:rPr>
        <w:t xml:space="preserve"> této stavby byla dodávka šesti vozidel Škoda Fabia se zajištěným servisem, pojištěním a limitem pohonných hmot na 3 000 km/měs</w:t>
      </w:r>
      <w:r w:rsidR="00C02968" w:rsidRPr="00A97480">
        <w:rPr>
          <w:rFonts w:cs="Arial"/>
          <w:sz w:val="22"/>
          <w:szCs w:val="22"/>
        </w:rPr>
        <w:t>íc</w:t>
      </w:r>
      <w:r w:rsidRPr="00A97480">
        <w:rPr>
          <w:rFonts w:cs="Arial"/>
          <w:sz w:val="22"/>
          <w:szCs w:val="22"/>
        </w:rPr>
        <w:t xml:space="preserve"> v ceně</w:t>
      </w:r>
      <w:r w:rsidR="000E3580" w:rsidRPr="00A97480">
        <w:rPr>
          <w:rFonts w:cs="Arial"/>
          <w:sz w:val="22"/>
          <w:szCs w:val="22"/>
        </w:rPr>
        <w:t xml:space="preserve"> 6,8 </w:t>
      </w:r>
      <w:r w:rsidRPr="00A97480">
        <w:rPr>
          <w:rFonts w:cs="Arial"/>
          <w:sz w:val="22"/>
          <w:szCs w:val="22"/>
        </w:rPr>
        <w:t>mil.</w:t>
      </w:r>
      <w:r w:rsidR="000E3580" w:rsidRPr="00A97480">
        <w:rPr>
          <w:rFonts w:cs="Arial"/>
          <w:sz w:val="22"/>
          <w:szCs w:val="22"/>
        </w:rPr>
        <w:t> </w:t>
      </w:r>
      <w:r w:rsidRPr="00A97480">
        <w:rPr>
          <w:rFonts w:cs="Arial"/>
          <w:sz w:val="22"/>
          <w:szCs w:val="22"/>
        </w:rPr>
        <w:t>Kč. ŘSD později snížilo počet vozidel na čtyři a cenu na 4,6 mil. Kč. ŘSD nedoložilo</w:t>
      </w:r>
      <w:r w:rsidR="005B2922" w:rsidRPr="00A97480">
        <w:rPr>
          <w:rFonts w:cs="Arial"/>
          <w:sz w:val="22"/>
          <w:szCs w:val="22"/>
        </w:rPr>
        <w:t xml:space="preserve">, </w:t>
      </w:r>
      <w:r w:rsidR="006061D6" w:rsidRPr="00A97480">
        <w:rPr>
          <w:rFonts w:cs="Arial"/>
          <w:sz w:val="22"/>
          <w:szCs w:val="22"/>
        </w:rPr>
        <w:t>jak byla vozidla využívána</w:t>
      </w:r>
      <w:r w:rsidR="005B2922" w:rsidRPr="00A97480">
        <w:rPr>
          <w:rFonts w:cs="Arial"/>
          <w:sz w:val="22"/>
          <w:szCs w:val="22"/>
        </w:rPr>
        <w:t>.</w:t>
      </w:r>
      <w:r w:rsidRPr="00A97480">
        <w:rPr>
          <w:rFonts w:cs="Arial"/>
          <w:sz w:val="22"/>
          <w:szCs w:val="22"/>
        </w:rPr>
        <w:t xml:space="preserve"> </w:t>
      </w:r>
    </w:p>
    <w:p w:rsidR="00BA1FCB" w:rsidRPr="00BA2696" w:rsidRDefault="007A516F" w:rsidP="00A97480">
      <w:pPr>
        <w:pStyle w:val="Odstavecseseznamem"/>
        <w:numPr>
          <w:ilvl w:val="0"/>
          <w:numId w:val="7"/>
        </w:numPr>
        <w:ind w:left="284" w:hanging="284"/>
        <w:jc w:val="both"/>
        <w:rPr>
          <w:rFonts w:cs="Arial"/>
          <w:sz w:val="22"/>
          <w:szCs w:val="22"/>
        </w:rPr>
      </w:pPr>
      <w:r w:rsidRPr="00BA2696">
        <w:rPr>
          <w:rFonts w:cs="Arial"/>
          <w:sz w:val="22"/>
          <w:szCs w:val="22"/>
        </w:rPr>
        <w:t>U stavby D11</w:t>
      </w:r>
      <w:r w:rsidR="007C45EB" w:rsidRPr="00BA2696">
        <w:rPr>
          <w:rFonts w:cs="Arial"/>
          <w:sz w:val="22"/>
          <w:szCs w:val="22"/>
        </w:rPr>
        <w:t xml:space="preserve"> v</w:t>
      </w:r>
      <w:r w:rsidRPr="00BA2696">
        <w:rPr>
          <w:rFonts w:cs="Arial"/>
          <w:sz w:val="22"/>
          <w:szCs w:val="22"/>
        </w:rPr>
        <w:t xml:space="preserve"> úseku Osičky – Hradec Králové byla cena navýšena o </w:t>
      </w:r>
      <w:r w:rsidR="00517A19" w:rsidRPr="00BA2696">
        <w:rPr>
          <w:rFonts w:cs="Arial"/>
          <w:sz w:val="22"/>
          <w:szCs w:val="22"/>
        </w:rPr>
        <w:t xml:space="preserve">16,9 mil. Kč z důvodu změn týkajících se dálničních odpočívek </w:t>
      </w:r>
      <w:r w:rsidR="00056F4B">
        <w:rPr>
          <w:rFonts w:cs="Arial"/>
          <w:sz w:val="22"/>
          <w:szCs w:val="22"/>
        </w:rPr>
        <w:t xml:space="preserve">u obce </w:t>
      </w:r>
      <w:r w:rsidR="00517A19" w:rsidRPr="00BA2696">
        <w:rPr>
          <w:rFonts w:cs="Arial"/>
          <w:sz w:val="22"/>
          <w:szCs w:val="22"/>
        </w:rPr>
        <w:t xml:space="preserve">Osičky, které ŘSD dostatečně neodůvodnilo. </w:t>
      </w:r>
      <w:r w:rsidR="00A97480">
        <w:rPr>
          <w:rFonts w:cs="Arial"/>
          <w:sz w:val="22"/>
          <w:szCs w:val="22"/>
        </w:rPr>
        <w:t xml:space="preserve">Z důvodu nedodržení termínu archeologického průzkumu </w:t>
      </w:r>
      <w:r w:rsidR="00BA1FCB" w:rsidRPr="00BA2696">
        <w:rPr>
          <w:rFonts w:cs="Arial"/>
          <w:sz w:val="22"/>
          <w:szCs w:val="22"/>
        </w:rPr>
        <w:t xml:space="preserve">musela být provedena ochrana podloží přes zimní období </w:t>
      </w:r>
      <w:r w:rsidR="004357DE">
        <w:rPr>
          <w:rFonts w:cs="Arial"/>
          <w:sz w:val="22"/>
          <w:szCs w:val="22"/>
        </w:rPr>
        <w:t>v ceně</w:t>
      </w:r>
      <w:r w:rsidR="00A97480">
        <w:rPr>
          <w:rFonts w:cs="Arial"/>
          <w:sz w:val="22"/>
          <w:szCs w:val="22"/>
        </w:rPr>
        <w:t xml:space="preserve"> </w:t>
      </w:r>
      <w:r w:rsidR="00A97480" w:rsidRPr="00A97480">
        <w:rPr>
          <w:rFonts w:cs="Arial"/>
          <w:sz w:val="22"/>
          <w:szCs w:val="22"/>
        </w:rPr>
        <w:t>35,2 mil. Kč</w:t>
      </w:r>
      <w:r w:rsidR="00BA1FCB" w:rsidRPr="00BA2696">
        <w:rPr>
          <w:rFonts w:cs="Arial"/>
          <w:sz w:val="22"/>
          <w:szCs w:val="22"/>
        </w:rPr>
        <w:t>.</w:t>
      </w:r>
    </w:p>
    <w:p w:rsidR="00BA1FCB" w:rsidRPr="00BA2696" w:rsidRDefault="007C45EB" w:rsidP="00A87228">
      <w:pPr>
        <w:pStyle w:val="Odstavecseseznamem"/>
        <w:numPr>
          <w:ilvl w:val="0"/>
          <w:numId w:val="7"/>
        </w:numPr>
        <w:ind w:left="284" w:hanging="284"/>
        <w:jc w:val="both"/>
        <w:rPr>
          <w:rFonts w:cs="Arial"/>
          <w:sz w:val="22"/>
          <w:szCs w:val="22"/>
        </w:rPr>
      </w:pPr>
      <w:r w:rsidRPr="00BA2696">
        <w:rPr>
          <w:rFonts w:cs="Arial"/>
          <w:sz w:val="22"/>
          <w:szCs w:val="22"/>
        </w:rPr>
        <w:t>ŘSD zařadilo dodatečně do staveb</w:t>
      </w:r>
      <w:r w:rsidR="006C53E6" w:rsidRPr="00BA2696">
        <w:rPr>
          <w:rFonts w:cs="Arial"/>
          <w:sz w:val="22"/>
          <w:szCs w:val="22"/>
        </w:rPr>
        <w:t xml:space="preserve"> D11</w:t>
      </w:r>
      <w:r w:rsidRPr="00BA2696">
        <w:rPr>
          <w:rFonts w:cs="Arial"/>
          <w:sz w:val="22"/>
          <w:szCs w:val="22"/>
        </w:rPr>
        <w:t xml:space="preserve"> v</w:t>
      </w:r>
      <w:r w:rsidR="006C53E6" w:rsidRPr="00BA2696">
        <w:rPr>
          <w:rFonts w:cs="Arial"/>
          <w:sz w:val="22"/>
          <w:szCs w:val="22"/>
        </w:rPr>
        <w:t xml:space="preserve"> úseku </w:t>
      </w:r>
      <w:proofErr w:type="gramStart"/>
      <w:r w:rsidR="006C53E6" w:rsidRPr="00BA2696">
        <w:rPr>
          <w:rFonts w:cs="Arial"/>
          <w:sz w:val="22"/>
          <w:szCs w:val="22"/>
        </w:rPr>
        <w:t>Chýšť</w:t>
      </w:r>
      <w:proofErr w:type="gramEnd"/>
      <w:r w:rsidR="006C53E6" w:rsidRPr="00BA2696">
        <w:rPr>
          <w:rFonts w:cs="Arial"/>
          <w:sz w:val="22"/>
          <w:szCs w:val="22"/>
        </w:rPr>
        <w:t>–</w:t>
      </w:r>
      <w:proofErr w:type="gramStart"/>
      <w:r w:rsidR="006C53E6" w:rsidRPr="00BA2696">
        <w:rPr>
          <w:rFonts w:cs="Arial"/>
          <w:sz w:val="22"/>
          <w:szCs w:val="22"/>
        </w:rPr>
        <w:t>Osičky</w:t>
      </w:r>
      <w:proofErr w:type="gramEnd"/>
      <w:r w:rsidR="006C53E6" w:rsidRPr="00BA2696">
        <w:rPr>
          <w:rFonts w:cs="Arial"/>
          <w:sz w:val="22"/>
          <w:szCs w:val="22"/>
        </w:rPr>
        <w:t xml:space="preserve"> a</w:t>
      </w:r>
      <w:r w:rsidR="00056F4B">
        <w:rPr>
          <w:rFonts w:cs="Arial"/>
          <w:sz w:val="22"/>
          <w:szCs w:val="22"/>
        </w:rPr>
        <w:t> do</w:t>
      </w:r>
      <w:r w:rsidR="006C53E6" w:rsidRPr="00BA2696">
        <w:rPr>
          <w:rFonts w:cs="Arial"/>
          <w:sz w:val="22"/>
          <w:szCs w:val="22"/>
        </w:rPr>
        <w:t xml:space="preserve"> rozšíření dálničních odpočívek </w:t>
      </w:r>
      <w:r w:rsidR="00056F4B">
        <w:rPr>
          <w:rFonts w:cs="Arial"/>
          <w:sz w:val="22"/>
          <w:szCs w:val="22"/>
        </w:rPr>
        <w:t xml:space="preserve">u obce </w:t>
      </w:r>
      <w:r w:rsidR="006C53E6" w:rsidRPr="00BA2696">
        <w:rPr>
          <w:rFonts w:cs="Arial"/>
          <w:sz w:val="22"/>
          <w:szCs w:val="22"/>
        </w:rPr>
        <w:t>Vrbová Lhota výstavbu</w:t>
      </w:r>
      <w:r w:rsidR="00B31491" w:rsidRPr="00BA2696">
        <w:rPr>
          <w:rFonts w:cs="Arial"/>
          <w:sz w:val="22"/>
          <w:szCs w:val="22"/>
        </w:rPr>
        <w:t xml:space="preserve"> finančně</w:t>
      </w:r>
      <w:r w:rsidR="006C53E6" w:rsidRPr="00BA2696">
        <w:rPr>
          <w:rFonts w:cs="Arial"/>
          <w:sz w:val="22"/>
          <w:szCs w:val="22"/>
        </w:rPr>
        <w:t xml:space="preserve"> </w:t>
      </w:r>
      <w:r w:rsidR="00B31491" w:rsidRPr="00BA2696">
        <w:rPr>
          <w:rFonts w:cs="Arial"/>
          <w:sz w:val="22"/>
          <w:szCs w:val="22"/>
        </w:rPr>
        <w:t>náročných</w:t>
      </w:r>
      <w:r w:rsidR="006C53E6" w:rsidRPr="00BA2696">
        <w:rPr>
          <w:rFonts w:cs="Arial"/>
          <w:sz w:val="22"/>
          <w:szCs w:val="22"/>
        </w:rPr>
        <w:t xml:space="preserve"> objektů doplňko</w:t>
      </w:r>
      <w:r w:rsidR="00B31491" w:rsidRPr="00BA2696">
        <w:rPr>
          <w:rFonts w:cs="Arial"/>
          <w:sz w:val="22"/>
          <w:szCs w:val="22"/>
        </w:rPr>
        <w:t>vého informačního systému, jejichž</w:t>
      </w:r>
      <w:r w:rsidR="006C53E6" w:rsidRPr="00BA2696">
        <w:rPr>
          <w:rFonts w:cs="Arial"/>
          <w:sz w:val="22"/>
          <w:szCs w:val="22"/>
        </w:rPr>
        <w:t xml:space="preserve"> účelem</w:t>
      </w:r>
      <w:r w:rsidR="00B31491" w:rsidRPr="00BA2696">
        <w:rPr>
          <w:rFonts w:cs="Arial"/>
          <w:sz w:val="22"/>
          <w:szCs w:val="22"/>
        </w:rPr>
        <w:t xml:space="preserve"> bylo zpřístupnění </w:t>
      </w:r>
      <w:r w:rsidR="006C53E6" w:rsidRPr="00BA2696">
        <w:rPr>
          <w:rFonts w:cs="Arial"/>
          <w:sz w:val="22"/>
          <w:szCs w:val="22"/>
        </w:rPr>
        <w:t>inf</w:t>
      </w:r>
      <w:r w:rsidR="00B31491" w:rsidRPr="00BA2696">
        <w:rPr>
          <w:rFonts w:cs="Arial"/>
          <w:sz w:val="22"/>
          <w:szCs w:val="22"/>
        </w:rPr>
        <w:t>ormací</w:t>
      </w:r>
      <w:r w:rsidR="00C02968">
        <w:rPr>
          <w:rFonts w:cs="Arial"/>
          <w:sz w:val="22"/>
          <w:szCs w:val="22"/>
        </w:rPr>
        <w:t xml:space="preserve"> historického a </w:t>
      </w:r>
      <w:r w:rsidR="006C53E6" w:rsidRPr="00BA2696">
        <w:rPr>
          <w:rFonts w:cs="Arial"/>
          <w:sz w:val="22"/>
          <w:szCs w:val="22"/>
        </w:rPr>
        <w:t>turistického charakteru příslušného regionu</w:t>
      </w:r>
      <w:r w:rsidR="00B31491" w:rsidRPr="00BA2696">
        <w:rPr>
          <w:rFonts w:cs="Arial"/>
          <w:sz w:val="22"/>
          <w:szCs w:val="22"/>
        </w:rPr>
        <w:t xml:space="preserve"> motoristům</w:t>
      </w:r>
      <w:r w:rsidR="006C53E6" w:rsidRPr="00BA2696">
        <w:rPr>
          <w:rFonts w:cs="Arial"/>
          <w:sz w:val="22"/>
          <w:szCs w:val="22"/>
        </w:rPr>
        <w:t xml:space="preserve">. </w:t>
      </w:r>
      <w:r w:rsidR="00BA1FCB" w:rsidRPr="00BA2696">
        <w:rPr>
          <w:rFonts w:cs="Arial"/>
          <w:sz w:val="22"/>
          <w:szCs w:val="22"/>
        </w:rPr>
        <w:t>V prvém případě byla cena objektů 2,2</w:t>
      </w:r>
      <w:r w:rsidR="00421BBD">
        <w:rPr>
          <w:rFonts w:cs="Arial"/>
          <w:sz w:val="22"/>
          <w:szCs w:val="22"/>
        </w:rPr>
        <w:t> </w:t>
      </w:r>
      <w:r w:rsidR="00BA1FCB" w:rsidRPr="00BA2696">
        <w:rPr>
          <w:rFonts w:cs="Arial"/>
          <w:sz w:val="22"/>
          <w:szCs w:val="22"/>
        </w:rPr>
        <w:t>mil.</w:t>
      </w:r>
      <w:r w:rsidR="00421BBD">
        <w:rPr>
          <w:rFonts w:cs="Arial"/>
          <w:sz w:val="22"/>
          <w:szCs w:val="22"/>
        </w:rPr>
        <w:t> Kč, ve druhém již 8,8 </w:t>
      </w:r>
      <w:r w:rsidR="00BA1FCB" w:rsidRPr="00BA2696">
        <w:rPr>
          <w:rFonts w:cs="Arial"/>
          <w:sz w:val="22"/>
          <w:szCs w:val="22"/>
        </w:rPr>
        <w:t>mil.</w:t>
      </w:r>
      <w:r w:rsidR="00421BBD">
        <w:rPr>
          <w:rFonts w:cs="Arial"/>
          <w:sz w:val="22"/>
          <w:szCs w:val="22"/>
        </w:rPr>
        <w:t> </w:t>
      </w:r>
      <w:r w:rsidR="00BA1FCB" w:rsidRPr="00BA2696">
        <w:rPr>
          <w:rFonts w:cs="Arial"/>
          <w:sz w:val="22"/>
          <w:szCs w:val="22"/>
        </w:rPr>
        <w:t>Kč. ŘSD p</w:t>
      </w:r>
      <w:r w:rsidR="00C02968">
        <w:rPr>
          <w:rFonts w:cs="Arial"/>
          <w:sz w:val="22"/>
          <w:szCs w:val="22"/>
        </w:rPr>
        <w:t>ředpokládá na základě smlouvy o </w:t>
      </w:r>
      <w:r w:rsidR="00BA1FCB" w:rsidRPr="00BA2696">
        <w:rPr>
          <w:rFonts w:cs="Arial"/>
          <w:sz w:val="22"/>
          <w:szCs w:val="22"/>
        </w:rPr>
        <w:t>poskytnutí licence, kterou uzavřelo v roce 2006, vybudování těchto informačních systémů i na dalších odpočívkách na dálnicích D1, D5, D8 a D11.</w:t>
      </w:r>
    </w:p>
    <w:p w:rsidR="00564313" w:rsidRPr="00BA2696" w:rsidRDefault="00D659A1" w:rsidP="00A87228">
      <w:pPr>
        <w:pStyle w:val="Odstavecseseznamem"/>
        <w:numPr>
          <w:ilvl w:val="0"/>
          <w:numId w:val="7"/>
        </w:numPr>
        <w:ind w:left="284" w:hanging="284"/>
        <w:jc w:val="both"/>
        <w:rPr>
          <w:rFonts w:cs="Arial"/>
          <w:sz w:val="22"/>
          <w:szCs w:val="22"/>
        </w:rPr>
      </w:pPr>
      <w:r w:rsidRPr="00BA2696">
        <w:rPr>
          <w:rFonts w:cs="Arial"/>
          <w:sz w:val="22"/>
          <w:szCs w:val="22"/>
        </w:rPr>
        <w:t>Součástí stavby</w:t>
      </w:r>
      <w:r w:rsidR="005B2922" w:rsidRPr="00BA2696">
        <w:rPr>
          <w:rFonts w:cs="Arial"/>
          <w:sz w:val="22"/>
          <w:szCs w:val="22"/>
        </w:rPr>
        <w:t xml:space="preserve"> rozšíření dálničních odpočívek </w:t>
      </w:r>
      <w:r w:rsidR="00056F4B">
        <w:rPr>
          <w:rFonts w:cs="Arial"/>
          <w:sz w:val="22"/>
          <w:szCs w:val="22"/>
        </w:rPr>
        <w:t>u obce</w:t>
      </w:r>
      <w:r w:rsidR="005B2922" w:rsidRPr="00BA2696">
        <w:rPr>
          <w:rFonts w:cs="Arial"/>
          <w:sz w:val="22"/>
          <w:szCs w:val="22"/>
        </w:rPr>
        <w:t xml:space="preserve"> Vrbová Lhota na D11</w:t>
      </w:r>
      <w:r w:rsidRPr="00BA2696">
        <w:rPr>
          <w:rFonts w:cs="Arial"/>
          <w:sz w:val="22"/>
          <w:szCs w:val="22"/>
        </w:rPr>
        <w:t xml:space="preserve"> měla být přístupová komunikace k objektu občerstvení.</w:t>
      </w:r>
      <w:r w:rsidR="005E2246" w:rsidRPr="00BA2696">
        <w:rPr>
          <w:rFonts w:cs="Arial"/>
          <w:sz w:val="22"/>
          <w:szCs w:val="22"/>
        </w:rPr>
        <w:t xml:space="preserve"> Komunikaci vybudoval</w:t>
      </w:r>
      <w:r w:rsidR="007C45EB" w:rsidRPr="00BA2696">
        <w:rPr>
          <w:rFonts w:cs="Arial"/>
          <w:sz w:val="22"/>
          <w:szCs w:val="22"/>
        </w:rPr>
        <w:t xml:space="preserve"> z důvodu zpoždění stavby</w:t>
      </w:r>
      <w:r w:rsidR="005E2246" w:rsidRPr="00BA2696">
        <w:rPr>
          <w:rFonts w:cs="Arial"/>
          <w:sz w:val="22"/>
          <w:szCs w:val="22"/>
        </w:rPr>
        <w:t xml:space="preserve"> provozovatel občerstvení před zahájením prací na odpočívkách a ŘSD ji na základě smlouvy z prosince 2007 převzalo do své správy s tím, že uhradí cenu výstavby 3,3</w:t>
      </w:r>
      <w:r w:rsidR="00BA2696">
        <w:rPr>
          <w:rFonts w:cs="Arial"/>
          <w:sz w:val="22"/>
          <w:szCs w:val="22"/>
        </w:rPr>
        <w:t> </w:t>
      </w:r>
      <w:r w:rsidR="005E2246" w:rsidRPr="00BA2696">
        <w:rPr>
          <w:rFonts w:cs="Arial"/>
          <w:sz w:val="22"/>
          <w:szCs w:val="22"/>
        </w:rPr>
        <w:t>mil.</w:t>
      </w:r>
      <w:r w:rsidR="00BA2696">
        <w:rPr>
          <w:rFonts w:cs="Arial"/>
          <w:sz w:val="22"/>
          <w:szCs w:val="22"/>
        </w:rPr>
        <w:t> </w:t>
      </w:r>
      <w:r w:rsidR="005E2246" w:rsidRPr="00BA2696">
        <w:rPr>
          <w:rFonts w:cs="Arial"/>
          <w:sz w:val="22"/>
          <w:szCs w:val="22"/>
        </w:rPr>
        <w:t>Kč. Komunikace však výškově nenavaz</w:t>
      </w:r>
      <w:r w:rsidR="002B2260">
        <w:rPr>
          <w:rFonts w:cs="Arial"/>
          <w:sz w:val="22"/>
          <w:szCs w:val="22"/>
        </w:rPr>
        <w:t>ovala na nově budované plochy a </w:t>
      </w:r>
      <w:r w:rsidR="005E2246" w:rsidRPr="00BA2696">
        <w:rPr>
          <w:rFonts w:cs="Arial"/>
          <w:sz w:val="22"/>
          <w:szCs w:val="22"/>
        </w:rPr>
        <w:t xml:space="preserve">musela být s náklady 1,1 mil. Kč upravena. ŘSD přitom </w:t>
      </w:r>
      <w:r w:rsidR="00564313" w:rsidRPr="00BA2696">
        <w:rPr>
          <w:rFonts w:cs="Arial"/>
          <w:sz w:val="22"/>
          <w:szCs w:val="22"/>
        </w:rPr>
        <w:t>nevzneslo v průběhu</w:t>
      </w:r>
      <w:r w:rsidR="005E2246" w:rsidRPr="00BA2696">
        <w:rPr>
          <w:rFonts w:cs="Arial"/>
          <w:sz w:val="22"/>
          <w:szCs w:val="22"/>
        </w:rPr>
        <w:t xml:space="preserve"> stavebního řízení </w:t>
      </w:r>
      <w:r w:rsidR="00564313" w:rsidRPr="00BA2696">
        <w:rPr>
          <w:rFonts w:cs="Arial"/>
          <w:sz w:val="22"/>
          <w:szCs w:val="22"/>
        </w:rPr>
        <w:t xml:space="preserve">proti výstavbě komunikace žádné námitky. </w:t>
      </w:r>
    </w:p>
    <w:p w:rsidR="005E2246" w:rsidRPr="00A87228" w:rsidRDefault="00BA1FCB" w:rsidP="00A87228">
      <w:pPr>
        <w:ind w:left="284"/>
        <w:jc w:val="both"/>
        <w:rPr>
          <w:rFonts w:cs="Arial"/>
          <w:sz w:val="22"/>
          <w:szCs w:val="22"/>
        </w:rPr>
      </w:pPr>
      <w:r w:rsidRPr="00A87228">
        <w:rPr>
          <w:rFonts w:cs="Arial"/>
          <w:sz w:val="22"/>
          <w:szCs w:val="22"/>
        </w:rPr>
        <w:t xml:space="preserve">V letech 2010 až 2011 </w:t>
      </w:r>
      <w:r w:rsidR="00564313" w:rsidRPr="00A87228">
        <w:rPr>
          <w:rFonts w:cs="Arial"/>
          <w:sz w:val="22"/>
          <w:szCs w:val="22"/>
        </w:rPr>
        <w:t xml:space="preserve">uhradilo ŘSD </w:t>
      </w:r>
      <w:r w:rsidRPr="00A87228">
        <w:rPr>
          <w:rFonts w:cs="Arial"/>
          <w:sz w:val="22"/>
          <w:szCs w:val="22"/>
        </w:rPr>
        <w:t xml:space="preserve">u této stavby </w:t>
      </w:r>
      <w:r w:rsidR="00564313" w:rsidRPr="00A87228">
        <w:rPr>
          <w:rFonts w:cs="Arial"/>
          <w:sz w:val="22"/>
          <w:szCs w:val="22"/>
        </w:rPr>
        <w:t>daň z přidané hodnoty ve výši 20</w:t>
      </w:r>
      <w:r w:rsidR="002B2260" w:rsidRPr="00A87228">
        <w:rPr>
          <w:rFonts w:cs="Arial"/>
          <w:sz w:val="22"/>
          <w:szCs w:val="22"/>
        </w:rPr>
        <w:t> </w:t>
      </w:r>
      <w:r w:rsidR="00564313" w:rsidRPr="00A87228">
        <w:rPr>
          <w:rFonts w:cs="Arial"/>
          <w:sz w:val="22"/>
          <w:szCs w:val="22"/>
        </w:rPr>
        <w:t xml:space="preserve">%, přestože práce byly provedeny </w:t>
      </w:r>
      <w:r w:rsidR="000E3580">
        <w:rPr>
          <w:rFonts w:cs="Arial"/>
          <w:sz w:val="22"/>
          <w:szCs w:val="22"/>
        </w:rPr>
        <w:t xml:space="preserve">již </w:t>
      </w:r>
      <w:r w:rsidR="00564313" w:rsidRPr="00A87228">
        <w:rPr>
          <w:rFonts w:cs="Arial"/>
          <w:sz w:val="22"/>
          <w:szCs w:val="22"/>
        </w:rPr>
        <w:t>v roce 2009, kdy sazba této daně byla 19</w:t>
      </w:r>
      <w:r w:rsidR="002B2260" w:rsidRPr="00A87228">
        <w:rPr>
          <w:rFonts w:cs="Arial"/>
          <w:sz w:val="22"/>
          <w:szCs w:val="22"/>
        </w:rPr>
        <w:t> </w:t>
      </w:r>
      <w:r w:rsidR="00564313" w:rsidRPr="00A87228">
        <w:rPr>
          <w:rFonts w:cs="Arial"/>
          <w:sz w:val="22"/>
          <w:szCs w:val="22"/>
        </w:rPr>
        <w:t xml:space="preserve">%. Rozdíl </w:t>
      </w:r>
      <w:r w:rsidR="00C02968" w:rsidRPr="00A87228">
        <w:rPr>
          <w:rFonts w:cs="Arial"/>
          <w:sz w:val="22"/>
          <w:szCs w:val="22"/>
        </w:rPr>
        <w:t>činil</w:t>
      </w:r>
      <w:r w:rsidR="00564313" w:rsidRPr="00A87228">
        <w:rPr>
          <w:rFonts w:cs="Arial"/>
          <w:sz w:val="22"/>
          <w:szCs w:val="22"/>
        </w:rPr>
        <w:t xml:space="preserve"> 0,1</w:t>
      </w:r>
      <w:r w:rsidR="00BA2696" w:rsidRPr="00A87228">
        <w:rPr>
          <w:rFonts w:cs="Arial"/>
          <w:sz w:val="22"/>
          <w:szCs w:val="22"/>
        </w:rPr>
        <w:t> </w:t>
      </w:r>
      <w:r w:rsidR="00A87228">
        <w:rPr>
          <w:rFonts w:cs="Arial"/>
          <w:sz w:val="22"/>
          <w:szCs w:val="22"/>
        </w:rPr>
        <w:t>mil. Kč.</w:t>
      </w:r>
    </w:p>
    <w:p w:rsidR="00875253" w:rsidRPr="00BA2696" w:rsidRDefault="00A674DD" w:rsidP="00A87228">
      <w:pPr>
        <w:pStyle w:val="Odstavecseseznamem"/>
        <w:numPr>
          <w:ilvl w:val="0"/>
          <w:numId w:val="7"/>
        </w:numPr>
        <w:ind w:left="284" w:hanging="284"/>
        <w:jc w:val="both"/>
        <w:rPr>
          <w:rFonts w:cs="Arial"/>
          <w:sz w:val="22"/>
          <w:szCs w:val="22"/>
        </w:rPr>
      </w:pPr>
      <w:r w:rsidRPr="00BA2696">
        <w:rPr>
          <w:rFonts w:cs="Arial"/>
          <w:sz w:val="22"/>
          <w:szCs w:val="22"/>
        </w:rPr>
        <w:lastRenderedPageBreak/>
        <w:t>U stavby R7</w:t>
      </w:r>
      <w:r w:rsidR="00231891" w:rsidRPr="00BA2696">
        <w:rPr>
          <w:rFonts w:cs="Arial"/>
          <w:sz w:val="22"/>
          <w:szCs w:val="22"/>
        </w:rPr>
        <w:t xml:space="preserve"> v</w:t>
      </w:r>
      <w:r w:rsidRPr="00BA2696">
        <w:rPr>
          <w:rFonts w:cs="Arial"/>
          <w:sz w:val="22"/>
          <w:szCs w:val="22"/>
        </w:rPr>
        <w:t xml:space="preserve"> úseku </w:t>
      </w:r>
      <w:proofErr w:type="spellStart"/>
      <w:proofErr w:type="gramStart"/>
      <w:r w:rsidRPr="00BA2696">
        <w:rPr>
          <w:rFonts w:cs="Arial"/>
          <w:sz w:val="22"/>
          <w:szCs w:val="22"/>
        </w:rPr>
        <w:t>B</w:t>
      </w:r>
      <w:r w:rsidR="001F087A">
        <w:rPr>
          <w:rFonts w:cs="Arial"/>
          <w:sz w:val="22"/>
          <w:szCs w:val="22"/>
        </w:rPr>
        <w:t>í</w:t>
      </w:r>
      <w:r w:rsidRPr="00BA2696">
        <w:rPr>
          <w:rFonts w:cs="Arial"/>
          <w:sz w:val="22"/>
          <w:szCs w:val="22"/>
        </w:rPr>
        <w:t>tozeves</w:t>
      </w:r>
      <w:proofErr w:type="spellEnd"/>
      <w:proofErr w:type="gramEnd"/>
      <w:r w:rsidRPr="00BA2696">
        <w:rPr>
          <w:rFonts w:cs="Arial"/>
          <w:sz w:val="22"/>
          <w:szCs w:val="22"/>
        </w:rPr>
        <w:t>–</w:t>
      </w:r>
      <w:proofErr w:type="gramStart"/>
      <w:r w:rsidRPr="00BA2696">
        <w:rPr>
          <w:rFonts w:cs="Arial"/>
          <w:sz w:val="22"/>
          <w:szCs w:val="22"/>
        </w:rPr>
        <w:t>Vysočany</w:t>
      </w:r>
      <w:proofErr w:type="gramEnd"/>
      <w:r w:rsidRPr="00BA2696">
        <w:rPr>
          <w:rFonts w:cs="Arial"/>
          <w:sz w:val="22"/>
          <w:szCs w:val="22"/>
        </w:rPr>
        <w:t xml:space="preserve"> byl</w:t>
      </w:r>
      <w:r w:rsidR="00402D68" w:rsidRPr="00BA2696">
        <w:rPr>
          <w:rFonts w:cs="Arial"/>
          <w:sz w:val="22"/>
          <w:szCs w:val="22"/>
        </w:rPr>
        <w:t>a zvýšena cena o 2</w:t>
      </w:r>
      <w:r w:rsidR="007F718D" w:rsidRPr="00BA2696">
        <w:rPr>
          <w:rFonts w:cs="Arial"/>
          <w:sz w:val="22"/>
          <w:szCs w:val="22"/>
        </w:rPr>
        <w:t>7</w:t>
      </w:r>
      <w:r w:rsidR="00402D68" w:rsidRPr="00BA2696">
        <w:rPr>
          <w:rFonts w:cs="Arial"/>
          <w:sz w:val="22"/>
          <w:szCs w:val="22"/>
        </w:rPr>
        <w:t>,</w:t>
      </w:r>
      <w:r w:rsidR="007F718D" w:rsidRPr="00BA2696">
        <w:rPr>
          <w:rFonts w:cs="Arial"/>
          <w:sz w:val="22"/>
          <w:szCs w:val="22"/>
        </w:rPr>
        <w:t>0</w:t>
      </w:r>
      <w:r w:rsidR="00402D68" w:rsidRPr="00BA2696">
        <w:rPr>
          <w:rFonts w:cs="Arial"/>
          <w:sz w:val="22"/>
          <w:szCs w:val="22"/>
        </w:rPr>
        <w:t xml:space="preserve"> mil. Kč z důvodu změn vyvolaných tím, že se investor stavby průmyslové zóny odchýlil od projektu, který byl s uvedenou stavbou koordinován. ŘSD sdělilo, že jednání o náhradě škody s investorem nebylo úspěšné, avšak doklady o jednáních nepředložilo.</w:t>
      </w:r>
    </w:p>
    <w:p w:rsidR="00875253" w:rsidRDefault="00875253" w:rsidP="00875253">
      <w:pPr>
        <w:jc w:val="both"/>
        <w:rPr>
          <w:rFonts w:cs="Arial"/>
          <w:sz w:val="22"/>
          <w:szCs w:val="22"/>
        </w:rPr>
      </w:pPr>
    </w:p>
    <w:p w:rsidR="004D3D5C" w:rsidRDefault="00875253" w:rsidP="00875253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5.2 </w:t>
      </w:r>
      <w:r w:rsidR="00F40725">
        <w:rPr>
          <w:rFonts w:cs="Arial"/>
          <w:sz w:val="22"/>
          <w:szCs w:val="22"/>
        </w:rPr>
        <w:t>V období let 2010 až 2012 přijalo MD a v návaznosti na to</w:t>
      </w:r>
      <w:r w:rsidR="008958C0">
        <w:rPr>
          <w:rFonts w:cs="Arial"/>
          <w:sz w:val="22"/>
          <w:szCs w:val="22"/>
        </w:rPr>
        <w:t xml:space="preserve"> i</w:t>
      </w:r>
      <w:r w:rsidR="00F40725">
        <w:rPr>
          <w:rFonts w:cs="Arial"/>
          <w:sz w:val="22"/>
          <w:szCs w:val="22"/>
        </w:rPr>
        <w:t xml:space="preserve"> ŘSD </w:t>
      </w:r>
      <w:r w:rsidR="00F40725" w:rsidRPr="008958C0">
        <w:rPr>
          <w:rFonts w:cs="Arial"/>
          <w:b/>
          <w:sz w:val="22"/>
          <w:szCs w:val="22"/>
        </w:rPr>
        <w:t>opatření, která měla zefektivnit výstavbu dopravní infrastruktury a přinést další zdroje pro její výstavbu</w:t>
      </w:r>
      <w:r w:rsidR="00F40725" w:rsidRPr="004357DE">
        <w:rPr>
          <w:rFonts w:cs="Arial"/>
          <w:b/>
          <w:sz w:val="22"/>
          <w:szCs w:val="22"/>
        </w:rPr>
        <w:t>.</w:t>
      </w:r>
      <w:r w:rsidR="008958C0">
        <w:rPr>
          <w:rFonts w:cs="Arial"/>
          <w:sz w:val="22"/>
          <w:szCs w:val="22"/>
        </w:rPr>
        <w:t xml:space="preserve"> Zjištění NKÚ však ukázala, že </w:t>
      </w:r>
      <w:r w:rsidR="008958C0" w:rsidRPr="008958C0">
        <w:rPr>
          <w:rFonts w:cs="Arial"/>
          <w:b/>
          <w:sz w:val="22"/>
          <w:szCs w:val="22"/>
        </w:rPr>
        <w:t>účinnost</w:t>
      </w:r>
      <w:r w:rsidR="009B6248">
        <w:rPr>
          <w:rFonts w:cs="Arial"/>
          <w:b/>
          <w:sz w:val="22"/>
          <w:szCs w:val="22"/>
        </w:rPr>
        <w:t xml:space="preserve"> opatření</w:t>
      </w:r>
      <w:r w:rsidR="008958C0" w:rsidRPr="008958C0">
        <w:rPr>
          <w:rFonts w:cs="Arial"/>
          <w:b/>
          <w:sz w:val="22"/>
          <w:szCs w:val="22"/>
        </w:rPr>
        <w:t xml:space="preserve"> byla</w:t>
      </w:r>
      <w:r w:rsidR="00CE409D">
        <w:rPr>
          <w:rFonts w:cs="Arial"/>
          <w:b/>
          <w:sz w:val="22"/>
          <w:szCs w:val="22"/>
        </w:rPr>
        <w:t xml:space="preserve"> zatím</w:t>
      </w:r>
      <w:r w:rsidR="008958C0" w:rsidRPr="008958C0">
        <w:rPr>
          <w:rFonts w:cs="Arial"/>
          <w:b/>
          <w:sz w:val="22"/>
          <w:szCs w:val="22"/>
        </w:rPr>
        <w:t xml:space="preserve"> minimální</w:t>
      </w:r>
      <w:r w:rsidR="008958C0" w:rsidRPr="004357DE">
        <w:rPr>
          <w:rFonts w:cs="Arial"/>
          <w:b/>
          <w:sz w:val="22"/>
          <w:szCs w:val="22"/>
        </w:rPr>
        <w:t>.</w:t>
      </w:r>
      <w:r w:rsidR="008958C0">
        <w:rPr>
          <w:rFonts w:cs="Arial"/>
          <w:sz w:val="22"/>
          <w:szCs w:val="22"/>
        </w:rPr>
        <w:t xml:space="preserve"> </w:t>
      </w:r>
      <w:r w:rsidR="00CE409D">
        <w:rPr>
          <w:rFonts w:cs="Arial"/>
          <w:sz w:val="22"/>
          <w:szCs w:val="22"/>
        </w:rPr>
        <w:t>Důvodem je i to, že</w:t>
      </w:r>
      <w:r w:rsidR="004D3D5C">
        <w:rPr>
          <w:rFonts w:cs="Arial"/>
          <w:sz w:val="22"/>
          <w:szCs w:val="22"/>
        </w:rPr>
        <w:t xml:space="preserve"> účinky některých opatření</w:t>
      </w:r>
      <w:r w:rsidR="00CE409D">
        <w:rPr>
          <w:rFonts w:cs="Arial"/>
          <w:sz w:val="22"/>
          <w:szCs w:val="22"/>
        </w:rPr>
        <w:t xml:space="preserve"> se</w:t>
      </w:r>
      <w:r w:rsidR="004D3D5C">
        <w:rPr>
          <w:rFonts w:cs="Arial"/>
          <w:sz w:val="22"/>
          <w:szCs w:val="22"/>
        </w:rPr>
        <w:t xml:space="preserve"> mohou projevit až v delším časovém horizontu.</w:t>
      </w:r>
      <w:r w:rsidR="00BA1FCB">
        <w:rPr>
          <w:rFonts w:cs="Arial"/>
          <w:sz w:val="22"/>
          <w:szCs w:val="22"/>
        </w:rPr>
        <w:t xml:space="preserve"> </w:t>
      </w:r>
    </w:p>
    <w:p w:rsidR="004D3D5C" w:rsidRDefault="004D3D5C" w:rsidP="00875253">
      <w:pPr>
        <w:jc w:val="both"/>
        <w:rPr>
          <w:rFonts w:cs="Arial"/>
          <w:sz w:val="22"/>
          <w:szCs w:val="22"/>
        </w:rPr>
      </w:pPr>
    </w:p>
    <w:p w:rsidR="00283969" w:rsidRDefault="00283969" w:rsidP="00875253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5.2.1 </w:t>
      </w:r>
      <w:r w:rsidR="004D3D5C">
        <w:rPr>
          <w:rFonts w:cs="Arial"/>
          <w:sz w:val="22"/>
          <w:szCs w:val="22"/>
        </w:rPr>
        <w:t xml:space="preserve">ŘSD nechalo z pohledu možných úspor prověřit 39 staveb na D a R. Výsledky prověření ukázaly, že </w:t>
      </w:r>
      <w:r w:rsidR="000E3580">
        <w:rPr>
          <w:rFonts w:cs="Arial"/>
          <w:sz w:val="22"/>
          <w:szCs w:val="22"/>
        </w:rPr>
        <w:t>byly</w:t>
      </w:r>
      <w:r w:rsidR="004D3D5C">
        <w:rPr>
          <w:rFonts w:cs="Arial"/>
          <w:sz w:val="22"/>
          <w:szCs w:val="22"/>
        </w:rPr>
        <w:t xml:space="preserve"> projektovány nadbytečné šířky komunikací a mimoúrovňová křížení, naddimenzovány migrační mosty, </w:t>
      </w:r>
      <w:r w:rsidR="000E3580">
        <w:rPr>
          <w:rFonts w:cs="Arial"/>
          <w:sz w:val="22"/>
          <w:szCs w:val="22"/>
        </w:rPr>
        <w:t>byla</w:t>
      </w:r>
      <w:r w:rsidR="00C02968">
        <w:rPr>
          <w:rFonts w:cs="Arial"/>
          <w:sz w:val="22"/>
          <w:szCs w:val="22"/>
        </w:rPr>
        <w:t xml:space="preserve"> vybrána </w:t>
      </w:r>
      <w:r w:rsidR="004D3D5C">
        <w:rPr>
          <w:rFonts w:cs="Arial"/>
          <w:sz w:val="22"/>
          <w:szCs w:val="22"/>
        </w:rPr>
        <w:t>neodůvodněně drahá technická řešení některých objektů apod.</w:t>
      </w:r>
      <w:r w:rsidR="000D0088">
        <w:rPr>
          <w:rFonts w:cs="Arial"/>
          <w:sz w:val="22"/>
          <w:szCs w:val="22"/>
        </w:rPr>
        <w:t xml:space="preserve"> Obdobné skutečnosti, jako </w:t>
      </w:r>
      <w:r w:rsidR="00056F4B">
        <w:rPr>
          <w:rFonts w:cs="Arial"/>
          <w:sz w:val="22"/>
          <w:szCs w:val="22"/>
        </w:rPr>
        <w:t xml:space="preserve">jsou </w:t>
      </w:r>
      <w:r w:rsidR="000D0088">
        <w:rPr>
          <w:rFonts w:cs="Arial"/>
          <w:sz w:val="22"/>
          <w:szCs w:val="22"/>
        </w:rPr>
        <w:t xml:space="preserve">například krátké vzdálenosti mezi mimoúrovňovými křižovatkami (v řadě případů byly jen </w:t>
      </w:r>
      <w:r w:rsidR="000465B1">
        <w:rPr>
          <w:rFonts w:cs="Arial"/>
          <w:sz w:val="22"/>
          <w:szCs w:val="22"/>
        </w:rPr>
        <w:t>1</w:t>
      </w:r>
      <w:r w:rsidR="000D0088">
        <w:rPr>
          <w:rFonts w:cs="Arial"/>
          <w:sz w:val="22"/>
          <w:szCs w:val="22"/>
        </w:rPr>
        <w:t xml:space="preserve"> až 4 km), byly zjišťovány také kontrolou NKÚ.</w:t>
      </w:r>
      <w:r>
        <w:rPr>
          <w:rFonts w:cs="Arial"/>
          <w:sz w:val="22"/>
          <w:szCs w:val="22"/>
        </w:rPr>
        <w:t xml:space="preserve"> </w:t>
      </w:r>
    </w:p>
    <w:p w:rsidR="00283969" w:rsidRDefault="00283969" w:rsidP="00875253">
      <w:pPr>
        <w:jc w:val="both"/>
        <w:rPr>
          <w:rFonts w:cs="Arial"/>
          <w:sz w:val="22"/>
          <w:szCs w:val="22"/>
        </w:rPr>
      </w:pPr>
    </w:p>
    <w:p w:rsidR="00A3547A" w:rsidRDefault="00056F4B" w:rsidP="00875253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Na základě </w:t>
      </w:r>
      <w:r w:rsidR="000D0088">
        <w:rPr>
          <w:rFonts w:cs="Arial"/>
          <w:b/>
          <w:sz w:val="22"/>
          <w:szCs w:val="22"/>
        </w:rPr>
        <w:t>expertních posouzení staveb byly vyčísleny m</w:t>
      </w:r>
      <w:r w:rsidR="00EA7784" w:rsidRPr="00EA7784">
        <w:rPr>
          <w:rFonts w:cs="Arial"/>
          <w:b/>
          <w:sz w:val="22"/>
          <w:szCs w:val="22"/>
        </w:rPr>
        <w:t>ožné úspory</w:t>
      </w:r>
      <w:r w:rsidR="000D0088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16 100 mil. </w:t>
      </w:r>
      <w:r w:rsidR="00EA7784" w:rsidRPr="00EA7784">
        <w:rPr>
          <w:rFonts w:cs="Arial"/>
          <w:b/>
          <w:sz w:val="22"/>
          <w:szCs w:val="22"/>
        </w:rPr>
        <w:t>Kč</w:t>
      </w:r>
      <w:r w:rsidR="00031C8A">
        <w:rPr>
          <w:rFonts w:cs="Arial"/>
          <w:b/>
          <w:sz w:val="22"/>
          <w:szCs w:val="22"/>
        </w:rPr>
        <w:t>. V průměru činily přibližně 12 % ze stavebních nákladů</w:t>
      </w:r>
      <w:r w:rsidR="00031C8A" w:rsidRPr="004357DE">
        <w:rPr>
          <w:rFonts w:cs="Arial"/>
          <w:b/>
          <w:sz w:val="22"/>
          <w:szCs w:val="22"/>
        </w:rPr>
        <w:t>.</w:t>
      </w:r>
      <w:r w:rsidR="00031C8A" w:rsidRPr="00031C8A">
        <w:rPr>
          <w:rFonts w:cs="Arial"/>
          <w:sz w:val="22"/>
          <w:szCs w:val="22"/>
        </w:rPr>
        <w:t xml:space="preserve"> </w:t>
      </w:r>
      <w:r w:rsidR="00EA7784">
        <w:rPr>
          <w:rFonts w:cs="Arial"/>
          <w:sz w:val="22"/>
          <w:szCs w:val="22"/>
        </w:rPr>
        <w:t>MD a ŘSD projednal</w:t>
      </w:r>
      <w:r>
        <w:rPr>
          <w:rFonts w:cs="Arial"/>
          <w:sz w:val="22"/>
          <w:szCs w:val="22"/>
        </w:rPr>
        <w:t>y</w:t>
      </w:r>
      <w:r w:rsidR="00EA7784">
        <w:rPr>
          <w:rFonts w:cs="Arial"/>
          <w:sz w:val="22"/>
          <w:szCs w:val="22"/>
        </w:rPr>
        <w:t xml:space="preserve"> navrhovaná řešení koncem roku 2011 s dodavateli projektových dokumentací. Konkrétní výsledky z navržených úspor nebyly v době kontroly</w:t>
      </w:r>
      <w:r w:rsidR="00F82A8E">
        <w:rPr>
          <w:rFonts w:cs="Arial"/>
          <w:sz w:val="22"/>
          <w:szCs w:val="22"/>
        </w:rPr>
        <w:t xml:space="preserve"> ještě</w:t>
      </w:r>
      <w:r w:rsidR="00EA7784">
        <w:rPr>
          <w:rFonts w:cs="Arial"/>
          <w:sz w:val="22"/>
          <w:szCs w:val="22"/>
        </w:rPr>
        <w:t xml:space="preserve"> znám</w:t>
      </w:r>
      <w:r w:rsidR="003F6D77">
        <w:rPr>
          <w:rFonts w:cs="Arial"/>
          <w:sz w:val="22"/>
          <w:szCs w:val="22"/>
        </w:rPr>
        <w:t>y. Dosavadní vývoj však ukazuj</w:t>
      </w:r>
      <w:r w:rsidR="00AC16A4">
        <w:rPr>
          <w:rFonts w:cs="Arial"/>
          <w:sz w:val="22"/>
          <w:szCs w:val="22"/>
        </w:rPr>
        <w:t>e</w:t>
      </w:r>
      <w:r w:rsidR="003F6D77">
        <w:rPr>
          <w:rFonts w:cs="Arial"/>
          <w:sz w:val="22"/>
          <w:szCs w:val="22"/>
        </w:rPr>
        <w:t>, že</w:t>
      </w:r>
      <w:r w:rsidR="00F82A8E">
        <w:rPr>
          <w:rFonts w:cs="Arial"/>
          <w:sz w:val="22"/>
          <w:szCs w:val="22"/>
        </w:rPr>
        <w:t xml:space="preserve"> v řadě případů nebudou úspory realizovány. Například z</w:t>
      </w:r>
      <w:r w:rsidR="003F6D77">
        <w:rPr>
          <w:rFonts w:cs="Arial"/>
          <w:sz w:val="22"/>
          <w:szCs w:val="22"/>
        </w:rPr>
        <w:t> důvodu nesouhlasu</w:t>
      </w:r>
      <w:r w:rsidR="00C02968">
        <w:rPr>
          <w:rFonts w:cs="Arial"/>
          <w:sz w:val="22"/>
          <w:szCs w:val="22"/>
        </w:rPr>
        <w:t xml:space="preserve"> </w:t>
      </w:r>
      <w:r w:rsidR="003F6D77">
        <w:rPr>
          <w:rFonts w:cs="Arial"/>
          <w:sz w:val="22"/>
          <w:szCs w:val="22"/>
        </w:rPr>
        <w:t>územn</w:t>
      </w:r>
      <w:r>
        <w:rPr>
          <w:rFonts w:cs="Arial"/>
          <w:sz w:val="22"/>
          <w:szCs w:val="22"/>
        </w:rPr>
        <w:t>ích</w:t>
      </w:r>
      <w:r w:rsidR="003F6D77">
        <w:rPr>
          <w:rFonts w:cs="Arial"/>
          <w:sz w:val="22"/>
          <w:szCs w:val="22"/>
        </w:rPr>
        <w:t xml:space="preserve"> samosprávných celků nebudou </w:t>
      </w:r>
      <w:r w:rsidR="00A3547A">
        <w:rPr>
          <w:rFonts w:cs="Arial"/>
          <w:sz w:val="22"/>
          <w:szCs w:val="22"/>
        </w:rPr>
        <w:t>realizovány navržené úspory v rozsahu 358</w:t>
      </w:r>
      <w:r w:rsidR="00AB1F6A">
        <w:rPr>
          <w:rFonts w:cs="Arial"/>
          <w:sz w:val="22"/>
          <w:szCs w:val="22"/>
        </w:rPr>
        <w:t> </w:t>
      </w:r>
      <w:r w:rsidR="00A3547A">
        <w:rPr>
          <w:rFonts w:cs="Arial"/>
          <w:sz w:val="22"/>
          <w:szCs w:val="22"/>
        </w:rPr>
        <w:t>mil.</w:t>
      </w:r>
      <w:r w:rsidR="00AB1F6A">
        <w:rPr>
          <w:rFonts w:cs="Arial"/>
          <w:sz w:val="22"/>
          <w:szCs w:val="22"/>
        </w:rPr>
        <w:t> </w:t>
      </w:r>
      <w:r w:rsidR="00A3547A">
        <w:rPr>
          <w:rFonts w:cs="Arial"/>
          <w:sz w:val="22"/>
          <w:szCs w:val="22"/>
        </w:rPr>
        <w:t xml:space="preserve">Kč. </w:t>
      </w:r>
    </w:p>
    <w:p w:rsidR="00283969" w:rsidRDefault="00283969" w:rsidP="00875253">
      <w:pPr>
        <w:jc w:val="both"/>
        <w:rPr>
          <w:rFonts w:cs="Arial"/>
          <w:sz w:val="22"/>
          <w:szCs w:val="22"/>
        </w:rPr>
      </w:pPr>
    </w:p>
    <w:p w:rsidR="00A3547A" w:rsidRDefault="00283969" w:rsidP="0087525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Skutečnost, že </w:t>
      </w:r>
      <w:r w:rsidRPr="000D0088">
        <w:rPr>
          <w:rFonts w:cs="Arial"/>
          <w:b/>
          <w:sz w:val="22"/>
          <w:szCs w:val="22"/>
        </w:rPr>
        <w:t>v procesu výstavby D a R existuje vysoký potenciál možných úspor</w:t>
      </w:r>
      <w:r w:rsidRPr="004357DE">
        <w:rPr>
          <w:rFonts w:cs="Arial"/>
          <w:b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potvrzují také </w:t>
      </w:r>
      <w:r w:rsidR="004D7484">
        <w:rPr>
          <w:rFonts w:cs="Arial"/>
          <w:sz w:val="22"/>
          <w:szCs w:val="22"/>
        </w:rPr>
        <w:t xml:space="preserve">zjištění </w:t>
      </w:r>
      <w:r w:rsidR="00644499">
        <w:rPr>
          <w:rFonts w:cs="Arial"/>
          <w:sz w:val="22"/>
          <w:szCs w:val="22"/>
        </w:rPr>
        <w:t>uvedená</w:t>
      </w:r>
      <w:r>
        <w:rPr>
          <w:rFonts w:cs="Arial"/>
          <w:sz w:val="22"/>
          <w:szCs w:val="22"/>
        </w:rPr>
        <w:t xml:space="preserve"> v tomto kontrolním závěru i v kontrolních závěrech z kontrolních akcí </w:t>
      </w:r>
      <w:r w:rsidR="00A06675">
        <w:rPr>
          <w:rFonts w:cs="Arial"/>
          <w:sz w:val="22"/>
          <w:szCs w:val="22"/>
        </w:rPr>
        <w:t>zaměřených na výstavbu</w:t>
      </w:r>
      <w:r>
        <w:rPr>
          <w:rFonts w:cs="Arial"/>
          <w:sz w:val="22"/>
          <w:szCs w:val="22"/>
        </w:rPr>
        <w:t xml:space="preserve"> dopravní infrastruktury,</w:t>
      </w:r>
      <w:r w:rsidR="00A06675">
        <w:rPr>
          <w:rFonts w:cs="Arial"/>
          <w:sz w:val="22"/>
          <w:szCs w:val="22"/>
        </w:rPr>
        <w:t xml:space="preserve"> které</w:t>
      </w:r>
      <w:r>
        <w:rPr>
          <w:rFonts w:cs="Arial"/>
          <w:sz w:val="22"/>
          <w:szCs w:val="22"/>
        </w:rPr>
        <w:t xml:space="preserve"> NKÚ</w:t>
      </w:r>
      <w:r w:rsidR="00A06675">
        <w:rPr>
          <w:rFonts w:cs="Arial"/>
          <w:sz w:val="22"/>
          <w:szCs w:val="22"/>
        </w:rPr>
        <w:t xml:space="preserve"> provedl</w:t>
      </w:r>
      <w:r>
        <w:rPr>
          <w:rFonts w:cs="Arial"/>
          <w:sz w:val="22"/>
          <w:szCs w:val="22"/>
        </w:rPr>
        <w:t xml:space="preserve"> v minulých obdobích</w:t>
      </w:r>
      <w:r w:rsidRPr="004357DE">
        <w:rPr>
          <w:rFonts w:cs="Arial"/>
          <w:sz w:val="22"/>
          <w:szCs w:val="22"/>
        </w:rPr>
        <w:t>.</w:t>
      </w:r>
      <w:r w:rsidR="000D0088" w:rsidRPr="004357DE">
        <w:rPr>
          <w:rFonts w:cs="Arial"/>
          <w:sz w:val="22"/>
          <w:szCs w:val="22"/>
        </w:rPr>
        <w:t xml:space="preserve"> </w:t>
      </w:r>
      <w:r w:rsidR="000D0088" w:rsidRPr="00A8351D">
        <w:rPr>
          <w:rFonts w:cs="Arial"/>
          <w:b/>
          <w:sz w:val="22"/>
          <w:szCs w:val="22"/>
        </w:rPr>
        <w:t>Na základě výsledků této kontroly</w:t>
      </w:r>
      <w:r w:rsidR="00A8351D">
        <w:rPr>
          <w:rFonts w:cs="Arial"/>
          <w:b/>
          <w:sz w:val="22"/>
          <w:szCs w:val="22"/>
        </w:rPr>
        <w:t xml:space="preserve"> jej lze odhadnout v rozsahu 12 </w:t>
      </w:r>
      <w:r w:rsidR="000D0088" w:rsidRPr="00A8351D">
        <w:rPr>
          <w:rFonts w:cs="Arial"/>
          <w:b/>
          <w:sz w:val="22"/>
          <w:szCs w:val="22"/>
        </w:rPr>
        <w:t xml:space="preserve">až </w:t>
      </w:r>
      <w:r w:rsidR="00CF72AE" w:rsidRPr="00A8351D">
        <w:rPr>
          <w:rFonts w:cs="Arial"/>
          <w:b/>
          <w:sz w:val="22"/>
          <w:szCs w:val="22"/>
        </w:rPr>
        <w:t>20 % z celkových nákladů staveb</w:t>
      </w:r>
      <w:r w:rsidR="00CF72AE" w:rsidRPr="004357DE">
        <w:rPr>
          <w:rFonts w:cs="Arial"/>
          <w:b/>
          <w:sz w:val="22"/>
          <w:szCs w:val="22"/>
        </w:rPr>
        <w:t>,</w:t>
      </w:r>
      <w:r w:rsidR="00CF72AE">
        <w:rPr>
          <w:rFonts w:cs="Arial"/>
          <w:sz w:val="22"/>
          <w:szCs w:val="22"/>
        </w:rPr>
        <w:t xml:space="preserve"> což u vzorku 74 staveb, na které byla kontrola NKÚ zaměřena, </w:t>
      </w:r>
      <w:r w:rsidR="00231891">
        <w:rPr>
          <w:rFonts w:cs="Arial"/>
          <w:sz w:val="22"/>
          <w:szCs w:val="22"/>
        </w:rPr>
        <w:t>představuje</w:t>
      </w:r>
      <w:r w:rsidR="00CF72AE">
        <w:rPr>
          <w:rFonts w:cs="Arial"/>
          <w:sz w:val="22"/>
          <w:szCs w:val="22"/>
        </w:rPr>
        <w:t xml:space="preserve"> potenciál možných úspor v rozsahu 25 800 mil. Kč až 43</w:t>
      </w:r>
      <w:r w:rsidR="00BA2696">
        <w:rPr>
          <w:rFonts w:cs="Arial"/>
          <w:sz w:val="22"/>
          <w:szCs w:val="22"/>
        </w:rPr>
        <w:t> </w:t>
      </w:r>
      <w:r w:rsidR="00CC59FB">
        <w:rPr>
          <w:rFonts w:cs="Arial"/>
          <w:sz w:val="22"/>
          <w:szCs w:val="22"/>
        </w:rPr>
        <w:t>000</w:t>
      </w:r>
      <w:r w:rsidR="00BA2696">
        <w:rPr>
          <w:rFonts w:cs="Arial"/>
          <w:sz w:val="22"/>
          <w:szCs w:val="22"/>
        </w:rPr>
        <w:t> </w:t>
      </w:r>
      <w:r w:rsidR="00AB1F6A">
        <w:rPr>
          <w:rFonts w:cs="Arial"/>
          <w:sz w:val="22"/>
          <w:szCs w:val="22"/>
        </w:rPr>
        <w:t>mil. </w:t>
      </w:r>
      <w:r w:rsidR="00CC59FB">
        <w:rPr>
          <w:rFonts w:cs="Arial"/>
          <w:sz w:val="22"/>
          <w:szCs w:val="22"/>
        </w:rPr>
        <w:t xml:space="preserve">Kč. </w:t>
      </w:r>
    </w:p>
    <w:p w:rsidR="00C02968" w:rsidRDefault="00C02968" w:rsidP="00875253">
      <w:pPr>
        <w:jc w:val="both"/>
        <w:rPr>
          <w:rFonts w:cs="Arial"/>
          <w:sz w:val="22"/>
          <w:szCs w:val="22"/>
        </w:rPr>
      </w:pPr>
    </w:p>
    <w:p w:rsidR="002E0A3E" w:rsidRDefault="00283969" w:rsidP="00875253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5.2.2 </w:t>
      </w:r>
      <w:r w:rsidR="00A3547A" w:rsidRPr="002E0A3E">
        <w:rPr>
          <w:rFonts w:cs="Arial"/>
          <w:b/>
          <w:sz w:val="22"/>
          <w:szCs w:val="22"/>
        </w:rPr>
        <w:t xml:space="preserve">ŘSD </w:t>
      </w:r>
      <w:r w:rsidR="002E0A3E" w:rsidRPr="002E0A3E">
        <w:rPr>
          <w:rFonts w:cs="Arial"/>
          <w:b/>
          <w:sz w:val="22"/>
          <w:szCs w:val="22"/>
        </w:rPr>
        <w:t xml:space="preserve">jednalo o snížení nákladů i s dodavateli staveb, které jsou v realizaci. </w:t>
      </w:r>
      <w:r w:rsidR="002E0A3E">
        <w:rPr>
          <w:rFonts w:cs="Arial"/>
          <w:b/>
          <w:sz w:val="22"/>
          <w:szCs w:val="22"/>
        </w:rPr>
        <w:t>Konkrétní přínos však byl prakticky nulový</w:t>
      </w:r>
      <w:r w:rsidR="002E0A3E" w:rsidRPr="004357DE">
        <w:rPr>
          <w:rFonts w:cs="Arial"/>
          <w:b/>
          <w:sz w:val="22"/>
          <w:szCs w:val="22"/>
        </w:rPr>
        <w:t>.</w:t>
      </w:r>
      <w:r w:rsidR="002E0A3E">
        <w:rPr>
          <w:rFonts w:cs="Arial"/>
          <w:sz w:val="22"/>
          <w:szCs w:val="22"/>
        </w:rPr>
        <w:t xml:space="preserve"> Například:</w:t>
      </w:r>
    </w:p>
    <w:p w:rsidR="005E2246" w:rsidRPr="00BA2696" w:rsidRDefault="002E0A3E" w:rsidP="005D099E">
      <w:pPr>
        <w:pStyle w:val="Odstavecseseznamem"/>
        <w:numPr>
          <w:ilvl w:val="0"/>
          <w:numId w:val="8"/>
        </w:numPr>
        <w:ind w:left="284" w:hanging="284"/>
        <w:jc w:val="both"/>
        <w:rPr>
          <w:rFonts w:cs="Arial"/>
          <w:sz w:val="22"/>
          <w:szCs w:val="22"/>
        </w:rPr>
      </w:pPr>
      <w:r w:rsidRPr="00BA2696">
        <w:rPr>
          <w:rFonts w:cs="Arial"/>
          <w:sz w:val="22"/>
          <w:szCs w:val="22"/>
        </w:rPr>
        <w:t>U stavby R7</w:t>
      </w:r>
      <w:r w:rsidR="00231891" w:rsidRPr="00BA2696">
        <w:rPr>
          <w:rFonts w:cs="Arial"/>
          <w:sz w:val="22"/>
          <w:szCs w:val="22"/>
        </w:rPr>
        <w:t xml:space="preserve"> v</w:t>
      </w:r>
      <w:r w:rsidRPr="00BA2696">
        <w:rPr>
          <w:rFonts w:cs="Arial"/>
          <w:sz w:val="22"/>
          <w:szCs w:val="22"/>
        </w:rPr>
        <w:t xml:space="preserve"> úseku </w:t>
      </w:r>
      <w:proofErr w:type="gramStart"/>
      <w:r w:rsidRPr="00BA2696">
        <w:rPr>
          <w:rFonts w:cs="Arial"/>
          <w:sz w:val="22"/>
          <w:szCs w:val="22"/>
        </w:rPr>
        <w:t>Vysočany</w:t>
      </w:r>
      <w:proofErr w:type="gramEnd"/>
      <w:r w:rsidRPr="00BA2696">
        <w:rPr>
          <w:rFonts w:cs="Arial"/>
          <w:sz w:val="22"/>
          <w:szCs w:val="22"/>
        </w:rPr>
        <w:t>–</w:t>
      </w:r>
      <w:proofErr w:type="gramStart"/>
      <w:r w:rsidRPr="00BA2696">
        <w:rPr>
          <w:rFonts w:cs="Arial"/>
          <w:sz w:val="22"/>
          <w:szCs w:val="22"/>
        </w:rPr>
        <w:t>Droužkovice</w:t>
      </w:r>
      <w:proofErr w:type="gramEnd"/>
      <w:r w:rsidRPr="00BA2696">
        <w:rPr>
          <w:rFonts w:cs="Arial"/>
          <w:sz w:val="22"/>
          <w:szCs w:val="22"/>
        </w:rPr>
        <w:t xml:space="preserve"> </w:t>
      </w:r>
      <w:r w:rsidR="00FD0E12" w:rsidRPr="00BA2696">
        <w:rPr>
          <w:rFonts w:cs="Arial"/>
          <w:sz w:val="22"/>
          <w:szCs w:val="22"/>
        </w:rPr>
        <w:t>uzavřelo ŘSD</w:t>
      </w:r>
      <w:r w:rsidRPr="00BA2696">
        <w:rPr>
          <w:rFonts w:cs="Arial"/>
          <w:sz w:val="22"/>
          <w:szCs w:val="22"/>
        </w:rPr>
        <w:t xml:space="preserve"> v březnu 2011 dodatek ke smlouvě s dodavatelem stavby, kterým </w:t>
      </w:r>
      <w:r w:rsidR="00FD0E12" w:rsidRPr="00BA2696">
        <w:rPr>
          <w:rFonts w:cs="Arial"/>
          <w:sz w:val="22"/>
          <w:szCs w:val="22"/>
        </w:rPr>
        <w:t>dohodl</w:t>
      </w:r>
      <w:r w:rsidRPr="00BA2696">
        <w:rPr>
          <w:rFonts w:cs="Arial"/>
          <w:sz w:val="22"/>
          <w:szCs w:val="22"/>
        </w:rPr>
        <w:t xml:space="preserve">o snížení ceny o 164,4 mil. Kč. Úspor mělo být dosaženo </w:t>
      </w:r>
      <w:r w:rsidR="00FD0E12" w:rsidRPr="00BA2696">
        <w:rPr>
          <w:rFonts w:cs="Arial"/>
          <w:sz w:val="22"/>
          <w:szCs w:val="22"/>
        </w:rPr>
        <w:t>odpoč</w:t>
      </w:r>
      <w:r w:rsidRPr="00BA2696">
        <w:rPr>
          <w:rFonts w:cs="Arial"/>
          <w:sz w:val="22"/>
          <w:szCs w:val="22"/>
        </w:rPr>
        <w:t>t</w:t>
      </w:r>
      <w:r w:rsidR="00FD0E12" w:rsidRPr="00BA2696">
        <w:rPr>
          <w:rFonts w:cs="Arial"/>
          <w:sz w:val="22"/>
          <w:szCs w:val="22"/>
        </w:rPr>
        <w:t>em</w:t>
      </w:r>
      <w:r w:rsidRPr="00BA2696">
        <w:rPr>
          <w:rFonts w:cs="Arial"/>
          <w:sz w:val="22"/>
          <w:szCs w:val="22"/>
        </w:rPr>
        <w:t xml:space="preserve"> prací, organizačními změnami n</w:t>
      </w:r>
      <w:r w:rsidR="00FD0E12" w:rsidRPr="00BA2696">
        <w:rPr>
          <w:rFonts w:cs="Arial"/>
          <w:sz w:val="22"/>
          <w:szCs w:val="22"/>
        </w:rPr>
        <w:t>ebo změnami technických řešení. Do doby kontroly nebyla realizována žádná z navržených úspor</w:t>
      </w:r>
      <w:r w:rsidR="004B48CE" w:rsidRPr="00BA2696">
        <w:rPr>
          <w:rFonts w:cs="Arial"/>
          <w:sz w:val="22"/>
          <w:szCs w:val="22"/>
        </w:rPr>
        <w:t>. ŘSD</w:t>
      </w:r>
      <w:r w:rsidR="00AC32E7" w:rsidRPr="00BA2696">
        <w:rPr>
          <w:rFonts w:cs="Arial"/>
          <w:sz w:val="22"/>
          <w:szCs w:val="22"/>
        </w:rPr>
        <w:t xml:space="preserve"> dosud</w:t>
      </w:r>
      <w:r w:rsidR="004B48CE" w:rsidRPr="00BA2696">
        <w:rPr>
          <w:rFonts w:cs="Arial"/>
          <w:sz w:val="22"/>
          <w:szCs w:val="22"/>
        </w:rPr>
        <w:t xml:space="preserve"> schválilo jiné změny (více</w:t>
      </w:r>
      <w:r w:rsidR="00056F4B">
        <w:rPr>
          <w:rFonts w:cs="Arial"/>
          <w:sz w:val="22"/>
          <w:szCs w:val="22"/>
        </w:rPr>
        <w:t>práce</w:t>
      </w:r>
      <w:r w:rsidR="004B48CE" w:rsidRPr="00BA2696">
        <w:rPr>
          <w:rFonts w:cs="Arial"/>
          <w:sz w:val="22"/>
          <w:szCs w:val="22"/>
        </w:rPr>
        <w:t xml:space="preserve"> a </w:t>
      </w:r>
      <w:proofErr w:type="spellStart"/>
      <w:r w:rsidR="004B48CE" w:rsidRPr="00BA2696">
        <w:rPr>
          <w:rFonts w:cs="Arial"/>
          <w:sz w:val="22"/>
          <w:szCs w:val="22"/>
        </w:rPr>
        <w:t>méněpráce</w:t>
      </w:r>
      <w:proofErr w:type="spellEnd"/>
      <w:r w:rsidR="004B48CE" w:rsidRPr="00BA2696">
        <w:rPr>
          <w:rFonts w:cs="Arial"/>
          <w:sz w:val="22"/>
          <w:szCs w:val="22"/>
        </w:rPr>
        <w:t>), kterými byla cena snížena o 18,9 mil. Kč.</w:t>
      </w:r>
      <w:r w:rsidR="00BF154E" w:rsidRPr="00BA2696">
        <w:rPr>
          <w:rFonts w:cs="Arial"/>
          <w:sz w:val="22"/>
          <w:szCs w:val="22"/>
        </w:rPr>
        <w:t xml:space="preserve"> </w:t>
      </w:r>
      <w:r w:rsidR="00FD0E12" w:rsidRPr="00BA2696">
        <w:rPr>
          <w:rFonts w:cs="Arial"/>
          <w:sz w:val="22"/>
          <w:szCs w:val="22"/>
        </w:rPr>
        <w:t>Stavba má být dokončena do září 2013.</w:t>
      </w:r>
    </w:p>
    <w:p w:rsidR="007F3BC0" w:rsidRPr="00BA2696" w:rsidRDefault="00FD0E12" w:rsidP="005D099E">
      <w:pPr>
        <w:pStyle w:val="Odstavecseseznamem"/>
        <w:numPr>
          <w:ilvl w:val="0"/>
          <w:numId w:val="8"/>
        </w:numPr>
        <w:ind w:left="284" w:hanging="284"/>
        <w:jc w:val="both"/>
        <w:rPr>
          <w:rFonts w:cs="Arial"/>
          <w:sz w:val="22"/>
          <w:szCs w:val="22"/>
        </w:rPr>
      </w:pPr>
      <w:r w:rsidRPr="00BA2696">
        <w:rPr>
          <w:rFonts w:cs="Arial"/>
          <w:sz w:val="22"/>
          <w:szCs w:val="22"/>
        </w:rPr>
        <w:t>U stavby R7</w:t>
      </w:r>
      <w:r w:rsidR="00231891" w:rsidRPr="00BA2696">
        <w:rPr>
          <w:rFonts w:cs="Arial"/>
          <w:sz w:val="22"/>
          <w:szCs w:val="22"/>
        </w:rPr>
        <w:t xml:space="preserve"> v</w:t>
      </w:r>
      <w:r w:rsidRPr="00BA2696">
        <w:rPr>
          <w:rFonts w:cs="Arial"/>
          <w:sz w:val="22"/>
          <w:szCs w:val="22"/>
        </w:rPr>
        <w:t xml:space="preserve"> úseku Droužkovice – Nové Spořice uzavřelo ŘSD v únoru 2011 dodatek ke smlouvě, kterým dohodlo snížení ceny o 174,2 mil. Kč</w:t>
      </w:r>
      <w:r w:rsidR="00747358">
        <w:rPr>
          <w:rFonts w:cs="Arial"/>
          <w:sz w:val="22"/>
          <w:szCs w:val="22"/>
        </w:rPr>
        <w:t>,</w:t>
      </w:r>
      <w:r w:rsidRPr="00BA2696">
        <w:rPr>
          <w:rFonts w:cs="Arial"/>
          <w:sz w:val="22"/>
          <w:szCs w:val="22"/>
        </w:rPr>
        <w:t xml:space="preserve"> </w:t>
      </w:r>
      <w:r w:rsidR="00747358">
        <w:rPr>
          <w:rFonts w:cs="Arial"/>
          <w:sz w:val="22"/>
          <w:szCs w:val="22"/>
        </w:rPr>
        <w:t>z</w:t>
      </w:r>
      <w:r w:rsidR="00C02968">
        <w:rPr>
          <w:rFonts w:cs="Arial"/>
          <w:sz w:val="22"/>
          <w:szCs w:val="22"/>
        </w:rPr>
        <w:t xml:space="preserve"> toho </w:t>
      </w:r>
      <w:r w:rsidR="00747358">
        <w:rPr>
          <w:rFonts w:cs="Arial"/>
          <w:sz w:val="22"/>
          <w:szCs w:val="22"/>
        </w:rPr>
        <w:t>v částce</w:t>
      </w:r>
      <w:r w:rsidRPr="00BA2696">
        <w:rPr>
          <w:rFonts w:cs="Arial"/>
          <w:sz w:val="22"/>
          <w:szCs w:val="22"/>
        </w:rPr>
        <w:t xml:space="preserve"> 123,2</w:t>
      </w:r>
      <w:r w:rsidR="00C02968">
        <w:rPr>
          <w:rFonts w:cs="Arial"/>
          <w:sz w:val="22"/>
          <w:szCs w:val="22"/>
        </w:rPr>
        <w:t> </w:t>
      </w:r>
      <w:r w:rsidRPr="00BA2696">
        <w:rPr>
          <w:rFonts w:cs="Arial"/>
          <w:sz w:val="22"/>
          <w:szCs w:val="22"/>
        </w:rPr>
        <w:t>mil.</w:t>
      </w:r>
      <w:r w:rsidR="00C02968">
        <w:rPr>
          <w:rFonts w:cs="Arial"/>
          <w:sz w:val="22"/>
          <w:szCs w:val="22"/>
        </w:rPr>
        <w:t> </w:t>
      </w:r>
      <w:r w:rsidRPr="00BA2696">
        <w:rPr>
          <w:rFonts w:cs="Arial"/>
          <w:sz w:val="22"/>
          <w:szCs w:val="22"/>
        </w:rPr>
        <w:t>Kč</w:t>
      </w:r>
      <w:r w:rsidR="00644499" w:rsidRPr="00BA2696">
        <w:rPr>
          <w:rFonts w:cs="Arial"/>
          <w:sz w:val="22"/>
          <w:szCs w:val="22"/>
        </w:rPr>
        <w:t xml:space="preserve"> však</w:t>
      </w:r>
      <w:r w:rsidRPr="00BA2696">
        <w:rPr>
          <w:rFonts w:cs="Arial"/>
          <w:sz w:val="22"/>
          <w:szCs w:val="22"/>
        </w:rPr>
        <w:t xml:space="preserve"> </w:t>
      </w:r>
      <w:r w:rsidR="00644499" w:rsidRPr="00BA2696">
        <w:rPr>
          <w:rFonts w:cs="Arial"/>
          <w:sz w:val="22"/>
          <w:szCs w:val="22"/>
        </w:rPr>
        <w:t>šlo</w:t>
      </w:r>
      <w:r w:rsidRPr="00BA2696">
        <w:rPr>
          <w:rFonts w:cs="Arial"/>
          <w:sz w:val="22"/>
          <w:szCs w:val="22"/>
        </w:rPr>
        <w:t xml:space="preserve"> o nečerpání finanční rezervy, která není</w:t>
      </w:r>
      <w:r w:rsidR="007F3BC0" w:rsidRPr="00BA2696">
        <w:rPr>
          <w:rFonts w:cs="Arial"/>
          <w:sz w:val="22"/>
          <w:szCs w:val="22"/>
        </w:rPr>
        <w:t xml:space="preserve"> součástí ceny</w:t>
      </w:r>
      <w:r w:rsidRPr="00BA2696">
        <w:rPr>
          <w:rFonts w:cs="Arial"/>
          <w:sz w:val="22"/>
          <w:szCs w:val="22"/>
        </w:rPr>
        <w:t xml:space="preserve"> stavby</w:t>
      </w:r>
      <w:r w:rsidR="00C02968">
        <w:rPr>
          <w:rFonts w:cs="Arial"/>
          <w:sz w:val="22"/>
          <w:szCs w:val="22"/>
        </w:rPr>
        <w:t>, a </w:t>
      </w:r>
      <w:r w:rsidR="00747358">
        <w:rPr>
          <w:rFonts w:cs="Arial"/>
          <w:sz w:val="22"/>
          <w:szCs w:val="22"/>
        </w:rPr>
        <w:t>v</w:t>
      </w:r>
      <w:r w:rsidR="00C02968">
        <w:rPr>
          <w:rFonts w:cs="Arial"/>
          <w:sz w:val="22"/>
          <w:szCs w:val="22"/>
        </w:rPr>
        <w:t> část</w:t>
      </w:r>
      <w:r w:rsidR="00747358">
        <w:rPr>
          <w:rFonts w:cs="Arial"/>
          <w:sz w:val="22"/>
          <w:szCs w:val="22"/>
        </w:rPr>
        <w:t>ce</w:t>
      </w:r>
      <w:r w:rsidR="00C02968">
        <w:rPr>
          <w:rFonts w:cs="Arial"/>
          <w:sz w:val="22"/>
          <w:szCs w:val="22"/>
        </w:rPr>
        <w:t xml:space="preserve"> 51,0 </w:t>
      </w:r>
      <w:r w:rsidR="007F3BC0" w:rsidRPr="00BA2696">
        <w:rPr>
          <w:rFonts w:cs="Arial"/>
          <w:sz w:val="22"/>
          <w:szCs w:val="22"/>
        </w:rPr>
        <w:t>mil.</w:t>
      </w:r>
      <w:r w:rsidR="00C02968">
        <w:rPr>
          <w:rFonts w:cs="Arial"/>
          <w:sz w:val="22"/>
          <w:szCs w:val="22"/>
        </w:rPr>
        <w:t> </w:t>
      </w:r>
      <w:r w:rsidR="007F3BC0" w:rsidRPr="00BA2696">
        <w:rPr>
          <w:rFonts w:cs="Arial"/>
          <w:sz w:val="22"/>
          <w:szCs w:val="22"/>
        </w:rPr>
        <w:t xml:space="preserve">Kč mělo jít o opatření, která navrhne dodavatel. Do doby kontroly dodavatel </w:t>
      </w:r>
      <w:r w:rsidR="004B48CE" w:rsidRPr="00BA2696">
        <w:rPr>
          <w:rFonts w:cs="Arial"/>
          <w:sz w:val="22"/>
          <w:szCs w:val="22"/>
        </w:rPr>
        <w:t>žádná úsporná opatření nenavrhl. ŘSD</w:t>
      </w:r>
      <w:r w:rsidR="00AC32E7" w:rsidRPr="00BA2696">
        <w:rPr>
          <w:rFonts w:cs="Arial"/>
          <w:sz w:val="22"/>
          <w:szCs w:val="22"/>
        </w:rPr>
        <w:t xml:space="preserve"> dosud</w:t>
      </w:r>
      <w:r w:rsidR="004B48CE" w:rsidRPr="00BA2696">
        <w:rPr>
          <w:rFonts w:cs="Arial"/>
          <w:sz w:val="22"/>
          <w:szCs w:val="22"/>
        </w:rPr>
        <w:t xml:space="preserve"> schválilo </w:t>
      </w:r>
      <w:r w:rsidR="00BF154E" w:rsidRPr="00BA2696">
        <w:rPr>
          <w:rFonts w:cs="Arial"/>
          <w:sz w:val="22"/>
          <w:szCs w:val="22"/>
        </w:rPr>
        <w:t>změn</w:t>
      </w:r>
      <w:r w:rsidR="004B48CE" w:rsidRPr="00BA2696">
        <w:rPr>
          <w:rFonts w:cs="Arial"/>
          <w:sz w:val="22"/>
          <w:szCs w:val="22"/>
        </w:rPr>
        <w:t>y</w:t>
      </w:r>
      <w:r w:rsidR="00BF154E" w:rsidRPr="00BA2696">
        <w:rPr>
          <w:rFonts w:cs="Arial"/>
          <w:sz w:val="22"/>
          <w:szCs w:val="22"/>
        </w:rPr>
        <w:t xml:space="preserve"> </w:t>
      </w:r>
      <w:r w:rsidR="00C02968">
        <w:rPr>
          <w:rFonts w:cs="Arial"/>
          <w:sz w:val="22"/>
          <w:szCs w:val="22"/>
        </w:rPr>
        <w:t>(více</w:t>
      </w:r>
      <w:r w:rsidR="00056F4B">
        <w:rPr>
          <w:rFonts w:cs="Arial"/>
          <w:sz w:val="22"/>
          <w:szCs w:val="22"/>
        </w:rPr>
        <w:t>práce</w:t>
      </w:r>
      <w:r w:rsidR="00C02968">
        <w:rPr>
          <w:rFonts w:cs="Arial"/>
          <w:sz w:val="22"/>
          <w:szCs w:val="22"/>
        </w:rPr>
        <w:t xml:space="preserve"> a </w:t>
      </w:r>
      <w:proofErr w:type="spellStart"/>
      <w:r w:rsidR="004B48CE" w:rsidRPr="00BA2696">
        <w:rPr>
          <w:rFonts w:cs="Arial"/>
          <w:sz w:val="22"/>
          <w:szCs w:val="22"/>
        </w:rPr>
        <w:t>méněpráce</w:t>
      </w:r>
      <w:proofErr w:type="spellEnd"/>
      <w:r w:rsidR="004B48CE" w:rsidRPr="00BA2696">
        <w:rPr>
          <w:rFonts w:cs="Arial"/>
          <w:sz w:val="22"/>
          <w:szCs w:val="22"/>
        </w:rPr>
        <w:t xml:space="preserve">), kterými byla cena snížena o 0,3 </w:t>
      </w:r>
      <w:r w:rsidR="00BF154E" w:rsidRPr="00BA2696">
        <w:rPr>
          <w:rFonts w:cs="Arial"/>
          <w:sz w:val="22"/>
          <w:szCs w:val="22"/>
        </w:rPr>
        <w:t xml:space="preserve">mil. Kč. </w:t>
      </w:r>
      <w:r w:rsidR="007F3BC0" w:rsidRPr="00BA2696">
        <w:rPr>
          <w:rFonts w:cs="Arial"/>
          <w:sz w:val="22"/>
          <w:szCs w:val="22"/>
        </w:rPr>
        <w:t>Stavba má být ukončena v srpnu 2013.</w:t>
      </w:r>
    </w:p>
    <w:p w:rsidR="00FD0E12" w:rsidRPr="00BA2696" w:rsidRDefault="007F3BC0" w:rsidP="005D099E">
      <w:pPr>
        <w:pStyle w:val="Odstavecseseznamem"/>
        <w:numPr>
          <w:ilvl w:val="0"/>
          <w:numId w:val="8"/>
        </w:numPr>
        <w:ind w:left="284" w:hanging="284"/>
        <w:jc w:val="both"/>
        <w:rPr>
          <w:rFonts w:cs="Arial"/>
          <w:sz w:val="22"/>
          <w:szCs w:val="22"/>
        </w:rPr>
      </w:pPr>
      <w:r w:rsidRPr="00BA2696">
        <w:rPr>
          <w:rFonts w:cs="Arial"/>
          <w:sz w:val="22"/>
          <w:szCs w:val="22"/>
        </w:rPr>
        <w:t>U stavby R6</w:t>
      </w:r>
      <w:r w:rsidR="00231891" w:rsidRPr="00BA2696">
        <w:rPr>
          <w:rFonts w:cs="Arial"/>
          <w:sz w:val="22"/>
          <w:szCs w:val="22"/>
        </w:rPr>
        <w:t xml:space="preserve"> v</w:t>
      </w:r>
      <w:r w:rsidRPr="00BA2696">
        <w:rPr>
          <w:rFonts w:cs="Arial"/>
          <w:sz w:val="22"/>
          <w:szCs w:val="22"/>
        </w:rPr>
        <w:t xml:space="preserve"> úseku Nové Sedlo – Jenišov dohodlo ŘSD v reakci na požadavek MD k zajištění úsporných opatření na probíhajících stavbách snížení </w:t>
      </w:r>
      <w:r w:rsidR="004357DE">
        <w:rPr>
          <w:rFonts w:cs="Arial"/>
          <w:sz w:val="22"/>
          <w:szCs w:val="22"/>
        </w:rPr>
        <w:t xml:space="preserve">ceny </w:t>
      </w:r>
      <w:r w:rsidRPr="00BA2696">
        <w:rPr>
          <w:rFonts w:cs="Arial"/>
          <w:sz w:val="22"/>
          <w:szCs w:val="22"/>
        </w:rPr>
        <w:t xml:space="preserve">o 20 mil. Kč. </w:t>
      </w:r>
      <w:r w:rsidR="00231891" w:rsidRPr="00BA2696">
        <w:rPr>
          <w:rFonts w:cs="Arial"/>
          <w:sz w:val="22"/>
          <w:szCs w:val="22"/>
        </w:rPr>
        <w:t>S</w:t>
      </w:r>
      <w:r w:rsidRPr="00BA2696">
        <w:rPr>
          <w:rFonts w:cs="Arial"/>
          <w:sz w:val="22"/>
          <w:szCs w:val="22"/>
        </w:rPr>
        <w:t>nížení</w:t>
      </w:r>
      <w:r w:rsidR="00231891" w:rsidRPr="00BA2696">
        <w:rPr>
          <w:rFonts w:cs="Arial"/>
          <w:sz w:val="22"/>
          <w:szCs w:val="22"/>
        </w:rPr>
        <w:t xml:space="preserve"> se však týkalo</w:t>
      </w:r>
      <w:r w:rsidRPr="00BA2696">
        <w:rPr>
          <w:rFonts w:cs="Arial"/>
          <w:sz w:val="22"/>
          <w:szCs w:val="22"/>
        </w:rPr>
        <w:t xml:space="preserve"> finanční rezervy, která není součástí ceny stavby. Ve skutečnosti</w:t>
      </w:r>
      <w:r w:rsidR="008B2EB8" w:rsidRPr="00BA2696">
        <w:rPr>
          <w:rFonts w:cs="Arial"/>
          <w:sz w:val="22"/>
          <w:szCs w:val="22"/>
        </w:rPr>
        <w:t xml:space="preserve"> byla cena stavby z důvod</w:t>
      </w:r>
      <w:r w:rsidR="00056F4B">
        <w:rPr>
          <w:rFonts w:cs="Arial"/>
          <w:sz w:val="22"/>
          <w:szCs w:val="22"/>
        </w:rPr>
        <w:t>u</w:t>
      </w:r>
      <w:r w:rsidR="008B2EB8" w:rsidRPr="00BA2696">
        <w:rPr>
          <w:rFonts w:cs="Arial"/>
          <w:sz w:val="22"/>
          <w:szCs w:val="22"/>
        </w:rPr>
        <w:t xml:space="preserve"> změn během výstavby </w:t>
      </w:r>
      <w:r w:rsidR="00C02968">
        <w:rPr>
          <w:rFonts w:cs="Arial"/>
          <w:sz w:val="22"/>
          <w:szCs w:val="22"/>
        </w:rPr>
        <w:t>na</w:t>
      </w:r>
      <w:r w:rsidR="00BF154E" w:rsidRPr="00BA2696">
        <w:rPr>
          <w:rFonts w:cs="Arial"/>
          <w:sz w:val="22"/>
          <w:szCs w:val="22"/>
        </w:rPr>
        <w:t xml:space="preserve">výšena </w:t>
      </w:r>
      <w:r w:rsidR="008B2EB8" w:rsidRPr="00BA2696">
        <w:rPr>
          <w:rFonts w:cs="Arial"/>
          <w:sz w:val="22"/>
          <w:szCs w:val="22"/>
        </w:rPr>
        <w:t>o 127,8 mil. Kč.</w:t>
      </w:r>
    </w:p>
    <w:p w:rsidR="00BE25B9" w:rsidRDefault="00BE25B9" w:rsidP="00AE5D74">
      <w:pPr>
        <w:jc w:val="both"/>
        <w:rPr>
          <w:rFonts w:cs="Arial"/>
          <w:sz w:val="22"/>
          <w:szCs w:val="22"/>
        </w:rPr>
      </w:pPr>
    </w:p>
    <w:p w:rsidR="00A7525E" w:rsidRDefault="00A06675" w:rsidP="00AE5D74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5.2.3 </w:t>
      </w:r>
      <w:r>
        <w:rPr>
          <w:rFonts w:cs="Arial"/>
          <w:sz w:val="22"/>
          <w:szCs w:val="22"/>
        </w:rPr>
        <w:t xml:space="preserve">Opatření k zefektivnění výstavby dopravní infrastruktury se týkala také </w:t>
      </w:r>
      <w:r w:rsidR="00644499">
        <w:rPr>
          <w:rFonts w:cs="Arial"/>
          <w:sz w:val="22"/>
          <w:szCs w:val="22"/>
        </w:rPr>
        <w:t>cenových normativů</w:t>
      </w:r>
      <w:r w:rsidR="00CC7709">
        <w:rPr>
          <w:rFonts w:cs="Arial"/>
          <w:sz w:val="22"/>
          <w:szCs w:val="22"/>
        </w:rPr>
        <w:t xml:space="preserve">. </w:t>
      </w:r>
      <w:r w:rsidR="00644499">
        <w:rPr>
          <w:rFonts w:cs="Arial"/>
          <w:sz w:val="22"/>
          <w:szCs w:val="22"/>
        </w:rPr>
        <w:t>N</w:t>
      </w:r>
      <w:r w:rsidR="00CC7709">
        <w:rPr>
          <w:rFonts w:cs="Arial"/>
          <w:sz w:val="22"/>
          <w:szCs w:val="22"/>
        </w:rPr>
        <w:t>ormativy nechalo vypracovat MD v roce 2007 a měly být využívány při stanovování nákladů v investičních záměrec</w:t>
      </w:r>
      <w:r w:rsidR="00231891">
        <w:rPr>
          <w:rFonts w:cs="Arial"/>
          <w:sz w:val="22"/>
          <w:szCs w:val="22"/>
        </w:rPr>
        <w:t>h a v dalších fázích přípravy a </w:t>
      </w:r>
      <w:r w:rsidR="00CC7709">
        <w:rPr>
          <w:rFonts w:cs="Arial"/>
          <w:sz w:val="22"/>
          <w:szCs w:val="22"/>
        </w:rPr>
        <w:t xml:space="preserve">realizace akcí </w:t>
      </w:r>
      <w:r w:rsidR="00CC7709">
        <w:rPr>
          <w:rFonts w:cs="Arial"/>
          <w:sz w:val="22"/>
          <w:szCs w:val="22"/>
        </w:rPr>
        <w:lastRenderedPageBreak/>
        <w:t xml:space="preserve">měly mít </w:t>
      </w:r>
      <w:r w:rsidR="00A7525E">
        <w:rPr>
          <w:rFonts w:cs="Arial"/>
          <w:sz w:val="22"/>
          <w:szCs w:val="22"/>
        </w:rPr>
        <w:t>srovnávací</w:t>
      </w:r>
      <w:r w:rsidR="00CC7709">
        <w:rPr>
          <w:rFonts w:cs="Arial"/>
          <w:sz w:val="22"/>
          <w:szCs w:val="22"/>
        </w:rPr>
        <w:t xml:space="preserve"> funkci.</w:t>
      </w:r>
      <w:r w:rsidR="00A7525E">
        <w:rPr>
          <w:rFonts w:cs="Arial"/>
          <w:sz w:val="22"/>
          <w:szCs w:val="22"/>
        </w:rPr>
        <w:t xml:space="preserve"> Podle zásad jejich používání měly být zdůvodňovány rozdíly cen proti cenám stanovený</w:t>
      </w:r>
      <w:r w:rsidR="0037324C">
        <w:rPr>
          <w:rFonts w:cs="Arial"/>
          <w:sz w:val="22"/>
          <w:szCs w:val="22"/>
        </w:rPr>
        <w:t>m</w:t>
      </w:r>
      <w:r w:rsidR="00A7525E">
        <w:rPr>
          <w:rFonts w:cs="Arial"/>
          <w:sz w:val="22"/>
          <w:szCs w:val="22"/>
        </w:rPr>
        <w:t xml:space="preserve"> podle cenových normativů.</w:t>
      </w:r>
      <w:r w:rsidR="00CC7709">
        <w:rPr>
          <w:rFonts w:cs="Arial"/>
          <w:sz w:val="22"/>
          <w:szCs w:val="22"/>
        </w:rPr>
        <w:t xml:space="preserve"> </w:t>
      </w:r>
      <w:r w:rsidR="00CC7709" w:rsidRPr="00CC7709">
        <w:rPr>
          <w:rFonts w:cs="Arial"/>
          <w:b/>
          <w:sz w:val="22"/>
          <w:szCs w:val="22"/>
        </w:rPr>
        <w:t xml:space="preserve">ŘSD </w:t>
      </w:r>
      <w:r w:rsidR="00A7525E">
        <w:rPr>
          <w:rFonts w:cs="Arial"/>
          <w:b/>
          <w:sz w:val="22"/>
          <w:szCs w:val="22"/>
        </w:rPr>
        <w:t>srovnávací</w:t>
      </w:r>
      <w:r w:rsidR="00CC7709" w:rsidRPr="00CC7709">
        <w:rPr>
          <w:rFonts w:cs="Arial"/>
          <w:b/>
          <w:sz w:val="22"/>
          <w:szCs w:val="22"/>
        </w:rPr>
        <w:t xml:space="preserve"> funkci cenových normativů nevyužívalo</w:t>
      </w:r>
      <w:r w:rsidR="00A7525E">
        <w:rPr>
          <w:rFonts w:cs="Arial"/>
          <w:sz w:val="22"/>
          <w:szCs w:val="22"/>
        </w:rPr>
        <w:t xml:space="preserve"> </w:t>
      </w:r>
      <w:r w:rsidR="00A7525E">
        <w:rPr>
          <w:rFonts w:cs="Arial"/>
          <w:b/>
          <w:sz w:val="22"/>
          <w:szCs w:val="22"/>
        </w:rPr>
        <w:t>a vyhodnocování odchylek neprovádělo</w:t>
      </w:r>
      <w:r w:rsidR="00A7525E" w:rsidRPr="004357DE">
        <w:rPr>
          <w:rFonts w:cs="Arial"/>
          <w:b/>
          <w:sz w:val="22"/>
          <w:szCs w:val="22"/>
        </w:rPr>
        <w:t>.</w:t>
      </w:r>
    </w:p>
    <w:p w:rsidR="00A7525E" w:rsidRDefault="00A7525E" w:rsidP="00AE5D74">
      <w:pPr>
        <w:jc w:val="both"/>
        <w:rPr>
          <w:rFonts w:cs="Arial"/>
          <w:sz w:val="22"/>
          <w:szCs w:val="22"/>
        </w:rPr>
      </w:pPr>
    </w:p>
    <w:p w:rsidR="00A7525E" w:rsidRDefault="00E65F0D" w:rsidP="00AE5D7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19012B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porovnání</w:t>
      </w:r>
      <w:r w:rsidR="0019012B">
        <w:rPr>
          <w:rFonts w:cs="Arial"/>
          <w:sz w:val="22"/>
          <w:szCs w:val="22"/>
        </w:rPr>
        <w:t xml:space="preserve"> průměrných</w:t>
      </w:r>
      <w:r w:rsidR="00826EEB">
        <w:rPr>
          <w:rFonts w:cs="Arial"/>
          <w:sz w:val="22"/>
          <w:szCs w:val="22"/>
        </w:rPr>
        <w:t xml:space="preserve"> jednotkových cen vybraných stavebních objektů (příloha č. 2)</w:t>
      </w:r>
      <w:r w:rsidR="007E685B">
        <w:rPr>
          <w:rFonts w:cs="Arial"/>
          <w:sz w:val="22"/>
          <w:szCs w:val="22"/>
        </w:rPr>
        <w:t xml:space="preserve"> 74 </w:t>
      </w:r>
      <w:r>
        <w:rPr>
          <w:rFonts w:cs="Arial"/>
          <w:sz w:val="22"/>
          <w:szCs w:val="22"/>
        </w:rPr>
        <w:t xml:space="preserve">staveb </w:t>
      </w:r>
      <w:r w:rsidR="00231891">
        <w:rPr>
          <w:rFonts w:cs="Arial"/>
          <w:sz w:val="22"/>
          <w:szCs w:val="22"/>
        </w:rPr>
        <w:t>s jejich</w:t>
      </w:r>
      <w:r>
        <w:rPr>
          <w:rFonts w:cs="Arial"/>
          <w:sz w:val="22"/>
          <w:szCs w:val="22"/>
        </w:rPr>
        <w:t xml:space="preserve"> oceněními podle cenových normativů vyplynul neúměrně vysoký rozptyl</w:t>
      </w:r>
      <w:r w:rsidR="0019012B">
        <w:rPr>
          <w:rFonts w:cs="Arial"/>
          <w:sz w:val="22"/>
          <w:szCs w:val="22"/>
        </w:rPr>
        <w:t xml:space="preserve"> hodnot od </w:t>
      </w:r>
      <w:r w:rsidR="00056F4B">
        <w:rPr>
          <w:rFonts w:cs="Arial"/>
          <w:sz w:val="22"/>
          <w:szCs w:val="22"/>
        </w:rPr>
        <w:t>−</w:t>
      </w:r>
      <w:r w:rsidR="00B4097F">
        <w:rPr>
          <w:rFonts w:cs="Arial"/>
          <w:sz w:val="22"/>
          <w:szCs w:val="22"/>
        </w:rPr>
        <w:t>28</w:t>
      </w:r>
      <w:r w:rsidR="0037324C">
        <w:rPr>
          <w:rFonts w:cs="Arial"/>
          <w:sz w:val="22"/>
          <w:szCs w:val="22"/>
        </w:rPr>
        <w:t> %</w:t>
      </w:r>
      <w:r>
        <w:rPr>
          <w:rFonts w:cs="Arial"/>
          <w:sz w:val="22"/>
          <w:szCs w:val="22"/>
        </w:rPr>
        <w:t xml:space="preserve"> do +</w:t>
      </w:r>
      <w:r w:rsidR="00B4097F">
        <w:rPr>
          <w:rFonts w:cs="Arial"/>
          <w:sz w:val="22"/>
          <w:szCs w:val="22"/>
        </w:rPr>
        <w:t>450</w:t>
      </w:r>
      <w:r>
        <w:rPr>
          <w:rFonts w:cs="Arial"/>
          <w:sz w:val="22"/>
          <w:szCs w:val="22"/>
        </w:rPr>
        <w:t xml:space="preserve"> %.</w:t>
      </w:r>
      <w:r w:rsidR="00B4097F">
        <w:rPr>
          <w:rFonts w:cs="Arial"/>
          <w:sz w:val="22"/>
          <w:szCs w:val="22"/>
        </w:rPr>
        <w:t xml:space="preserve"> U hlavních stavebních objektů</w:t>
      </w:r>
      <w:r w:rsidR="00B4097F">
        <w:rPr>
          <w:rStyle w:val="Znakapoznpodarou"/>
          <w:rFonts w:cs="Arial"/>
          <w:sz w:val="22"/>
          <w:szCs w:val="22"/>
        </w:rPr>
        <w:footnoteReference w:id="31"/>
      </w:r>
      <w:r w:rsidR="00B4097F">
        <w:rPr>
          <w:rFonts w:cs="Arial"/>
          <w:sz w:val="22"/>
          <w:szCs w:val="22"/>
        </w:rPr>
        <w:t xml:space="preserve"> byly průměrné jednotkové ceny až na jednu výjimku v průměru o 19 % nižší než ocenění podle cenových normativů, přestože zjištění NKÚ ukázala, že ceny staveb zvyšovala řada negativních vlivů. </w:t>
      </w:r>
      <w:r>
        <w:rPr>
          <w:rFonts w:cs="Arial"/>
          <w:sz w:val="22"/>
          <w:szCs w:val="22"/>
        </w:rPr>
        <w:t xml:space="preserve">To ukazuje, že </w:t>
      </w:r>
      <w:r w:rsidRPr="00E65F0D">
        <w:rPr>
          <w:rFonts w:cs="Arial"/>
          <w:b/>
          <w:sz w:val="22"/>
          <w:szCs w:val="22"/>
        </w:rPr>
        <w:t xml:space="preserve">cenové normativy nebyly zpracovány tak, aby byly objektivním nástrojem </w:t>
      </w:r>
      <w:r w:rsidR="003913FF">
        <w:rPr>
          <w:rFonts w:cs="Arial"/>
          <w:b/>
          <w:sz w:val="22"/>
          <w:szCs w:val="22"/>
        </w:rPr>
        <w:t>působícím k optimalizaci cen staveb</w:t>
      </w:r>
      <w:r w:rsidR="004D7484">
        <w:rPr>
          <w:rFonts w:cs="Arial"/>
          <w:b/>
          <w:sz w:val="22"/>
          <w:szCs w:val="22"/>
        </w:rPr>
        <w:t xml:space="preserve"> na</w:t>
      </w:r>
      <w:r w:rsidR="003913FF">
        <w:rPr>
          <w:rFonts w:cs="Arial"/>
          <w:b/>
          <w:sz w:val="22"/>
          <w:szCs w:val="22"/>
        </w:rPr>
        <w:t xml:space="preserve"> D a R</w:t>
      </w:r>
      <w:r w:rsidRPr="004357DE">
        <w:rPr>
          <w:rFonts w:cs="Arial"/>
          <w:b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Zpracování nov</w:t>
      </w:r>
      <w:r w:rsidR="00F85291">
        <w:rPr>
          <w:rFonts w:cs="Arial"/>
          <w:sz w:val="22"/>
          <w:szCs w:val="22"/>
        </w:rPr>
        <w:t>ých</w:t>
      </w:r>
      <w:r>
        <w:rPr>
          <w:rFonts w:cs="Arial"/>
          <w:sz w:val="22"/>
          <w:szCs w:val="22"/>
        </w:rPr>
        <w:t xml:space="preserve"> </w:t>
      </w:r>
      <w:r w:rsidR="005056D7">
        <w:rPr>
          <w:rFonts w:cs="Arial"/>
          <w:sz w:val="22"/>
          <w:szCs w:val="22"/>
        </w:rPr>
        <w:t>normativ</w:t>
      </w:r>
      <w:r w:rsidR="00F85291">
        <w:rPr>
          <w:rFonts w:cs="Arial"/>
          <w:sz w:val="22"/>
          <w:szCs w:val="22"/>
        </w:rPr>
        <w:t>ů</w:t>
      </w:r>
      <w:r>
        <w:rPr>
          <w:rFonts w:cs="Arial"/>
          <w:sz w:val="22"/>
          <w:szCs w:val="22"/>
        </w:rPr>
        <w:t xml:space="preserve"> ke kontrole cen staveb zadalo SFDI v roce 2012, jak je uvedeno </w:t>
      </w:r>
      <w:r w:rsidR="000465B1">
        <w:rPr>
          <w:rFonts w:cs="Arial"/>
          <w:sz w:val="22"/>
          <w:szCs w:val="22"/>
        </w:rPr>
        <w:t>v bodu 2.2 kontrolního závěru.</w:t>
      </w:r>
    </w:p>
    <w:p w:rsidR="00B4097F" w:rsidRDefault="00B4097F" w:rsidP="00AE5D74">
      <w:pPr>
        <w:jc w:val="both"/>
        <w:rPr>
          <w:rFonts w:cs="Arial"/>
          <w:sz w:val="22"/>
          <w:szCs w:val="22"/>
        </w:rPr>
      </w:pPr>
    </w:p>
    <w:p w:rsidR="008A6C63" w:rsidRDefault="008A6C63" w:rsidP="001671F8">
      <w:pPr>
        <w:jc w:val="both"/>
        <w:rPr>
          <w:rFonts w:cs="Arial"/>
          <w:sz w:val="22"/>
          <w:szCs w:val="22"/>
        </w:rPr>
      </w:pPr>
    </w:p>
    <w:p w:rsidR="002A31B4" w:rsidRPr="00EE300F" w:rsidRDefault="009C1291" w:rsidP="00F1578B">
      <w:pPr>
        <w:jc w:val="center"/>
        <w:rPr>
          <w:rFonts w:cs="Arial"/>
        </w:rPr>
      </w:pPr>
      <w:r w:rsidRPr="00EE300F">
        <w:rPr>
          <w:rFonts w:cs="Arial"/>
          <w:b/>
        </w:rPr>
        <w:t>III. Shrnutí a vyhodnocení</w:t>
      </w:r>
    </w:p>
    <w:p w:rsidR="00CA4CC3" w:rsidRDefault="00CA4CC3" w:rsidP="002041DA">
      <w:pPr>
        <w:jc w:val="both"/>
        <w:rPr>
          <w:rFonts w:cs="Arial"/>
          <w:sz w:val="22"/>
          <w:szCs w:val="22"/>
        </w:rPr>
      </w:pPr>
    </w:p>
    <w:p w:rsidR="00064524" w:rsidRDefault="00066D9F" w:rsidP="00064524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Kontrolní akcí byla prověřována výstavba dálnic a rychlostních komunikací, se zaměřením na</w:t>
      </w:r>
      <w:r w:rsidR="007C5222">
        <w:rPr>
          <w:rFonts w:cs="Arial"/>
          <w:b/>
          <w:sz w:val="22"/>
          <w:szCs w:val="22"/>
        </w:rPr>
        <w:t xml:space="preserve"> významné problémy, které ovlivňovaly náklady na přípravu a</w:t>
      </w:r>
      <w:r w:rsidR="00F85291">
        <w:rPr>
          <w:rFonts w:cs="Arial"/>
          <w:b/>
          <w:sz w:val="22"/>
          <w:szCs w:val="22"/>
        </w:rPr>
        <w:t> </w:t>
      </w:r>
      <w:r w:rsidR="007C5222">
        <w:rPr>
          <w:rFonts w:cs="Arial"/>
          <w:b/>
          <w:sz w:val="22"/>
          <w:szCs w:val="22"/>
        </w:rPr>
        <w:t>realizaci staveb</w:t>
      </w:r>
      <w:r>
        <w:rPr>
          <w:rFonts w:cs="Arial"/>
          <w:b/>
          <w:sz w:val="22"/>
          <w:szCs w:val="22"/>
        </w:rPr>
        <w:t>. Kontrolní zjištění</w:t>
      </w:r>
      <w:r w:rsidR="00644499">
        <w:rPr>
          <w:rFonts w:cs="Arial"/>
          <w:b/>
          <w:sz w:val="22"/>
          <w:szCs w:val="22"/>
        </w:rPr>
        <w:t xml:space="preserve"> vycházela</w:t>
      </w:r>
      <w:r>
        <w:rPr>
          <w:rFonts w:cs="Arial"/>
          <w:b/>
          <w:sz w:val="22"/>
          <w:szCs w:val="22"/>
        </w:rPr>
        <w:t xml:space="preserve"> z analýzy 74 staveb</w:t>
      </w:r>
      <w:r w:rsidR="002A546C">
        <w:rPr>
          <w:rFonts w:cs="Arial"/>
          <w:b/>
          <w:sz w:val="22"/>
          <w:szCs w:val="22"/>
        </w:rPr>
        <w:t xml:space="preserve"> </w:t>
      </w:r>
      <w:r w:rsidR="007E685B">
        <w:rPr>
          <w:rFonts w:cs="Arial"/>
          <w:b/>
          <w:sz w:val="22"/>
          <w:szCs w:val="22"/>
        </w:rPr>
        <w:t>o celkových nákladech 215 </w:t>
      </w:r>
      <w:r>
        <w:rPr>
          <w:rFonts w:cs="Arial"/>
          <w:b/>
          <w:sz w:val="22"/>
          <w:szCs w:val="22"/>
        </w:rPr>
        <w:t xml:space="preserve">mld. Kč. Podrobně z nich bylo kontrolováno 29 </w:t>
      </w:r>
      <w:r w:rsidR="007E685B">
        <w:rPr>
          <w:rFonts w:cs="Arial"/>
          <w:b/>
          <w:sz w:val="22"/>
          <w:szCs w:val="22"/>
        </w:rPr>
        <w:t>staveb o celkových nákladech 83 </w:t>
      </w:r>
      <w:r>
        <w:rPr>
          <w:rFonts w:cs="Arial"/>
          <w:b/>
          <w:sz w:val="22"/>
          <w:szCs w:val="22"/>
        </w:rPr>
        <w:t>mld. Kč. Průměrné</w:t>
      </w:r>
      <w:r w:rsidR="00D5262C">
        <w:rPr>
          <w:rFonts w:cs="Arial"/>
          <w:b/>
          <w:sz w:val="22"/>
          <w:szCs w:val="22"/>
        </w:rPr>
        <w:t xml:space="preserve"> celkové</w:t>
      </w:r>
      <w:r>
        <w:rPr>
          <w:rFonts w:cs="Arial"/>
          <w:b/>
          <w:sz w:val="22"/>
          <w:szCs w:val="22"/>
        </w:rPr>
        <w:t xml:space="preserve"> náklady na pořízení jednoho kilo</w:t>
      </w:r>
      <w:r w:rsidR="007E685B">
        <w:rPr>
          <w:rFonts w:cs="Arial"/>
          <w:b/>
          <w:sz w:val="22"/>
          <w:szCs w:val="22"/>
        </w:rPr>
        <w:t xml:space="preserve">metru </w:t>
      </w:r>
      <w:r w:rsidR="009D1AE6">
        <w:rPr>
          <w:rFonts w:cs="Arial"/>
          <w:b/>
          <w:sz w:val="22"/>
          <w:szCs w:val="22"/>
        </w:rPr>
        <w:t>byly u </w:t>
      </w:r>
      <w:r w:rsidR="007E685B">
        <w:rPr>
          <w:rFonts w:cs="Arial"/>
          <w:b/>
          <w:sz w:val="22"/>
          <w:szCs w:val="22"/>
        </w:rPr>
        <w:t xml:space="preserve">dálnic </w:t>
      </w:r>
      <w:r w:rsidR="001E71E7">
        <w:rPr>
          <w:rFonts w:cs="Arial"/>
          <w:b/>
          <w:sz w:val="22"/>
          <w:szCs w:val="22"/>
        </w:rPr>
        <w:t>416</w:t>
      </w:r>
      <w:r w:rsidR="007E685B">
        <w:rPr>
          <w:rFonts w:cs="Arial"/>
          <w:b/>
          <w:sz w:val="22"/>
          <w:szCs w:val="22"/>
        </w:rPr>
        <w:t> </w:t>
      </w:r>
      <w:r w:rsidR="0037324C">
        <w:rPr>
          <w:rFonts w:cs="Arial"/>
          <w:b/>
          <w:sz w:val="22"/>
          <w:szCs w:val="22"/>
        </w:rPr>
        <w:t>mil. </w:t>
      </w:r>
      <w:r w:rsidR="00D5262C">
        <w:rPr>
          <w:rFonts w:cs="Arial"/>
          <w:b/>
          <w:sz w:val="22"/>
          <w:szCs w:val="22"/>
        </w:rPr>
        <w:t>Kč a </w:t>
      </w:r>
      <w:r>
        <w:rPr>
          <w:rFonts w:cs="Arial"/>
          <w:b/>
          <w:sz w:val="22"/>
          <w:szCs w:val="22"/>
        </w:rPr>
        <w:t xml:space="preserve">u rychlostních komunikací </w:t>
      </w:r>
      <w:r w:rsidR="001E71E7">
        <w:rPr>
          <w:rFonts w:cs="Arial"/>
          <w:b/>
          <w:sz w:val="22"/>
          <w:szCs w:val="22"/>
        </w:rPr>
        <w:t xml:space="preserve">378 </w:t>
      </w:r>
      <w:r>
        <w:rPr>
          <w:rFonts w:cs="Arial"/>
          <w:b/>
          <w:sz w:val="22"/>
          <w:szCs w:val="22"/>
        </w:rPr>
        <w:t xml:space="preserve">mil. Kč. </w:t>
      </w:r>
    </w:p>
    <w:p w:rsidR="00064524" w:rsidRDefault="00064524" w:rsidP="00064524">
      <w:pPr>
        <w:jc w:val="both"/>
        <w:rPr>
          <w:rFonts w:cs="Arial"/>
          <w:b/>
          <w:sz w:val="22"/>
          <w:szCs w:val="22"/>
        </w:rPr>
      </w:pPr>
    </w:p>
    <w:p w:rsidR="00064524" w:rsidRDefault="007C5222" w:rsidP="00064524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Podle koncepčních záměrů MD z konce devadesátých let </w:t>
      </w:r>
      <w:r w:rsidR="00C5739C">
        <w:rPr>
          <w:rFonts w:cs="Arial"/>
          <w:b/>
          <w:sz w:val="22"/>
          <w:szCs w:val="22"/>
        </w:rPr>
        <w:t xml:space="preserve">již </w:t>
      </w:r>
      <w:r w:rsidR="007E685B">
        <w:rPr>
          <w:rFonts w:cs="Arial"/>
          <w:b/>
          <w:sz w:val="22"/>
          <w:szCs w:val="22"/>
        </w:rPr>
        <w:t>měla být síť dálnic a </w:t>
      </w:r>
      <w:r w:rsidRPr="00126713">
        <w:rPr>
          <w:rFonts w:cs="Arial"/>
          <w:b/>
          <w:sz w:val="22"/>
          <w:szCs w:val="22"/>
        </w:rPr>
        <w:t xml:space="preserve">rychlostních komunikací dokončena. </w:t>
      </w:r>
      <w:r>
        <w:rPr>
          <w:rFonts w:cs="Arial"/>
          <w:b/>
          <w:sz w:val="22"/>
          <w:szCs w:val="22"/>
        </w:rPr>
        <w:t>Podle d</w:t>
      </w:r>
      <w:r w:rsidRPr="00126713">
        <w:rPr>
          <w:rFonts w:cs="Arial"/>
          <w:b/>
          <w:sz w:val="22"/>
          <w:szCs w:val="22"/>
        </w:rPr>
        <w:t>osavadní</w:t>
      </w:r>
      <w:r>
        <w:rPr>
          <w:rFonts w:cs="Arial"/>
          <w:b/>
          <w:sz w:val="22"/>
          <w:szCs w:val="22"/>
        </w:rPr>
        <w:t>ho</w:t>
      </w:r>
      <w:r w:rsidRPr="00126713">
        <w:rPr>
          <w:rFonts w:cs="Arial"/>
          <w:b/>
          <w:sz w:val="22"/>
          <w:szCs w:val="22"/>
        </w:rPr>
        <w:t xml:space="preserve"> vývoj</w:t>
      </w:r>
      <w:r>
        <w:rPr>
          <w:rFonts w:cs="Arial"/>
          <w:b/>
          <w:sz w:val="22"/>
          <w:szCs w:val="22"/>
        </w:rPr>
        <w:t>e však</w:t>
      </w:r>
      <w:r w:rsidRPr="00126713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bude </w:t>
      </w:r>
      <w:r w:rsidRPr="00126713">
        <w:rPr>
          <w:rFonts w:cs="Arial"/>
          <w:b/>
          <w:sz w:val="22"/>
          <w:szCs w:val="22"/>
        </w:rPr>
        <w:t>dokončení trvat ještě</w:t>
      </w:r>
      <w:r>
        <w:rPr>
          <w:rFonts w:cs="Arial"/>
          <w:b/>
          <w:sz w:val="22"/>
          <w:szCs w:val="22"/>
        </w:rPr>
        <w:t xml:space="preserve"> minimálně</w:t>
      </w:r>
      <w:r w:rsidRPr="00126713">
        <w:rPr>
          <w:rFonts w:cs="Arial"/>
          <w:b/>
          <w:sz w:val="22"/>
          <w:szCs w:val="22"/>
        </w:rPr>
        <w:t xml:space="preserve"> 32 let, přičem</w:t>
      </w:r>
      <w:r>
        <w:rPr>
          <w:rFonts w:cs="Arial"/>
          <w:b/>
          <w:sz w:val="22"/>
          <w:szCs w:val="22"/>
        </w:rPr>
        <w:t xml:space="preserve">ž na dokončení </w:t>
      </w:r>
      <w:r w:rsidRPr="00126713">
        <w:rPr>
          <w:rFonts w:cs="Arial"/>
          <w:b/>
          <w:sz w:val="22"/>
          <w:szCs w:val="22"/>
        </w:rPr>
        <w:t>bude vynaloženo přes 520 mld. Kč, tj. o 64 % více, než bylo předpokládáno v roce 1999.</w:t>
      </w:r>
      <w:r w:rsidR="00BA73E5">
        <w:rPr>
          <w:rFonts w:cs="Arial"/>
          <w:b/>
          <w:sz w:val="22"/>
          <w:szCs w:val="22"/>
        </w:rPr>
        <w:t xml:space="preserve"> Jde mj. o důsledek</w:t>
      </w:r>
      <w:r w:rsidR="00126713">
        <w:rPr>
          <w:rFonts w:cs="Arial"/>
          <w:b/>
          <w:sz w:val="22"/>
          <w:szCs w:val="22"/>
        </w:rPr>
        <w:t xml:space="preserve"> nedostatků a problémů</w:t>
      </w:r>
      <w:r w:rsidR="00064524" w:rsidRPr="00064524">
        <w:rPr>
          <w:rFonts w:cs="Arial"/>
          <w:b/>
          <w:sz w:val="22"/>
          <w:szCs w:val="22"/>
        </w:rPr>
        <w:t xml:space="preserve">, které </w:t>
      </w:r>
      <w:r w:rsidR="00BA73E5">
        <w:rPr>
          <w:rFonts w:cs="Arial"/>
          <w:b/>
          <w:sz w:val="22"/>
          <w:szCs w:val="22"/>
        </w:rPr>
        <w:t>NKÚ</w:t>
      </w:r>
      <w:r w:rsidR="00064524" w:rsidRPr="00064524">
        <w:rPr>
          <w:rFonts w:cs="Arial"/>
          <w:b/>
          <w:sz w:val="22"/>
          <w:szCs w:val="22"/>
        </w:rPr>
        <w:t xml:space="preserve"> </w:t>
      </w:r>
      <w:r w:rsidR="0037324C">
        <w:rPr>
          <w:rFonts w:cs="Arial"/>
          <w:b/>
          <w:sz w:val="22"/>
          <w:szCs w:val="22"/>
        </w:rPr>
        <w:t>zjistil</w:t>
      </w:r>
      <w:r w:rsidR="00064524" w:rsidRPr="00064524">
        <w:rPr>
          <w:rFonts w:cs="Arial"/>
          <w:b/>
          <w:sz w:val="22"/>
          <w:szCs w:val="22"/>
        </w:rPr>
        <w:t xml:space="preserve"> v</w:t>
      </w:r>
      <w:r w:rsidR="00064524">
        <w:rPr>
          <w:rFonts w:cs="Arial"/>
          <w:b/>
          <w:sz w:val="22"/>
          <w:szCs w:val="22"/>
        </w:rPr>
        <w:t> </w:t>
      </w:r>
      <w:r w:rsidR="00064524" w:rsidRPr="00064524">
        <w:rPr>
          <w:rFonts w:cs="Arial"/>
          <w:b/>
          <w:sz w:val="22"/>
          <w:szCs w:val="22"/>
        </w:rPr>
        <w:t>koncepční</w:t>
      </w:r>
      <w:r w:rsidR="00064524">
        <w:rPr>
          <w:rFonts w:cs="Arial"/>
          <w:b/>
          <w:sz w:val="22"/>
          <w:szCs w:val="22"/>
        </w:rPr>
        <w:t xml:space="preserve"> a říd</w:t>
      </w:r>
      <w:r w:rsidR="0037324C">
        <w:rPr>
          <w:rFonts w:cs="Arial"/>
          <w:b/>
          <w:sz w:val="22"/>
          <w:szCs w:val="22"/>
        </w:rPr>
        <w:t>i</w:t>
      </w:r>
      <w:r w:rsidR="00064524">
        <w:rPr>
          <w:rFonts w:cs="Arial"/>
          <w:b/>
          <w:sz w:val="22"/>
          <w:szCs w:val="22"/>
        </w:rPr>
        <w:t>cí</w:t>
      </w:r>
      <w:r w:rsidR="00257267">
        <w:rPr>
          <w:rFonts w:cs="Arial"/>
          <w:b/>
          <w:sz w:val="22"/>
          <w:szCs w:val="22"/>
        </w:rPr>
        <w:t xml:space="preserve"> činnosti a</w:t>
      </w:r>
      <w:r w:rsidR="007E685B">
        <w:rPr>
          <w:rFonts w:cs="Arial"/>
          <w:b/>
          <w:sz w:val="22"/>
          <w:szCs w:val="22"/>
        </w:rPr>
        <w:t> </w:t>
      </w:r>
      <w:r w:rsidR="00064524">
        <w:rPr>
          <w:rFonts w:cs="Arial"/>
          <w:b/>
          <w:sz w:val="22"/>
          <w:szCs w:val="22"/>
        </w:rPr>
        <w:t>v oblasti nákladů</w:t>
      </w:r>
      <w:r w:rsidR="00257267">
        <w:rPr>
          <w:rFonts w:cs="Arial"/>
          <w:b/>
          <w:sz w:val="22"/>
          <w:szCs w:val="22"/>
        </w:rPr>
        <w:t xml:space="preserve"> na přípravu a realizaci</w:t>
      </w:r>
      <w:r w:rsidR="00257267" w:rsidRPr="00064524">
        <w:rPr>
          <w:rFonts w:cs="Arial"/>
          <w:b/>
          <w:sz w:val="22"/>
          <w:szCs w:val="22"/>
        </w:rPr>
        <w:t xml:space="preserve"> </w:t>
      </w:r>
      <w:r w:rsidR="00257267">
        <w:rPr>
          <w:rFonts w:cs="Arial"/>
          <w:b/>
          <w:sz w:val="22"/>
          <w:szCs w:val="22"/>
        </w:rPr>
        <w:t>staveb</w:t>
      </w:r>
      <w:r w:rsidR="000D18A3">
        <w:rPr>
          <w:rFonts w:cs="Arial"/>
          <w:b/>
          <w:sz w:val="22"/>
          <w:szCs w:val="22"/>
        </w:rPr>
        <w:t>. Především:</w:t>
      </w:r>
    </w:p>
    <w:p w:rsidR="00BA73E5" w:rsidRPr="00BA2696" w:rsidRDefault="00D9622C" w:rsidP="005D099E">
      <w:pPr>
        <w:pStyle w:val="Odstavecseseznamem"/>
        <w:numPr>
          <w:ilvl w:val="0"/>
          <w:numId w:val="9"/>
        </w:numPr>
        <w:ind w:left="284" w:hanging="284"/>
        <w:jc w:val="both"/>
        <w:rPr>
          <w:rFonts w:cs="Arial"/>
          <w:b/>
          <w:sz w:val="22"/>
          <w:szCs w:val="22"/>
        </w:rPr>
      </w:pPr>
      <w:r w:rsidRPr="00BA2696">
        <w:rPr>
          <w:rFonts w:cs="Arial"/>
          <w:b/>
          <w:sz w:val="22"/>
          <w:szCs w:val="22"/>
        </w:rPr>
        <w:t xml:space="preserve">MD nezajistilo, aby příprava a realizace staveb </w:t>
      </w:r>
      <w:r w:rsidR="00064524" w:rsidRPr="00BA2696">
        <w:rPr>
          <w:rFonts w:cs="Arial"/>
          <w:b/>
          <w:sz w:val="22"/>
          <w:szCs w:val="22"/>
        </w:rPr>
        <w:t>vycházel</w:t>
      </w:r>
      <w:r w:rsidR="00F85291">
        <w:rPr>
          <w:rFonts w:cs="Arial"/>
          <w:b/>
          <w:sz w:val="22"/>
          <w:szCs w:val="22"/>
        </w:rPr>
        <w:t>y</w:t>
      </w:r>
      <w:r w:rsidR="007F3FE2" w:rsidRPr="00BA2696">
        <w:rPr>
          <w:rFonts w:cs="Arial"/>
          <w:b/>
          <w:sz w:val="22"/>
          <w:szCs w:val="22"/>
        </w:rPr>
        <w:t xml:space="preserve"> ze závazné koncepce vymezující priority a naléhavost realizace ve vazbě na reálné</w:t>
      </w:r>
      <w:r w:rsidR="006C75E1" w:rsidRPr="00BA2696">
        <w:rPr>
          <w:rFonts w:cs="Arial"/>
          <w:b/>
          <w:sz w:val="22"/>
          <w:szCs w:val="22"/>
        </w:rPr>
        <w:t xml:space="preserve"> </w:t>
      </w:r>
      <w:r w:rsidR="000D18A3" w:rsidRPr="00BA2696">
        <w:rPr>
          <w:rFonts w:cs="Arial"/>
          <w:b/>
          <w:sz w:val="22"/>
          <w:szCs w:val="22"/>
        </w:rPr>
        <w:t>zdroje financování, přičemž o</w:t>
      </w:r>
      <w:r w:rsidR="00BA73E5" w:rsidRPr="00BA2696">
        <w:rPr>
          <w:rFonts w:cs="Arial"/>
          <w:b/>
          <w:sz w:val="22"/>
          <w:szCs w:val="22"/>
        </w:rPr>
        <w:t>d roku 2007</w:t>
      </w:r>
      <w:r w:rsidR="000D18A3" w:rsidRPr="00BA2696">
        <w:rPr>
          <w:rFonts w:cs="Arial"/>
          <w:b/>
          <w:sz w:val="22"/>
          <w:szCs w:val="22"/>
        </w:rPr>
        <w:t xml:space="preserve"> již nevycházel</w:t>
      </w:r>
      <w:r w:rsidR="00F85291">
        <w:rPr>
          <w:rFonts w:cs="Arial"/>
          <w:b/>
          <w:sz w:val="22"/>
          <w:szCs w:val="22"/>
        </w:rPr>
        <w:t>y</w:t>
      </w:r>
      <w:r w:rsidR="00BA73E5" w:rsidRPr="00BA2696">
        <w:rPr>
          <w:rFonts w:cs="Arial"/>
          <w:b/>
          <w:sz w:val="22"/>
          <w:szCs w:val="22"/>
        </w:rPr>
        <w:t xml:space="preserve"> z žádného schváleného střednědobého ani dlouhodobého koncepčního materiálu, přestože MD takových materiálů zpracovalo několik.</w:t>
      </w:r>
    </w:p>
    <w:p w:rsidR="005F3C9F" w:rsidRPr="00BA2696" w:rsidRDefault="005F3C9F" w:rsidP="005D099E">
      <w:pPr>
        <w:pStyle w:val="Odstavecseseznamem"/>
        <w:numPr>
          <w:ilvl w:val="0"/>
          <w:numId w:val="9"/>
        </w:numPr>
        <w:ind w:left="284" w:hanging="284"/>
        <w:jc w:val="both"/>
        <w:rPr>
          <w:rFonts w:cs="Arial"/>
          <w:b/>
          <w:sz w:val="22"/>
          <w:szCs w:val="22"/>
        </w:rPr>
      </w:pPr>
      <w:r w:rsidRPr="00BA2696">
        <w:rPr>
          <w:rFonts w:cs="Arial"/>
          <w:b/>
          <w:sz w:val="22"/>
          <w:szCs w:val="22"/>
        </w:rPr>
        <w:t xml:space="preserve">Pro zajištění koncepčních záměrů předpokládalo MD realizaci řady opatření, zejména v oblasti zabezpečení finančních zdrojů, která </w:t>
      </w:r>
      <w:r w:rsidR="00F85291">
        <w:rPr>
          <w:rFonts w:cs="Arial"/>
          <w:b/>
          <w:sz w:val="22"/>
          <w:szCs w:val="22"/>
        </w:rPr>
        <w:t xml:space="preserve">však </w:t>
      </w:r>
      <w:r w:rsidRPr="00BA2696">
        <w:rPr>
          <w:rFonts w:cs="Arial"/>
          <w:b/>
          <w:sz w:val="22"/>
          <w:szCs w:val="22"/>
        </w:rPr>
        <w:t xml:space="preserve">nebyla naplněna nebo jejich přínos byl minimální. </w:t>
      </w:r>
    </w:p>
    <w:p w:rsidR="00C82F60" w:rsidRPr="00BA2696" w:rsidRDefault="00C82F60" w:rsidP="005D099E">
      <w:pPr>
        <w:pStyle w:val="Odstavecseseznamem"/>
        <w:numPr>
          <w:ilvl w:val="0"/>
          <w:numId w:val="9"/>
        </w:numPr>
        <w:ind w:left="284" w:hanging="284"/>
        <w:jc w:val="both"/>
        <w:rPr>
          <w:rFonts w:cs="Arial"/>
          <w:b/>
          <w:sz w:val="22"/>
          <w:szCs w:val="22"/>
        </w:rPr>
      </w:pPr>
      <w:r w:rsidRPr="00BA2696">
        <w:rPr>
          <w:rFonts w:cs="Arial"/>
          <w:b/>
          <w:sz w:val="22"/>
          <w:szCs w:val="22"/>
        </w:rPr>
        <w:t>Stanovení reálné koncepce rozvoje dopravní infrastruktury mj. omezovala nízká úroveň správnosti predikce finančních zdrojů na financování rozvoje dopravní infrastruktury ve střednědobém a dlouhodobém časovém horizontu.</w:t>
      </w:r>
    </w:p>
    <w:p w:rsidR="00A32ADA" w:rsidRPr="00BA2696" w:rsidRDefault="00B72579" w:rsidP="005D099E">
      <w:pPr>
        <w:pStyle w:val="Odstavecseseznamem"/>
        <w:numPr>
          <w:ilvl w:val="0"/>
          <w:numId w:val="9"/>
        </w:numPr>
        <w:ind w:left="284" w:hanging="284"/>
        <w:jc w:val="both"/>
        <w:rPr>
          <w:rFonts w:cs="Arial"/>
          <w:b/>
          <w:sz w:val="22"/>
          <w:szCs w:val="22"/>
        </w:rPr>
      </w:pPr>
      <w:r w:rsidRPr="00BA2696">
        <w:rPr>
          <w:rFonts w:cs="Arial"/>
          <w:b/>
          <w:sz w:val="22"/>
          <w:szCs w:val="22"/>
        </w:rPr>
        <w:t xml:space="preserve">MD nevytvořilo </w:t>
      </w:r>
      <w:r w:rsidR="00C82F60" w:rsidRPr="00BA2696">
        <w:rPr>
          <w:rFonts w:cs="Arial"/>
          <w:b/>
          <w:sz w:val="22"/>
          <w:szCs w:val="22"/>
        </w:rPr>
        <w:t>podmí</w:t>
      </w:r>
      <w:r w:rsidR="007F3FE2" w:rsidRPr="00BA2696">
        <w:rPr>
          <w:rFonts w:cs="Arial"/>
          <w:b/>
          <w:sz w:val="22"/>
          <w:szCs w:val="22"/>
        </w:rPr>
        <w:t>nky pro</w:t>
      </w:r>
      <w:r w:rsidRPr="00BA2696">
        <w:rPr>
          <w:rFonts w:cs="Arial"/>
          <w:b/>
          <w:sz w:val="22"/>
          <w:szCs w:val="22"/>
        </w:rPr>
        <w:t xml:space="preserve"> účinné</w:t>
      </w:r>
      <w:r w:rsidR="007F3FE2" w:rsidRPr="00BA2696">
        <w:rPr>
          <w:rFonts w:cs="Arial"/>
          <w:b/>
          <w:sz w:val="22"/>
          <w:szCs w:val="22"/>
        </w:rPr>
        <w:t xml:space="preserve"> naplňování zákonné odpovědnosti SFDI za efektivní využití prostředků z rozpočtu</w:t>
      </w:r>
      <w:r w:rsidR="00F85291">
        <w:rPr>
          <w:rFonts w:cs="Arial"/>
          <w:b/>
          <w:sz w:val="22"/>
          <w:szCs w:val="22"/>
        </w:rPr>
        <w:t xml:space="preserve"> SFDI</w:t>
      </w:r>
      <w:r w:rsidR="007F3FE2" w:rsidRPr="00BA2696">
        <w:rPr>
          <w:rFonts w:cs="Arial"/>
          <w:b/>
          <w:sz w:val="22"/>
          <w:szCs w:val="22"/>
        </w:rPr>
        <w:t>.</w:t>
      </w:r>
    </w:p>
    <w:p w:rsidR="00257267" w:rsidRPr="00BA2696" w:rsidRDefault="00257267" w:rsidP="005D099E">
      <w:pPr>
        <w:pStyle w:val="Odstavecseseznamem"/>
        <w:numPr>
          <w:ilvl w:val="0"/>
          <w:numId w:val="9"/>
        </w:numPr>
        <w:ind w:left="284" w:hanging="284"/>
        <w:jc w:val="both"/>
        <w:rPr>
          <w:rFonts w:cs="Arial"/>
          <w:b/>
          <w:sz w:val="22"/>
          <w:szCs w:val="22"/>
        </w:rPr>
      </w:pPr>
      <w:r w:rsidRPr="00BA2696">
        <w:rPr>
          <w:rFonts w:cs="Arial"/>
          <w:b/>
          <w:sz w:val="22"/>
          <w:szCs w:val="22"/>
        </w:rPr>
        <w:t>K zabezpečení hospodárného a účelného financování staveb nevytvoř</w:t>
      </w:r>
      <w:r w:rsidR="007731C0" w:rsidRPr="00BA2696">
        <w:rPr>
          <w:rFonts w:cs="Arial"/>
          <w:b/>
          <w:sz w:val="22"/>
          <w:szCs w:val="22"/>
        </w:rPr>
        <w:t>ily ŘSD ani SFDI účinné mechaniz</w:t>
      </w:r>
      <w:r w:rsidRPr="00BA2696">
        <w:rPr>
          <w:rFonts w:cs="Arial"/>
          <w:b/>
          <w:sz w:val="22"/>
          <w:szCs w:val="22"/>
        </w:rPr>
        <w:t xml:space="preserve">my pro kontrolu a posuzování cen. </w:t>
      </w:r>
    </w:p>
    <w:p w:rsidR="00257267" w:rsidRPr="00BA2696" w:rsidRDefault="00257267" w:rsidP="005D099E">
      <w:pPr>
        <w:pStyle w:val="Odstavecseseznamem"/>
        <w:numPr>
          <w:ilvl w:val="0"/>
          <w:numId w:val="9"/>
        </w:numPr>
        <w:ind w:left="284" w:hanging="284"/>
        <w:jc w:val="both"/>
        <w:rPr>
          <w:rFonts w:cs="Arial"/>
          <w:b/>
          <w:sz w:val="22"/>
          <w:szCs w:val="22"/>
        </w:rPr>
      </w:pPr>
      <w:r w:rsidRPr="00BA2696">
        <w:rPr>
          <w:rFonts w:cs="Arial"/>
          <w:b/>
          <w:sz w:val="22"/>
          <w:szCs w:val="22"/>
        </w:rPr>
        <w:t xml:space="preserve">Účinnost opatření k zefektivnění výstavby dopravní infrastruktury, přijatých MD v období let 2010 až 2012 a v návaznosti na to </w:t>
      </w:r>
      <w:r w:rsidR="00F85291">
        <w:rPr>
          <w:rFonts w:cs="Arial"/>
          <w:b/>
          <w:sz w:val="22"/>
          <w:szCs w:val="22"/>
        </w:rPr>
        <w:t>i </w:t>
      </w:r>
      <w:r w:rsidRPr="00BA2696">
        <w:rPr>
          <w:rFonts w:cs="Arial"/>
          <w:b/>
          <w:sz w:val="22"/>
          <w:szCs w:val="22"/>
        </w:rPr>
        <w:t xml:space="preserve">ŘSD, se zatím významněji neprojevila.  </w:t>
      </w:r>
    </w:p>
    <w:p w:rsidR="00A32ADA" w:rsidRPr="00BA2696" w:rsidRDefault="00675842" w:rsidP="005D099E">
      <w:pPr>
        <w:pStyle w:val="Odstavecseseznamem"/>
        <w:numPr>
          <w:ilvl w:val="0"/>
          <w:numId w:val="9"/>
        </w:numPr>
        <w:ind w:left="284" w:hanging="284"/>
        <w:jc w:val="both"/>
        <w:rPr>
          <w:rFonts w:cs="Arial"/>
          <w:b/>
          <w:sz w:val="22"/>
          <w:szCs w:val="22"/>
        </w:rPr>
      </w:pPr>
      <w:r w:rsidRPr="00BA2696">
        <w:rPr>
          <w:rFonts w:cs="Arial"/>
          <w:b/>
          <w:sz w:val="22"/>
          <w:szCs w:val="22"/>
        </w:rPr>
        <w:t>Uplatňovaný s</w:t>
      </w:r>
      <w:r w:rsidR="00A32ADA" w:rsidRPr="00BA2696">
        <w:rPr>
          <w:rFonts w:cs="Arial"/>
          <w:b/>
          <w:sz w:val="22"/>
          <w:szCs w:val="22"/>
        </w:rPr>
        <w:t>ystém financování umožňoval, aby ŘSD zahajovalo</w:t>
      </w:r>
      <w:r w:rsidR="007E685B" w:rsidRPr="00BA2696">
        <w:rPr>
          <w:rFonts w:cs="Arial"/>
          <w:b/>
          <w:sz w:val="22"/>
          <w:szCs w:val="22"/>
        </w:rPr>
        <w:t xml:space="preserve"> přípravu staveb a </w:t>
      </w:r>
      <w:r w:rsidR="00A32ADA" w:rsidRPr="00BA2696">
        <w:rPr>
          <w:rFonts w:cs="Arial"/>
          <w:b/>
          <w:sz w:val="22"/>
          <w:szCs w:val="22"/>
        </w:rPr>
        <w:t xml:space="preserve">často i jejich realizaci bez závazného </w:t>
      </w:r>
      <w:r w:rsidRPr="00BA2696">
        <w:rPr>
          <w:rFonts w:cs="Arial"/>
          <w:b/>
          <w:sz w:val="22"/>
          <w:szCs w:val="22"/>
        </w:rPr>
        <w:t>pokrytí předpokládaných nákladů. N</w:t>
      </w:r>
      <w:r w:rsidR="00A32ADA" w:rsidRPr="00BA2696">
        <w:rPr>
          <w:rFonts w:cs="Arial"/>
          <w:b/>
          <w:sz w:val="22"/>
          <w:szCs w:val="22"/>
        </w:rPr>
        <w:t>avyšování</w:t>
      </w:r>
      <w:r w:rsidRPr="00BA2696">
        <w:rPr>
          <w:rFonts w:cs="Arial"/>
          <w:b/>
          <w:sz w:val="22"/>
          <w:szCs w:val="22"/>
        </w:rPr>
        <w:t xml:space="preserve"> předpokládaných</w:t>
      </w:r>
      <w:r w:rsidR="00A32ADA" w:rsidRPr="00BA2696">
        <w:rPr>
          <w:rFonts w:cs="Arial"/>
          <w:b/>
          <w:sz w:val="22"/>
          <w:szCs w:val="22"/>
        </w:rPr>
        <w:t xml:space="preserve"> nákladů v průběhu přípravy a realizace problém financování dále umocňovalo.</w:t>
      </w:r>
    </w:p>
    <w:p w:rsidR="00927207" w:rsidRPr="00BA2696" w:rsidRDefault="00951EAE" w:rsidP="005D099E">
      <w:pPr>
        <w:pStyle w:val="Odstavecseseznamem"/>
        <w:numPr>
          <w:ilvl w:val="0"/>
          <w:numId w:val="9"/>
        </w:numPr>
        <w:ind w:left="284" w:hanging="284"/>
        <w:jc w:val="both"/>
        <w:rPr>
          <w:rFonts w:cs="Arial"/>
          <w:b/>
          <w:sz w:val="22"/>
          <w:szCs w:val="22"/>
        </w:rPr>
      </w:pPr>
      <w:r w:rsidRPr="00BA2696">
        <w:rPr>
          <w:rFonts w:cs="Arial"/>
          <w:b/>
          <w:sz w:val="22"/>
          <w:szCs w:val="22"/>
        </w:rPr>
        <w:lastRenderedPageBreak/>
        <w:t>Realizace</w:t>
      </w:r>
      <w:r w:rsidR="00675842" w:rsidRPr="00BA2696">
        <w:rPr>
          <w:rFonts w:cs="Arial"/>
          <w:b/>
          <w:sz w:val="22"/>
          <w:szCs w:val="22"/>
        </w:rPr>
        <w:t xml:space="preserve"> staveb</w:t>
      </w:r>
      <w:r w:rsidR="00257267" w:rsidRPr="00BA2696">
        <w:rPr>
          <w:rFonts w:cs="Arial"/>
          <w:b/>
          <w:sz w:val="22"/>
          <w:szCs w:val="22"/>
        </w:rPr>
        <w:t xml:space="preserve"> trvala</w:t>
      </w:r>
      <w:r w:rsidR="00675842" w:rsidRPr="00BA2696">
        <w:rPr>
          <w:rFonts w:cs="Arial"/>
          <w:b/>
          <w:sz w:val="22"/>
          <w:szCs w:val="22"/>
        </w:rPr>
        <w:t xml:space="preserve"> od schválení investičního záměru</w:t>
      </w:r>
      <w:r w:rsidR="00257267" w:rsidRPr="00BA2696">
        <w:rPr>
          <w:rFonts w:cs="Arial"/>
          <w:b/>
          <w:sz w:val="22"/>
          <w:szCs w:val="22"/>
        </w:rPr>
        <w:t xml:space="preserve">, popř. od </w:t>
      </w:r>
      <w:r w:rsidR="00675842" w:rsidRPr="00BA2696">
        <w:rPr>
          <w:rFonts w:cs="Arial"/>
          <w:b/>
          <w:sz w:val="22"/>
          <w:szCs w:val="22"/>
        </w:rPr>
        <w:t>vypracování dokumentace pro územní</w:t>
      </w:r>
      <w:r w:rsidR="00257267" w:rsidRPr="00BA2696">
        <w:rPr>
          <w:rFonts w:cs="Arial"/>
          <w:b/>
          <w:sz w:val="22"/>
          <w:szCs w:val="22"/>
        </w:rPr>
        <w:t xml:space="preserve"> rozhodnutí</w:t>
      </w:r>
      <w:r w:rsidR="00675842" w:rsidRPr="00BA2696">
        <w:rPr>
          <w:rFonts w:cs="Arial"/>
          <w:b/>
          <w:sz w:val="22"/>
          <w:szCs w:val="22"/>
        </w:rPr>
        <w:t xml:space="preserve">, </w:t>
      </w:r>
      <w:r w:rsidR="00927207" w:rsidRPr="00BA2696">
        <w:rPr>
          <w:rFonts w:cs="Arial"/>
          <w:b/>
          <w:sz w:val="22"/>
          <w:szCs w:val="22"/>
        </w:rPr>
        <w:t>neúměrně dlouho, nejčastěji se pohybovala kolem 12 let. Jedním z důvod</w:t>
      </w:r>
      <w:r w:rsidR="00C5739C">
        <w:rPr>
          <w:rFonts w:cs="Arial"/>
          <w:b/>
          <w:sz w:val="22"/>
          <w:szCs w:val="22"/>
        </w:rPr>
        <w:t>ů</w:t>
      </w:r>
      <w:r w:rsidR="00927207" w:rsidRPr="00BA2696">
        <w:rPr>
          <w:rFonts w:cs="Arial"/>
          <w:b/>
          <w:sz w:val="22"/>
          <w:szCs w:val="22"/>
        </w:rPr>
        <w:t xml:space="preserve"> byla slabší pozice státu v územních a stavebních řízeních a problémy související s majetkopr</w:t>
      </w:r>
      <w:r w:rsidR="007E685B" w:rsidRPr="00BA2696">
        <w:rPr>
          <w:rFonts w:cs="Arial"/>
          <w:b/>
          <w:sz w:val="22"/>
          <w:szCs w:val="22"/>
        </w:rPr>
        <w:t xml:space="preserve">ávním vypořádáním </w:t>
      </w:r>
      <w:r w:rsidR="0037324C">
        <w:rPr>
          <w:rFonts w:cs="Arial"/>
          <w:b/>
          <w:sz w:val="22"/>
          <w:szCs w:val="22"/>
        </w:rPr>
        <w:t>u </w:t>
      </w:r>
      <w:r w:rsidR="007E685B" w:rsidRPr="00BA2696">
        <w:rPr>
          <w:rFonts w:cs="Arial"/>
          <w:b/>
          <w:sz w:val="22"/>
          <w:szCs w:val="22"/>
        </w:rPr>
        <w:t>nemovitostí a </w:t>
      </w:r>
      <w:r w:rsidR="00927207" w:rsidRPr="00BA2696">
        <w:rPr>
          <w:rFonts w:cs="Arial"/>
          <w:b/>
          <w:sz w:val="22"/>
          <w:szCs w:val="22"/>
        </w:rPr>
        <w:t>pozemků.</w:t>
      </w:r>
      <w:r w:rsidR="00370161" w:rsidRPr="00BA2696">
        <w:rPr>
          <w:rFonts w:cs="Arial"/>
          <w:b/>
          <w:sz w:val="22"/>
          <w:szCs w:val="22"/>
        </w:rPr>
        <w:t xml:space="preserve"> Dalším důvodem byly procesní vady v územních a stavebních řízeních, které umožňovaly častá i několikerá</w:t>
      </w:r>
      <w:r w:rsidR="000D18A3" w:rsidRPr="00BA2696">
        <w:rPr>
          <w:rFonts w:cs="Arial"/>
          <w:b/>
          <w:sz w:val="22"/>
          <w:szCs w:val="22"/>
        </w:rPr>
        <w:t xml:space="preserve"> úspěšná</w:t>
      </w:r>
      <w:r w:rsidR="00370161" w:rsidRPr="00BA2696">
        <w:rPr>
          <w:rFonts w:cs="Arial"/>
          <w:b/>
          <w:sz w:val="22"/>
          <w:szCs w:val="22"/>
        </w:rPr>
        <w:t xml:space="preserve"> napadání vydaných rozhodnutí. </w:t>
      </w:r>
    </w:p>
    <w:p w:rsidR="00927207" w:rsidRPr="00BA2696" w:rsidRDefault="00927207" w:rsidP="005D099E">
      <w:pPr>
        <w:pStyle w:val="Odstavecseseznamem"/>
        <w:numPr>
          <w:ilvl w:val="0"/>
          <w:numId w:val="9"/>
        </w:numPr>
        <w:ind w:left="284" w:hanging="284"/>
        <w:jc w:val="both"/>
        <w:rPr>
          <w:rFonts w:cs="Arial"/>
          <w:b/>
          <w:sz w:val="22"/>
          <w:szCs w:val="22"/>
        </w:rPr>
      </w:pPr>
      <w:r w:rsidRPr="00BA2696">
        <w:rPr>
          <w:rFonts w:cs="Arial"/>
          <w:b/>
          <w:sz w:val="22"/>
          <w:szCs w:val="22"/>
        </w:rPr>
        <w:t>Předpokládané stavební náklady se v průběhu ú</w:t>
      </w:r>
      <w:r w:rsidR="007E685B" w:rsidRPr="00BA2696">
        <w:rPr>
          <w:rFonts w:cs="Arial"/>
          <w:b/>
          <w:sz w:val="22"/>
          <w:szCs w:val="22"/>
        </w:rPr>
        <w:t>zemních řízení zvýšily o</w:t>
      </w:r>
      <w:r w:rsidR="00F85291">
        <w:rPr>
          <w:rFonts w:cs="Arial"/>
          <w:b/>
          <w:sz w:val="22"/>
          <w:szCs w:val="22"/>
        </w:rPr>
        <w:t> </w:t>
      </w:r>
      <w:r w:rsidR="007E685B" w:rsidRPr="00BA2696">
        <w:rPr>
          <w:rFonts w:cs="Arial"/>
          <w:b/>
          <w:sz w:val="22"/>
          <w:szCs w:val="22"/>
        </w:rPr>
        <w:t>68</w:t>
      </w:r>
      <w:r w:rsidR="00F85291">
        <w:rPr>
          <w:rFonts w:cs="Arial"/>
          <w:b/>
          <w:sz w:val="22"/>
          <w:szCs w:val="22"/>
        </w:rPr>
        <w:t> </w:t>
      </w:r>
      <w:r w:rsidR="007E685B" w:rsidRPr="00BA2696">
        <w:rPr>
          <w:rFonts w:cs="Arial"/>
          <w:b/>
          <w:sz w:val="22"/>
          <w:szCs w:val="22"/>
        </w:rPr>
        <w:t>% a </w:t>
      </w:r>
      <w:r w:rsidRPr="00BA2696">
        <w:rPr>
          <w:rFonts w:cs="Arial"/>
          <w:b/>
          <w:sz w:val="22"/>
          <w:szCs w:val="22"/>
        </w:rPr>
        <w:t>v průběhu stavebních řízení o 37 %. Jedním z důvodů bylo projektování neodůvodněných stavebních objektů a technických řešení, které ŘSD akceptovalo</w:t>
      </w:r>
      <w:r w:rsidR="00564EBB" w:rsidRPr="00BA2696">
        <w:rPr>
          <w:rFonts w:cs="Arial"/>
          <w:b/>
          <w:sz w:val="22"/>
          <w:szCs w:val="22"/>
        </w:rPr>
        <w:t xml:space="preserve"> a v některých případech i požadovalo</w:t>
      </w:r>
      <w:r w:rsidRPr="00BA2696">
        <w:rPr>
          <w:rFonts w:cs="Arial"/>
          <w:b/>
          <w:sz w:val="22"/>
          <w:szCs w:val="22"/>
        </w:rPr>
        <w:t>. Dalším</w:t>
      </w:r>
      <w:r w:rsidR="00564EBB" w:rsidRPr="00BA2696">
        <w:rPr>
          <w:rFonts w:cs="Arial"/>
          <w:b/>
          <w:sz w:val="22"/>
          <w:szCs w:val="22"/>
        </w:rPr>
        <w:t xml:space="preserve"> důvodem</w:t>
      </w:r>
      <w:r w:rsidRPr="00BA2696">
        <w:rPr>
          <w:rFonts w:cs="Arial"/>
          <w:b/>
          <w:sz w:val="22"/>
          <w:szCs w:val="22"/>
        </w:rPr>
        <w:t xml:space="preserve"> </w:t>
      </w:r>
      <w:r w:rsidR="002736E5">
        <w:rPr>
          <w:rFonts w:cs="Arial"/>
          <w:b/>
          <w:sz w:val="22"/>
          <w:szCs w:val="22"/>
        </w:rPr>
        <w:t>bylo přijetí požadavků</w:t>
      </w:r>
      <w:r w:rsidRPr="00BA2696">
        <w:rPr>
          <w:rFonts w:cs="Arial"/>
          <w:b/>
          <w:sz w:val="22"/>
          <w:szCs w:val="22"/>
        </w:rPr>
        <w:t xml:space="preserve"> účastníků územních a stavebních řízení</w:t>
      </w:r>
      <w:r w:rsidR="00564EBB" w:rsidRPr="00BA2696">
        <w:rPr>
          <w:rFonts w:cs="Arial"/>
          <w:b/>
          <w:sz w:val="22"/>
          <w:szCs w:val="22"/>
        </w:rPr>
        <w:t>.</w:t>
      </w:r>
    </w:p>
    <w:p w:rsidR="001D37E1" w:rsidRPr="00BA2696" w:rsidRDefault="00B72579" w:rsidP="005D099E">
      <w:pPr>
        <w:pStyle w:val="Odstavecseseznamem"/>
        <w:numPr>
          <w:ilvl w:val="0"/>
          <w:numId w:val="9"/>
        </w:numPr>
        <w:ind w:left="284" w:hanging="284"/>
        <w:jc w:val="both"/>
        <w:rPr>
          <w:rFonts w:cs="Arial"/>
          <w:b/>
          <w:sz w:val="22"/>
          <w:szCs w:val="22"/>
        </w:rPr>
      </w:pPr>
      <w:r w:rsidRPr="00BA2696">
        <w:rPr>
          <w:rFonts w:cs="Arial"/>
          <w:b/>
          <w:sz w:val="22"/>
          <w:szCs w:val="22"/>
        </w:rPr>
        <w:t>ŘSD v rámci přípravy staveb</w:t>
      </w:r>
      <w:r w:rsidR="00BE2954" w:rsidRPr="00BA2696">
        <w:rPr>
          <w:rFonts w:cs="Arial"/>
          <w:b/>
          <w:sz w:val="22"/>
          <w:szCs w:val="22"/>
        </w:rPr>
        <w:t xml:space="preserve"> nevytvořilo předpoklady pro řádný průběh</w:t>
      </w:r>
      <w:r w:rsidRPr="00BA2696">
        <w:rPr>
          <w:rFonts w:cs="Arial"/>
          <w:b/>
          <w:sz w:val="22"/>
          <w:szCs w:val="22"/>
        </w:rPr>
        <w:t xml:space="preserve"> </w:t>
      </w:r>
      <w:r w:rsidR="002736E5">
        <w:rPr>
          <w:rFonts w:cs="Arial"/>
          <w:b/>
          <w:sz w:val="22"/>
          <w:szCs w:val="22"/>
        </w:rPr>
        <w:t xml:space="preserve">jejich </w:t>
      </w:r>
      <w:r w:rsidRPr="00BA2696">
        <w:rPr>
          <w:rFonts w:cs="Arial"/>
          <w:b/>
          <w:sz w:val="22"/>
          <w:szCs w:val="22"/>
        </w:rPr>
        <w:t>realizace</w:t>
      </w:r>
      <w:r w:rsidR="00370161" w:rsidRPr="00BA2696">
        <w:rPr>
          <w:rFonts w:cs="Arial"/>
          <w:b/>
          <w:sz w:val="22"/>
          <w:szCs w:val="22"/>
        </w:rPr>
        <w:t>.</w:t>
      </w:r>
      <w:r w:rsidR="00BE2954" w:rsidRPr="00BA2696">
        <w:rPr>
          <w:rFonts w:cs="Arial"/>
          <w:b/>
          <w:sz w:val="22"/>
          <w:szCs w:val="22"/>
        </w:rPr>
        <w:t xml:space="preserve"> </w:t>
      </w:r>
      <w:r w:rsidR="00370161" w:rsidRPr="00BA2696">
        <w:rPr>
          <w:rFonts w:cs="Arial"/>
          <w:b/>
          <w:sz w:val="22"/>
          <w:szCs w:val="22"/>
        </w:rPr>
        <w:t>D</w:t>
      </w:r>
      <w:r w:rsidR="00D9622C" w:rsidRPr="00BA2696">
        <w:rPr>
          <w:rFonts w:cs="Arial"/>
          <w:b/>
          <w:sz w:val="22"/>
          <w:szCs w:val="22"/>
        </w:rPr>
        <w:t>ocházelo</w:t>
      </w:r>
      <w:r w:rsidR="00BE2954" w:rsidRPr="00BA2696">
        <w:rPr>
          <w:rFonts w:cs="Arial"/>
          <w:b/>
          <w:sz w:val="22"/>
          <w:szCs w:val="22"/>
        </w:rPr>
        <w:t xml:space="preserve"> tak</w:t>
      </w:r>
      <w:r w:rsidR="00D9622C" w:rsidRPr="00BA2696">
        <w:rPr>
          <w:rFonts w:cs="Arial"/>
          <w:b/>
          <w:sz w:val="22"/>
          <w:szCs w:val="22"/>
        </w:rPr>
        <w:t xml:space="preserve"> k </w:t>
      </w:r>
      <w:r w:rsidR="00BE2954" w:rsidRPr="00BA2696">
        <w:rPr>
          <w:rFonts w:cs="Arial"/>
          <w:b/>
          <w:sz w:val="22"/>
          <w:szCs w:val="22"/>
        </w:rPr>
        <w:t>neodůvodněnému</w:t>
      </w:r>
      <w:r w:rsidR="00D9622C" w:rsidRPr="00BA2696">
        <w:rPr>
          <w:rFonts w:cs="Arial"/>
          <w:b/>
          <w:sz w:val="22"/>
          <w:szCs w:val="22"/>
        </w:rPr>
        <w:t xml:space="preserve"> množství </w:t>
      </w:r>
      <w:r w:rsidR="002736E5">
        <w:rPr>
          <w:rFonts w:cs="Arial"/>
          <w:b/>
          <w:sz w:val="22"/>
          <w:szCs w:val="22"/>
        </w:rPr>
        <w:t>změn (vícepracím a </w:t>
      </w:r>
      <w:proofErr w:type="spellStart"/>
      <w:r w:rsidR="00CA3A21" w:rsidRPr="00BA2696">
        <w:rPr>
          <w:rFonts w:cs="Arial"/>
          <w:b/>
          <w:sz w:val="22"/>
          <w:szCs w:val="22"/>
        </w:rPr>
        <w:t>méněpracím</w:t>
      </w:r>
      <w:proofErr w:type="spellEnd"/>
      <w:r w:rsidR="00CA3A21" w:rsidRPr="00BA2696">
        <w:rPr>
          <w:rFonts w:cs="Arial"/>
          <w:b/>
          <w:sz w:val="22"/>
          <w:szCs w:val="22"/>
        </w:rPr>
        <w:t>),</w:t>
      </w:r>
      <w:r w:rsidR="006F4053" w:rsidRPr="00BA2696">
        <w:rPr>
          <w:rFonts w:cs="Arial"/>
          <w:b/>
          <w:sz w:val="22"/>
          <w:szCs w:val="22"/>
        </w:rPr>
        <w:t xml:space="preserve"> přičemž</w:t>
      </w:r>
      <w:r w:rsidR="00CA3A21" w:rsidRPr="00BA2696">
        <w:rPr>
          <w:rFonts w:cs="Arial"/>
          <w:b/>
          <w:sz w:val="22"/>
          <w:szCs w:val="22"/>
        </w:rPr>
        <w:t xml:space="preserve"> nepředvídatelné víc</w:t>
      </w:r>
      <w:r w:rsidR="002736E5">
        <w:rPr>
          <w:rFonts w:cs="Arial"/>
          <w:b/>
          <w:sz w:val="22"/>
          <w:szCs w:val="22"/>
        </w:rPr>
        <w:t>epráce tvořily jen menší část z </w:t>
      </w:r>
      <w:r w:rsidR="00F85291">
        <w:rPr>
          <w:rFonts w:cs="Arial"/>
          <w:b/>
          <w:sz w:val="22"/>
          <w:szCs w:val="22"/>
        </w:rPr>
        <w:t xml:space="preserve">celkového objemu </w:t>
      </w:r>
      <w:r w:rsidR="00CA3A21" w:rsidRPr="00BA2696">
        <w:rPr>
          <w:rFonts w:cs="Arial"/>
          <w:b/>
          <w:sz w:val="22"/>
          <w:szCs w:val="22"/>
        </w:rPr>
        <w:t xml:space="preserve">víceprací. </w:t>
      </w:r>
    </w:p>
    <w:p w:rsidR="000B114F" w:rsidRPr="00BA2696" w:rsidRDefault="000B114F" w:rsidP="005D099E">
      <w:pPr>
        <w:pStyle w:val="Odstavecseseznamem"/>
        <w:numPr>
          <w:ilvl w:val="0"/>
          <w:numId w:val="9"/>
        </w:numPr>
        <w:ind w:left="284" w:hanging="284"/>
        <w:jc w:val="both"/>
        <w:rPr>
          <w:rFonts w:cs="Arial"/>
          <w:b/>
          <w:sz w:val="22"/>
          <w:szCs w:val="22"/>
        </w:rPr>
      </w:pPr>
      <w:r w:rsidRPr="00BA2696">
        <w:rPr>
          <w:rFonts w:cs="Arial"/>
          <w:b/>
          <w:sz w:val="22"/>
          <w:szCs w:val="22"/>
        </w:rPr>
        <w:t>Nedodržování zákona o veřejných zakázkách a další nedostatky byly zjištěny v oblasti veřejných zakázek zadávaných ŘSD.</w:t>
      </w:r>
    </w:p>
    <w:p w:rsidR="00064524" w:rsidRDefault="00064524" w:rsidP="00064524">
      <w:pPr>
        <w:jc w:val="both"/>
        <w:rPr>
          <w:rFonts w:cs="Arial"/>
          <w:b/>
          <w:sz w:val="22"/>
          <w:szCs w:val="22"/>
        </w:rPr>
      </w:pPr>
    </w:p>
    <w:p w:rsidR="00066D9F" w:rsidRDefault="00564EBB" w:rsidP="002041DA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Potenciál možných úspor v procesu výstavby dálnic a rychlostních komunikací, na který </w:t>
      </w:r>
      <w:r w:rsidR="0037324C">
        <w:rPr>
          <w:rFonts w:cs="Arial"/>
          <w:b/>
          <w:sz w:val="22"/>
          <w:szCs w:val="22"/>
        </w:rPr>
        <w:t>po</w:t>
      </w:r>
      <w:r>
        <w:rPr>
          <w:rFonts w:cs="Arial"/>
          <w:b/>
          <w:sz w:val="22"/>
          <w:szCs w:val="22"/>
        </w:rPr>
        <w:t>ukazují zjištění uvedená v tomto kontrolním závěru, lze</w:t>
      </w:r>
      <w:r w:rsidR="002B2260">
        <w:rPr>
          <w:rFonts w:cs="Arial"/>
          <w:b/>
          <w:sz w:val="22"/>
          <w:szCs w:val="22"/>
        </w:rPr>
        <w:t xml:space="preserve"> odhadnout v rozsahu 12 % až 20 </w:t>
      </w:r>
      <w:r>
        <w:rPr>
          <w:rFonts w:cs="Arial"/>
          <w:b/>
          <w:sz w:val="22"/>
          <w:szCs w:val="22"/>
        </w:rPr>
        <w:t>% z celkových nákladů staveb.</w:t>
      </w:r>
      <w:r w:rsidRPr="00564EBB">
        <w:rPr>
          <w:rFonts w:cs="Arial"/>
          <w:b/>
          <w:sz w:val="22"/>
          <w:szCs w:val="22"/>
        </w:rPr>
        <w:t xml:space="preserve"> </w:t>
      </w:r>
      <w:r w:rsidRPr="006C75E1">
        <w:rPr>
          <w:rFonts w:cs="Arial"/>
          <w:b/>
          <w:sz w:val="22"/>
          <w:szCs w:val="22"/>
        </w:rPr>
        <w:t>Pro ověření odhadu byly porovnány</w:t>
      </w:r>
      <w:r w:rsidR="00B37A03">
        <w:rPr>
          <w:rFonts w:cs="Arial"/>
          <w:b/>
          <w:sz w:val="22"/>
          <w:szCs w:val="22"/>
        </w:rPr>
        <w:t xml:space="preserve"> srovnatelné</w:t>
      </w:r>
      <w:r w:rsidRPr="006C75E1">
        <w:rPr>
          <w:rFonts w:cs="Arial"/>
          <w:b/>
          <w:sz w:val="22"/>
          <w:szCs w:val="22"/>
        </w:rPr>
        <w:t xml:space="preserve"> stavební náklady na výstavbu jednoho kilometru dálnic v České republice a v Německu. V České republice byla tato cena 3</w:t>
      </w:r>
      <w:r>
        <w:rPr>
          <w:rFonts w:cs="Arial"/>
          <w:b/>
          <w:sz w:val="22"/>
          <w:szCs w:val="22"/>
        </w:rPr>
        <w:t>55</w:t>
      </w:r>
      <w:r w:rsidR="005D099E">
        <w:rPr>
          <w:rFonts w:cs="Arial"/>
          <w:b/>
          <w:sz w:val="22"/>
          <w:szCs w:val="22"/>
        </w:rPr>
        <w:t> mil. Kč a v Německu 260 mil. </w:t>
      </w:r>
      <w:r w:rsidRPr="006C75E1">
        <w:rPr>
          <w:rFonts w:cs="Arial"/>
          <w:b/>
          <w:sz w:val="22"/>
          <w:szCs w:val="22"/>
        </w:rPr>
        <w:t>Kč</w:t>
      </w:r>
      <w:r w:rsidR="006D11E2">
        <w:rPr>
          <w:rStyle w:val="Znakapoznpodarou"/>
          <w:rFonts w:cs="Arial"/>
          <w:sz w:val="22"/>
          <w:szCs w:val="22"/>
        </w:rPr>
        <w:footnoteReference w:id="32"/>
      </w:r>
      <w:r>
        <w:rPr>
          <w:rFonts w:cs="Arial"/>
          <w:b/>
          <w:sz w:val="22"/>
          <w:szCs w:val="22"/>
        </w:rPr>
        <w:t>, tj. o </w:t>
      </w:r>
      <w:r w:rsidRPr="006C75E1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7</w:t>
      </w:r>
      <w:r w:rsidR="005D099E">
        <w:rPr>
          <w:rFonts w:cs="Arial"/>
          <w:b/>
          <w:sz w:val="22"/>
          <w:szCs w:val="22"/>
        </w:rPr>
        <w:t> </w:t>
      </w:r>
      <w:r w:rsidR="000B114F">
        <w:rPr>
          <w:rFonts w:cs="Arial"/>
          <w:b/>
          <w:sz w:val="22"/>
          <w:szCs w:val="22"/>
        </w:rPr>
        <w:t>% nižší.</w:t>
      </w:r>
    </w:p>
    <w:p w:rsidR="0037324C" w:rsidRPr="00EE60A7" w:rsidRDefault="0037324C" w:rsidP="0037324C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cs="Arial"/>
          <w:color w:val="000000" w:themeColor="text1"/>
          <w:sz w:val="22"/>
          <w:szCs w:val="22"/>
        </w:rPr>
      </w:pPr>
    </w:p>
    <w:p w:rsidR="0037324C" w:rsidRPr="006D48DE" w:rsidRDefault="0037324C" w:rsidP="0037324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  <w:sectPr w:rsidR="0037324C" w:rsidRPr="006D48DE" w:rsidSect="0037324C">
          <w:headerReference w:type="default" r:id="rId11"/>
          <w:footerReference w:type="even" r:id="rId12"/>
          <w:footerReference w:type="default" r:id="rId13"/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37324C" w:rsidRDefault="0037324C" w:rsidP="0037324C">
      <w:pPr>
        <w:widowControl w:val="0"/>
        <w:tabs>
          <w:tab w:val="left" w:pos="7020"/>
        </w:tabs>
        <w:jc w:val="right"/>
        <w:rPr>
          <w:rFonts w:eastAsia="Calibri" w:cs="Arial"/>
        </w:rPr>
      </w:pPr>
      <w:r w:rsidRPr="00DA38A8">
        <w:rPr>
          <w:rFonts w:eastAsia="Calibri" w:cs="Arial"/>
        </w:rPr>
        <w:lastRenderedPageBreak/>
        <w:t>Příloha č</w:t>
      </w:r>
      <w:r>
        <w:rPr>
          <w:rFonts w:eastAsia="Calibri" w:cs="Arial"/>
        </w:rPr>
        <w:t>. 1</w:t>
      </w:r>
    </w:p>
    <w:p w:rsidR="0037324C" w:rsidRDefault="0037324C" w:rsidP="0037324C">
      <w:pPr>
        <w:widowControl w:val="0"/>
        <w:tabs>
          <w:tab w:val="left" w:pos="7020"/>
        </w:tabs>
        <w:jc w:val="right"/>
        <w:rPr>
          <w:rFonts w:eastAsia="Calibri" w:cs="Arial"/>
        </w:rPr>
      </w:pPr>
    </w:p>
    <w:p w:rsidR="0037324C" w:rsidRPr="00AE1766" w:rsidRDefault="0037324C" w:rsidP="0037324C">
      <w:pPr>
        <w:widowControl w:val="0"/>
        <w:tabs>
          <w:tab w:val="left" w:pos="7020"/>
        </w:tabs>
        <w:jc w:val="center"/>
        <w:rPr>
          <w:rFonts w:eastAsia="Calibri" w:cs="Arial"/>
          <w:b/>
        </w:rPr>
      </w:pPr>
      <w:r w:rsidRPr="00AE1766">
        <w:rPr>
          <w:rFonts w:eastAsia="Calibri" w:cs="Arial"/>
          <w:b/>
        </w:rPr>
        <w:t xml:space="preserve">Přehled jednotkových </w:t>
      </w:r>
      <w:r>
        <w:rPr>
          <w:rFonts w:eastAsia="Calibri" w:cs="Arial"/>
          <w:b/>
        </w:rPr>
        <w:t>nákladů</w:t>
      </w:r>
      <w:r w:rsidRPr="00AE1766">
        <w:rPr>
          <w:rFonts w:eastAsia="Calibri" w:cs="Arial"/>
          <w:b/>
        </w:rPr>
        <w:t xml:space="preserve"> staveb </w:t>
      </w:r>
    </w:p>
    <w:p w:rsidR="00267D8F" w:rsidRDefault="00267D8F" w:rsidP="00267D8F">
      <w:pPr>
        <w:widowControl w:val="0"/>
        <w:tabs>
          <w:tab w:val="left" w:pos="7020"/>
        </w:tabs>
        <w:jc w:val="both"/>
        <w:rPr>
          <w:rFonts w:eastAsia="Calibri" w:cs="Arial"/>
        </w:rPr>
      </w:pPr>
    </w:p>
    <w:p w:rsidR="0037324C" w:rsidRDefault="0037324C" w:rsidP="0037324C">
      <w:pPr>
        <w:widowControl w:val="0"/>
        <w:tabs>
          <w:tab w:val="left" w:pos="7020"/>
        </w:tabs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>1. Dálnice</w:t>
      </w:r>
    </w:p>
    <w:p w:rsidR="0037324C" w:rsidRPr="00267D8F" w:rsidRDefault="0037324C" w:rsidP="00267D8F">
      <w:pPr>
        <w:widowControl w:val="0"/>
        <w:tabs>
          <w:tab w:val="left" w:pos="7020"/>
        </w:tabs>
        <w:jc w:val="both"/>
        <w:rPr>
          <w:rFonts w:eastAsia="Calibri" w:cs="Arial"/>
          <w:sz w:val="22"/>
          <w:szCs w:val="22"/>
        </w:rPr>
      </w:pPr>
    </w:p>
    <w:tbl>
      <w:tblPr>
        <w:tblStyle w:val="Mkatabulky"/>
        <w:tblW w:w="14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1191"/>
        <w:gridCol w:w="1441"/>
        <w:gridCol w:w="1441"/>
        <w:gridCol w:w="1441"/>
        <w:gridCol w:w="1441"/>
        <w:gridCol w:w="1442"/>
        <w:gridCol w:w="1352"/>
      </w:tblGrid>
      <w:tr w:rsidR="0037324C" w:rsidRPr="00267D8F" w:rsidTr="00267D8F">
        <w:tc>
          <w:tcPr>
            <w:tcW w:w="453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267D8F">
              <w:rPr>
                <w:rFonts w:cs="Arial"/>
                <w:b/>
                <w:sz w:val="20"/>
                <w:szCs w:val="20"/>
              </w:rPr>
              <w:t>Stavba</w:t>
            </w:r>
          </w:p>
        </w:tc>
        <w:tc>
          <w:tcPr>
            <w:tcW w:w="119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267D8F">
              <w:rPr>
                <w:rFonts w:cs="Arial"/>
                <w:b/>
                <w:sz w:val="20"/>
                <w:szCs w:val="20"/>
              </w:rPr>
              <w:t>Kategorie</w:t>
            </w:r>
          </w:p>
        </w:tc>
        <w:tc>
          <w:tcPr>
            <w:tcW w:w="8558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324C" w:rsidRPr="00267D8F" w:rsidRDefault="0037324C" w:rsidP="00F85291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267D8F">
              <w:rPr>
                <w:rFonts w:cs="Arial"/>
                <w:b/>
                <w:sz w:val="20"/>
                <w:szCs w:val="20"/>
              </w:rPr>
              <w:t xml:space="preserve">Jednotkové náklady </w:t>
            </w:r>
            <w:r w:rsidR="00F85291">
              <w:rPr>
                <w:rFonts w:cs="Arial"/>
                <w:b/>
                <w:sz w:val="20"/>
                <w:szCs w:val="20"/>
              </w:rPr>
              <w:t xml:space="preserve">bez DPH </w:t>
            </w:r>
            <w:r w:rsidRPr="00267D8F">
              <w:rPr>
                <w:rFonts w:cs="Arial"/>
                <w:b/>
                <w:sz w:val="20"/>
                <w:szCs w:val="20"/>
              </w:rPr>
              <w:t>(</w:t>
            </w:r>
            <w:r w:rsidR="00F85291">
              <w:rPr>
                <w:rFonts w:cs="Arial"/>
                <w:b/>
                <w:sz w:val="20"/>
                <w:szCs w:val="20"/>
              </w:rPr>
              <w:t>v </w:t>
            </w:r>
            <w:r w:rsidRPr="00267D8F">
              <w:rPr>
                <w:rFonts w:cs="Arial"/>
                <w:b/>
                <w:sz w:val="20"/>
                <w:szCs w:val="20"/>
              </w:rPr>
              <w:t>mil. Kč/km)</w:t>
            </w:r>
          </w:p>
        </w:tc>
      </w:tr>
      <w:tr w:rsidR="0037324C" w:rsidRPr="00267D8F" w:rsidTr="00267D8F">
        <w:tc>
          <w:tcPr>
            <w:tcW w:w="453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267D8F">
              <w:rPr>
                <w:rFonts w:cs="Arial"/>
                <w:b/>
                <w:sz w:val="20"/>
                <w:szCs w:val="20"/>
              </w:rPr>
              <w:t>Inženýrská činnost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267D8F">
              <w:rPr>
                <w:rFonts w:cs="Arial"/>
                <w:b/>
                <w:sz w:val="20"/>
                <w:szCs w:val="20"/>
              </w:rPr>
              <w:t xml:space="preserve">Projektová </w:t>
            </w:r>
            <w:proofErr w:type="spellStart"/>
            <w:r w:rsidRPr="00267D8F">
              <w:rPr>
                <w:rFonts w:cs="Arial"/>
                <w:b/>
                <w:sz w:val="20"/>
                <w:szCs w:val="20"/>
              </w:rPr>
              <w:t>dokum</w:t>
            </w:r>
            <w:proofErr w:type="spellEnd"/>
            <w:r w:rsidRPr="00267D8F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267D8F">
              <w:rPr>
                <w:rFonts w:cs="Arial"/>
                <w:b/>
                <w:sz w:val="20"/>
                <w:szCs w:val="20"/>
              </w:rPr>
              <w:t xml:space="preserve">Výkupy 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267D8F">
              <w:rPr>
                <w:rFonts w:cs="Arial"/>
                <w:b/>
                <w:sz w:val="20"/>
                <w:szCs w:val="20"/>
              </w:rPr>
              <w:t>Ostatní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267D8F">
              <w:rPr>
                <w:rFonts w:cs="Arial"/>
                <w:b/>
                <w:sz w:val="20"/>
                <w:szCs w:val="20"/>
              </w:rPr>
              <w:t>Stavební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267D8F">
              <w:rPr>
                <w:rFonts w:cs="Arial"/>
                <w:b/>
                <w:sz w:val="20"/>
                <w:szCs w:val="20"/>
              </w:rPr>
              <w:t>Celkem</w:t>
            </w:r>
          </w:p>
        </w:tc>
      </w:tr>
      <w:tr w:rsidR="0037324C" w:rsidRPr="00267D8F" w:rsidTr="00267D8F">
        <w:tc>
          <w:tcPr>
            <w:tcW w:w="4534" w:type="dxa"/>
            <w:tcBorders>
              <w:top w:val="single" w:sz="12" w:space="0" w:color="auto"/>
            </w:tcBorders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D1 0135 Kroměříž východ </w:t>
            </w:r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Říkovice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  <w:proofErr w:type="gramEnd"/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26,5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5,7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4,5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9,1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345,4</w:t>
            </w:r>
          </w:p>
        </w:tc>
        <w:tc>
          <w:tcPr>
            <w:tcW w:w="1352" w:type="dxa"/>
            <w:tcBorders>
              <w:top w:val="single" w:sz="12" w:space="0" w:color="auto"/>
            </w:tcBorders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378,8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D1 0136 Říkovice</w:t>
            </w:r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 xml:space="preserve"> –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Přerov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DSP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26,5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2,0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813,3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921,1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D1 0137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Přerov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Lipník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DSP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26,5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7,8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0,8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392,2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432,6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267D8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D3 0305/II Nová Hospoda –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Mezno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  <w:proofErr w:type="gramEnd"/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26,5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9,4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5,9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351,3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388,5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D3 0306/I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Mezno</w:t>
            </w:r>
            <w:proofErr w:type="gramEnd"/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Chotoviny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26,5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3,6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0,4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10,6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340,0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366,8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D3 0307 A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Tábor</w:t>
            </w:r>
            <w:proofErr w:type="gramEnd"/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Soběslav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1,8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9,1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4,1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243,7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272,4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267D8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D3 0307 B most přes rybník </w:t>
            </w:r>
            <w:proofErr w:type="spell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Koberný</w:t>
            </w:r>
            <w:proofErr w:type="spell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6,7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4,7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7,1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823,7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880,5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267D8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D3 0307 C most přes údolí </w:t>
            </w:r>
            <w:proofErr w:type="spell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Čern</w:t>
            </w:r>
            <w:proofErr w:type="spell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potoka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  <w:proofErr w:type="gramEnd"/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5,4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772,7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840,8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D3 0308 A Soběslav </w:t>
            </w:r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Veselí nad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Lužnicí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  <w:proofErr w:type="gramEnd"/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5,3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8,0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253,9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282,5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267D8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D3 0308 B most přes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Lužnici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  <w:proofErr w:type="gramEnd"/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10,4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1 372,3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1 414,8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D3 0308 C Veselí nad Lužnicí </w:t>
            </w:r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Bošilec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DSP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9,5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5,8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2,0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221,6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251,8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D3 0309/I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Bošilec</w:t>
            </w:r>
            <w:proofErr w:type="gramEnd"/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Ševětín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DSP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6,5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3,9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3,7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313,6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335,2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D3 0309/II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Ševětín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Borek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DÚR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4,6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3,6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2,0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0,8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177,2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188,2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D3 0309/III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Borek</w:t>
            </w:r>
            <w:proofErr w:type="gramEnd"/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Úsilné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DSP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7,3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6,6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2,5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525,4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557,4 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D3 0310/I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Úsilné</w:t>
            </w:r>
            <w:proofErr w:type="gramEnd"/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Hodějovice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DÚR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1,2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257,6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311,2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D3 0310/II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Hodějovice</w:t>
            </w:r>
            <w:proofErr w:type="gramEnd"/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Třebonín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DÚR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1,0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262,1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303,1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D5 0510/IB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Černice</w:t>
            </w:r>
            <w:proofErr w:type="gramEnd"/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Útušice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33,8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741,4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796,3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D8 0805 A </w:t>
            </w:r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trasa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Lovosice</w:t>
            </w:r>
            <w:proofErr w:type="gramEnd"/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Řehlovice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35,6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265,9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430,2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D8 0805 B </w:t>
            </w:r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m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ost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Vchynice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  <w:proofErr w:type="gramEnd"/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350,8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1 297,3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2 325,7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D8 0805 C </w:t>
            </w:r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m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ost </w:t>
            </w:r>
            <w:proofErr w:type="spell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Oparno</w:t>
            </w:r>
            <w:proofErr w:type="spell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326,9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2 003,2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D8 0805 D </w:t>
            </w:r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m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ost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Dobkovičky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  <w:proofErr w:type="gramEnd"/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5,1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4,7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148,3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695,0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1 160,5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D11 1104/2 D </w:t>
            </w:r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m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ost Žíželice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3,4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0,9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3,4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3,1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822,8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833,6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D11 1104/2 E </w:t>
            </w:r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m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ost Olešnice a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Rakousy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  <w:proofErr w:type="gramEnd"/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2,3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0,5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3,5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1,2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424,0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431,5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D11 1104/2 F </w:t>
            </w:r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hl. </w:t>
            </w:r>
            <w:proofErr w:type="spell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tr</w:t>
            </w:r>
            <w:proofErr w:type="spell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km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62,1 </w:t>
            </w:r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68,1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0,2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0,3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2,0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5,9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154,6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163,0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D11 1105/1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Chýšť</w:t>
            </w:r>
            <w:proofErr w:type="gramEnd"/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Osičky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1,9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2,2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2,8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6,0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225,7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238,6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D11 1105/2 Osičky </w:t>
            </w:r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Hradec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Králové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  <w:proofErr w:type="gramEnd"/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2,7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2,2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368,5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390,6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F8529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D11 1106 Hr. Králové </w:t>
            </w:r>
            <w:r w:rsidR="00F8529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Smiřice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DSP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1,4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3,6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423,9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457,0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5A567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 xml:space="preserve">D11 1107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Smiřice</w:t>
            </w:r>
            <w:proofErr w:type="gramEnd"/>
            <w:r w:rsidR="005A567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Jaroměř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DSP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1,4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5,6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539,1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562,7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5A567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D47 4704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Lipník</w:t>
            </w:r>
            <w:proofErr w:type="gramEnd"/>
            <w:r w:rsidR="005A567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Bělotín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5,9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6,0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7,4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12,5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515,2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547,0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5A567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D47 4705 Bělotín </w:t>
            </w:r>
            <w:r w:rsidR="005A567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Hladké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Životice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  <w:proofErr w:type="gramEnd"/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3,2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8,6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5,3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9,3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219,8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246,2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5A567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D47 4706 Hladké Životice </w:t>
            </w:r>
            <w:r w:rsidR="005A567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Bílovec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  <w:proofErr w:type="gramEnd"/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5,7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5,4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8,9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262,7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294,1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5A567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D47 4707 Bílovec </w:t>
            </w:r>
            <w:r w:rsidR="005A567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Ostrava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Rudná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  <w:proofErr w:type="gramEnd"/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9,5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21,7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602,5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673,3</w:t>
            </w:r>
          </w:p>
        </w:tc>
      </w:tr>
      <w:tr w:rsidR="0037324C" w:rsidRPr="00267D8F" w:rsidTr="00267D8F">
        <w:tc>
          <w:tcPr>
            <w:tcW w:w="4534" w:type="dxa"/>
            <w:vAlign w:val="center"/>
          </w:tcPr>
          <w:p w:rsidR="0037324C" w:rsidRPr="00267D8F" w:rsidRDefault="0037324C" w:rsidP="005A567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D47 47092 Bohumín </w:t>
            </w:r>
            <w:r w:rsidR="005A567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státní hr. ČR/PR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19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 27,5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474,6</w:t>
            </w:r>
          </w:p>
        </w:tc>
        <w:tc>
          <w:tcPr>
            <w:tcW w:w="135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571,5</w:t>
            </w:r>
          </w:p>
        </w:tc>
      </w:tr>
      <w:tr w:rsidR="00267D8F" w:rsidRPr="00267D8F" w:rsidTr="00267D8F">
        <w:tc>
          <w:tcPr>
            <w:tcW w:w="5725" w:type="dxa"/>
            <w:gridSpan w:val="2"/>
            <w:vAlign w:val="center"/>
          </w:tcPr>
          <w:p w:rsidR="00267D8F" w:rsidRPr="00267D8F" w:rsidRDefault="00267D8F" w:rsidP="00267D8F">
            <w:pPr>
              <w:rPr>
                <w:rFonts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Vážený průměr za stavby na dálnicích</w:t>
            </w:r>
          </w:p>
        </w:tc>
        <w:tc>
          <w:tcPr>
            <w:tcW w:w="1441" w:type="dxa"/>
            <w:vAlign w:val="center"/>
          </w:tcPr>
          <w:p w:rsidR="00267D8F" w:rsidRPr="00267D8F" w:rsidRDefault="00267D8F" w:rsidP="00267D8F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5,5</w:t>
            </w:r>
          </w:p>
        </w:tc>
        <w:tc>
          <w:tcPr>
            <w:tcW w:w="1441" w:type="dxa"/>
            <w:vAlign w:val="center"/>
          </w:tcPr>
          <w:p w:rsidR="00267D8F" w:rsidRPr="00267D8F" w:rsidRDefault="00267D8F" w:rsidP="00267D8F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4,9</w:t>
            </w:r>
          </w:p>
        </w:tc>
        <w:tc>
          <w:tcPr>
            <w:tcW w:w="1441" w:type="dxa"/>
            <w:vAlign w:val="center"/>
          </w:tcPr>
          <w:p w:rsidR="00267D8F" w:rsidRPr="00267D8F" w:rsidRDefault="00267D8F" w:rsidP="00267D8F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441" w:type="dxa"/>
            <w:vAlign w:val="center"/>
          </w:tcPr>
          <w:p w:rsidR="00267D8F" w:rsidRPr="00267D8F" w:rsidRDefault="00267D8F" w:rsidP="00267D8F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11,6</w:t>
            </w:r>
          </w:p>
        </w:tc>
        <w:tc>
          <w:tcPr>
            <w:tcW w:w="1442" w:type="dxa"/>
            <w:vAlign w:val="center"/>
          </w:tcPr>
          <w:p w:rsidR="00267D8F" w:rsidRPr="00267D8F" w:rsidRDefault="00267D8F" w:rsidP="00267D8F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368,2</w:t>
            </w:r>
          </w:p>
        </w:tc>
        <w:tc>
          <w:tcPr>
            <w:tcW w:w="1352" w:type="dxa"/>
            <w:vAlign w:val="center"/>
          </w:tcPr>
          <w:p w:rsidR="00267D8F" w:rsidRPr="00267D8F" w:rsidRDefault="00267D8F" w:rsidP="00267D8F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416,3</w:t>
            </w:r>
          </w:p>
        </w:tc>
      </w:tr>
    </w:tbl>
    <w:p w:rsidR="0037324C" w:rsidRPr="00267D8F" w:rsidRDefault="0037324C" w:rsidP="0037324C">
      <w:pPr>
        <w:widowControl w:val="0"/>
        <w:tabs>
          <w:tab w:val="left" w:pos="7020"/>
        </w:tabs>
        <w:jc w:val="both"/>
        <w:rPr>
          <w:rFonts w:eastAsia="Calibri" w:cs="Arial"/>
          <w:sz w:val="22"/>
          <w:szCs w:val="22"/>
        </w:rPr>
      </w:pPr>
    </w:p>
    <w:p w:rsidR="0037324C" w:rsidRDefault="0037324C" w:rsidP="0037324C">
      <w:pPr>
        <w:widowControl w:val="0"/>
        <w:tabs>
          <w:tab w:val="left" w:pos="7020"/>
        </w:tabs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>2. Rychlostní komunikace</w:t>
      </w:r>
    </w:p>
    <w:p w:rsidR="0037324C" w:rsidRPr="00267D8F" w:rsidRDefault="0037324C" w:rsidP="00267D8F">
      <w:pPr>
        <w:widowControl w:val="0"/>
        <w:tabs>
          <w:tab w:val="left" w:pos="7020"/>
        </w:tabs>
        <w:rPr>
          <w:rFonts w:eastAsia="Calibri" w:cs="Arial"/>
          <w:sz w:val="22"/>
          <w:szCs w:val="22"/>
        </w:rPr>
      </w:pPr>
    </w:p>
    <w:tbl>
      <w:tblPr>
        <w:tblStyle w:val="Mkatabulky"/>
        <w:tblW w:w="14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247"/>
        <w:gridCol w:w="1299"/>
        <w:gridCol w:w="1441"/>
        <w:gridCol w:w="1441"/>
        <w:gridCol w:w="1441"/>
        <w:gridCol w:w="1441"/>
        <w:gridCol w:w="1442"/>
      </w:tblGrid>
      <w:tr w:rsidR="0037324C" w:rsidRPr="00267D8F" w:rsidTr="00267D8F">
        <w:trPr>
          <w:cantSplit/>
          <w:tblHeader/>
        </w:trPr>
        <w:tc>
          <w:tcPr>
            <w:tcW w:w="453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267D8F">
              <w:rPr>
                <w:rFonts w:cs="Arial"/>
                <w:b/>
                <w:sz w:val="20"/>
                <w:szCs w:val="20"/>
              </w:rPr>
              <w:t>Stavba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267D8F">
              <w:rPr>
                <w:rFonts w:cs="Arial"/>
                <w:b/>
                <w:sz w:val="20"/>
                <w:szCs w:val="20"/>
              </w:rPr>
              <w:t>Kategorie</w:t>
            </w:r>
          </w:p>
        </w:tc>
        <w:tc>
          <w:tcPr>
            <w:tcW w:w="8505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7324C" w:rsidRPr="00267D8F" w:rsidRDefault="0037324C" w:rsidP="005A5671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267D8F">
              <w:rPr>
                <w:rFonts w:cs="Arial"/>
                <w:b/>
                <w:sz w:val="20"/>
                <w:szCs w:val="20"/>
              </w:rPr>
              <w:t>Jednotkové náklady</w:t>
            </w:r>
            <w:r w:rsidR="005A5671">
              <w:rPr>
                <w:rFonts w:cs="Arial"/>
                <w:b/>
                <w:sz w:val="20"/>
                <w:szCs w:val="20"/>
              </w:rPr>
              <w:t xml:space="preserve"> bez DPH</w:t>
            </w:r>
            <w:r w:rsidRPr="00267D8F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5A5671">
              <w:rPr>
                <w:rFonts w:cs="Arial"/>
                <w:b/>
                <w:sz w:val="20"/>
                <w:szCs w:val="20"/>
              </w:rPr>
              <w:t>v </w:t>
            </w:r>
            <w:r w:rsidRPr="00267D8F">
              <w:rPr>
                <w:rFonts w:cs="Arial"/>
                <w:b/>
                <w:sz w:val="20"/>
                <w:szCs w:val="20"/>
              </w:rPr>
              <w:t>mil. Kč/km)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267D8F">
              <w:rPr>
                <w:rFonts w:cs="Arial"/>
                <w:b/>
                <w:sz w:val="20"/>
                <w:szCs w:val="20"/>
              </w:rPr>
              <w:t>Inženýrská činnost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267D8F">
              <w:rPr>
                <w:rFonts w:cs="Arial"/>
                <w:b/>
                <w:sz w:val="20"/>
                <w:szCs w:val="20"/>
              </w:rPr>
              <w:t xml:space="preserve">Projektová </w:t>
            </w:r>
            <w:proofErr w:type="spellStart"/>
            <w:r w:rsidRPr="00267D8F">
              <w:rPr>
                <w:rFonts w:cs="Arial"/>
                <w:b/>
                <w:sz w:val="20"/>
                <w:szCs w:val="20"/>
              </w:rPr>
              <w:t>dokum</w:t>
            </w:r>
            <w:proofErr w:type="spellEnd"/>
            <w:r w:rsidRPr="00267D8F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267D8F">
              <w:rPr>
                <w:rFonts w:cs="Arial"/>
                <w:b/>
                <w:sz w:val="20"/>
                <w:szCs w:val="20"/>
              </w:rPr>
              <w:t xml:space="preserve">Výkupy 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267D8F">
              <w:rPr>
                <w:rFonts w:cs="Arial"/>
                <w:b/>
                <w:sz w:val="20"/>
                <w:szCs w:val="20"/>
              </w:rPr>
              <w:t>Ostatní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267D8F">
              <w:rPr>
                <w:rFonts w:cs="Arial"/>
                <w:b/>
                <w:sz w:val="20"/>
                <w:szCs w:val="20"/>
              </w:rPr>
              <w:t>Stavební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324C" w:rsidRPr="00267D8F" w:rsidRDefault="0037324C" w:rsidP="00267D8F">
            <w:pPr>
              <w:widowControl w:val="0"/>
              <w:tabs>
                <w:tab w:val="left" w:pos="702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267D8F">
              <w:rPr>
                <w:rFonts w:cs="Arial"/>
                <w:b/>
                <w:sz w:val="20"/>
                <w:szCs w:val="20"/>
              </w:rPr>
              <w:t>Celkem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tcBorders>
              <w:top w:val="single" w:sz="12" w:space="0" w:color="auto"/>
            </w:tcBorders>
            <w:vAlign w:val="center"/>
          </w:tcPr>
          <w:p w:rsidR="0037324C" w:rsidRPr="00267D8F" w:rsidRDefault="0037324C" w:rsidP="005A567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R1 512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D1</w:t>
            </w:r>
            <w:proofErr w:type="gramEnd"/>
            <w:r w:rsidR="005A567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Vestec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27,5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155,1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37324C" w:rsidRPr="00267D8F" w:rsidRDefault="0037324C" w:rsidP="005A5671">
            <w:pPr>
              <w:ind w:right="405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480,4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1 007,2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5A567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R1 513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Vestec</w:t>
            </w:r>
            <w:proofErr w:type="gramEnd"/>
            <w:r w:rsidR="005A567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Lahovice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27,5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128,6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405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611,2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849,2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5A567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R1 514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Lahovice</w:t>
            </w:r>
            <w:proofErr w:type="gramEnd"/>
            <w:r w:rsidR="005A567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Slivenec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27,5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405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1 443,7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1 754,9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5A567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R3 0311 Třebonín </w:t>
            </w:r>
            <w:r w:rsidR="005A567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Kaplice nádraží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DÚR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2,6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3,9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405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203,4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211,6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5A567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R3 0312/I Kaplice nádraží </w:t>
            </w:r>
            <w:r w:rsidR="005A567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Nažidla</w:t>
            </w:r>
            <w:proofErr w:type="spell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DÚR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1,8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2,6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405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239,7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246,1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5A5671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R3 0312/II </w:t>
            </w:r>
            <w:proofErr w:type="spell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Nažidla</w:t>
            </w:r>
            <w:proofErr w:type="spell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="005A5671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Dolní Dvořiště st. hr.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DÚR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3,6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4,5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405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329,9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338,8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5A5671">
            <w:pPr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R4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Milín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Lety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DSP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2,0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4,7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230,2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236,9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R4 Skalka 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křiž. II/118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DSP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22,5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2,6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7,2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167,9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177,8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R4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Mirotice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spellStart"/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Třebkov</w:t>
            </w:r>
            <w:proofErr w:type="spellEnd"/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22,5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2,3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2,8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162,2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167,3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R4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Čimelice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Mirotice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DSP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3,3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265,5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268,8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267D8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R6 Nové Sedlo –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Jenišov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  <w:proofErr w:type="gramEnd"/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24,5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3,2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5,2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405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367,0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385,3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267D8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R6 Nové Sedlo –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Sokolov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  <w:proofErr w:type="gramEnd"/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24,5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2,8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5,8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405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288,3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302,8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R6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Sokolov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Tisová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24,5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0,4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14,6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405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422,2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448,8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R6 Tisová 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Kamenný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Dvůr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  <w:proofErr w:type="gramEnd"/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24,5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2,4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2,0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405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333,6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344,8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tabs>
                <w:tab w:val="left" w:pos="3456"/>
              </w:tabs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R6 Karlovy Vary 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Olšová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Vrata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P</w:t>
            </w:r>
            <w:proofErr w:type="gramEnd"/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22-25,5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5,6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6,9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405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345,3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362,8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267D8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R6 Lubenec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obchvat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Z</w:t>
            </w:r>
            <w:proofErr w:type="gramEnd"/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3,4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4,0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405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316,5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329,2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R6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Praha</w:t>
            </w:r>
            <w:proofErr w:type="gramEnd"/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Pavlov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24,5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2,0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10,1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405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298,7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314,9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R7 Slaný 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hranice Středočeského kraje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DÚR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3,0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4,2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405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232,9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241,7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R7 Postoloprty 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MÚK </w:t>
            </w:r>
            <w:proofErr w:type="spellStart"/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B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í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tozeves</w:t>
            </w:r>
            <w:proofErr w:type="spell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  <w:proofErr w:type="gramEnd"/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2,0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2,5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405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 93,4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 99,0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R7 MÚK </w:t>
            </w:r>
            <w:proofErr w:type="spell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Bítozeves</w:t>
            </w:r>
            <w:proofErr w:type="spell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MÚK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Vysočany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  <w:proofErr w:type="gramEnd"/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0,6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0,8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111,5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113,6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R7 MÚK Vysočany 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MÚK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Droužkovice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  <w:proofErr w:type="gramEnd"/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0,9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6,4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1,7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254,4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265,1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R7 MÚK Droužkovice 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MÚK N.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Spořice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  <w:proofErr w:type="gramEnd"/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1,9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5,6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324,6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336,9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267D8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R7 Sulec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obchvat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  <w:proofErr w:type="gramEnd"/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5,0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5,5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220,9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232,6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R35 Bílý Kostel 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Hrádek n.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N.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0,6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4,1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5,6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224,7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267D8F">
            <w:pPr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 xml:space="preserve">R35 Úlibice – obchvat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DÚR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1,6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284,5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R35 3508.1 </w:t>
            </w:r>
            <w:proofErr w:type="spell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Křelov</w:t>
            </w:r>
            <w:proofErr w:type="spell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Slavonín 1.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etapa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  <w:proofErr w:type="gramEnd"/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22,5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165,5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R35 3508.2 </w:t>
            </w:r>
            <w:proofErr w:type="spell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Křelov</w:t>
            </w:r>
            <w:proofErr w:type="spell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Slavonín 2.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etapa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Z</w:t>
            </w:r>
            <w:proofErr w:type="gramEnd"/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22,5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71,1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57,3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449,7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606,2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267D8F">
            <w:pPr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R35 Hradec Králové (Sedlice) –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Opatovice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</w:t>
            </w:r>
            <w:proofErr w:type="gramEnd"/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24,5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357,8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357,8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267D8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R46 MÚK Vranovice, MÚK Brodek u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Př.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  <w:proofErr w:type="gramEnd"/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22,5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0,5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0,1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 74,1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77,0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R48 MÚK Rybí 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MÚK Rychaltice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DSP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1,4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2,8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17,5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291,5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317,7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267D8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R48 MÚK Bělotín – Rybí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DSP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0,8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3,8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11,0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210,9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227,5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R48 Frýdek-Místek 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obchvat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DSP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1,4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23,6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21,2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427,8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483,6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R48 Rychaltice 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Frýdek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Místek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  <w:proofErr w:type="gramEnd"/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1,1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14,2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5,0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357,7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384,1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R49 4902.1 Fryšták 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Lípa 1. etapa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DÚR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7,6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35,6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47,5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568,2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663,7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R52 5204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Pohořelice</w:t>
            </w:r>
            <w:proofErr w:type="gramEnd"/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Ivaň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DÚR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5,4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24,2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5,9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246,0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x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R52 5206 Perná 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st.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hr. ČR/Rakousko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DÚR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7,7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12,7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374,5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419,2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R55 5503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Skalka</w:t>
            </w:r>
            <w:proofErr w:type="gramEnd"/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Hulín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24,5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3,8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 6,1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8,8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281,6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305,4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R55 5506 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Napajedla</w:t>
            </w:r>
            <w:proofErr w:type="gramEnd"/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proofErr w:type="gramStart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Babice</w:t>
            </w:r>
            <w:proofErr w:type="gramEnd"/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DÚR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24,5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5,0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31,7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41,2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412,1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492,9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R55 5508 Staré Město 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Moravský Písek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DÚR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24,5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4,3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18,1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15,2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152,1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191,7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9A794A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R55 5510 Bzenec </w:t>
            </w:r>
            <w:r w:rsidR="009A794A">
              <w:rPr>
                <w:rFonts w:eastAsia="Times New Roman" w:cs="Arial"/>
                <w:color w:val="000000"/>
                <w:sz w:val="20"/>
                <w:szCs w:val="20"/>
              </w:rPr>
              <w:t>–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Bzenec Přívoz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DÚR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24,5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5,8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19,1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17,6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182,2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227,6</w:t>
            </w:r>
          </w:p>
        </w:tc>
      </w:tr>
      <w:tr w:rsidR="0037324C" w:rsidRPr="00267D8F" w:rsidTr="00267D8F">
        <w:trPr>
          <w:cantSplit/>
          <w:tblHeader/>
        </w:trPr>
        <w:tc>
          <w:tcPr>
            <w:tcW w:w="4535" w:type="dxa"/>
            <w:vAlign w:val="center"/>
          </w:tcPr>
          <w:p w:rsidR="0037324C" w:rsidRPr="00267D8F" w:rsidRDefault="0037324C" w:rsidP="00267D8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R55 Otrokovice obchvat JV  </w:t>
            </w:r>
            <w:r w:rsidRPr="00267D8F">
              <w:rPr>
                <w:rFonts w:eastAsia="Times New Roman" w:cs="Arial"/>
                <w:color w:val="000000"/>
                <w:sz w:val="20"/>
                <w:szCs w:val="20"/>
                <w:vertAlign w:val="superscript"/>
              </w:rPr>
              <w:t>DSP</w:t>
            </w:r>
          </w:p>
        </w:tc>
        <w:tc>
          <w:tcPr>
            <w:tcW w:w="1247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R 25,5</w:t>
            </w:r>
          </w:p>
        </w:tc>
        <w:tc>
          <w:tcPr>
            <w:tcW w:w="1299" w:type="dxa"/>
            <w:vAlign w:val="center"/>
          </w:tcPr>
          <w:p w:rsidR="0037324C" w:rsidRPr="00267D8F" w:rsidRDefault="0037324C" w:rsidP="005A5671">
            <w:pPr>
              <w:ind w:right="340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6,4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5A5671">
            <w:pPr>
              <w:ind w:right="391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40,4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21,3</w:t>
            </w:r>
          </w:p>
        </w:tc>
        <w:tc>
          <w:tcPr>
            <w:tcW w:w="1441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346,1</w:t>
            </w:r>
          </w:p>
        </w:tc>
        <w:tc>
          <w:tcPr>
            <w:tcW w:w="1442" w:type="dxa"/>
            <w:vAlign w:val="center"/>
          </w:tcPr>
          <w:p w:rsidR="0037324C" w:rsidRPr="00267D8F" w:rsidRDefault="0037324C" w:rsidP="00267D8F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color w:val="000000"/>
                <w:sz w:val="20"/>
                <w:szCs w:val="20"/>
              </w:rPr>
              <w:t xml:space="preserve">   415,5</w:t>
            </w:r>
          </w:p>
        </w:tc>
      </w:tr>
      <w:tr w:rsidR="00267D8F" w:rsidRPr="00267D8F" w:rsidTr="00267D8F">
        <w:trPr>
          <w:cantSplit/>
          <w:trHeight w:val="213"/>
          <w:tblHeader/>
        </w:trPr>
        <w:tc>
          <w:tcPr>
            <w:tcW w:w="5782" w:type="dxa"/>
            <w:gridSpan w:val="2"/>
            <w:vAlign w:val="center"/>
          </w:tcPr>
          <w:p w:rsidR="00267D8F" w:rsidRPr="00267D8F" w:rsidRDefault="00267D8F" w:rsidP="00267D8F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Vážený průměr za stavby na rychlostních komunikacích</w:t>
            </w:r>
          </w:p>
        </w:tc>
        <w:tc>
          <w:tcPr>
            <w:tcW w:w="1299" w:type="dxa"/>
            <w:vAlign w:val="center"/>
          </w:tcPr>
          <w:p w:rsidR="00267D8F" w:rsidRPr="00267D8F" w:rsidRDefault="00267D8F" w:rsidP="005A5671">
            <w:pPr>
              <w:ind w:right="34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41" w:type="dxa"/>
            <w:vAlign w:val="center"/>
          </w:tcPr>
          <w:p w:rsidR="00267D8F" w:rsidRPr="00267D8F" w:rsidRDefault="00267D8F" w:rsidP="00267D8F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4,4</w:t>
            </w:r>
          </w:p>
        </w:tc>
        <w:tc>
          <w:tcPr>
            <w:tcW w:w="1441" w:type="dxa"/>
            <w:vAlign w:val="center"/>
          </w:tcPr>
          <w:p w:rsidR="00267D8F" w:rsidRPr="00267D8F" w:rsidRDefault="00267D8F" w:rsidP="005A5671">
            <w:pPr>
              <w:ind w:right="391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19,5</w:t>
            </w:r>
          </w:p>
        </w:tc>
        <w:tc>
          <w:tcPr>
            <w:tcW w:w="1441" w:type="dxa"/>
            <w:vAlign w:val="center"/>
          </w:tcPr>
          <w:p w:rsidR="00267D8F" w:rsidRPr="00267D8F" w:rsidRDefault="00267D8F" w:rsidP="00267D8F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14,7</w:t>
            </w:r>
          </w:p>
        </w:tc>
        <w:tc>
          <w:tcPr>
            <w:tcW w:w="1441" w:type="dxa"/>
            <w:vAlign w:val="center"/>
          </w:tcPr>
          <w:p w:rsidR="00267D8F" w:rsidRPr="00267D8F" w:rsidRDefault="00267D8F" w:rsidP="00267D8F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316,9</w:t>
            </w:r>
          </w:p>
        </w:tc>
        <w:tc>
          <w:tcPr>
            <w:tcW w:w="1442" w:type="dxa"/>
            <w:vAlign w:val="center"/>
          </w:tcPr>
          <w:p w:rsidR="00267D8F" w:rsidRPr="00267D8F" w:rsidRDefault="00267D8F" w:rsidP="00267D8F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267D8F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  378,1</w:t>
            </w:r>
          </w:p>
        </w:tc>
      </w:tr>
    </w:tbl>
    <w:p w:rsidR="0037324C" w:rsidRPr="00422F29" w:rsidRDefault="0037324C" w:rsidP="00777F8C">
      <w:pPr>
        <w:spacing w:before="40"/>
        <w:ind w:left="1134" w:hanging="1134"/>
        <w:rPr>
          <w:rFonts w:cs="Arial"/>
          <w:sz w:val="20"/>
          <w:szCs w:val="20"/>
        </w:rPr>
      </w:pPr>
      <w:r w:rsidRPr="00422F29">
        <w:rPr>
          <w:rFonts w:cs="Arial"/>
          <w:b/>
          <w:sz w:val="20"/>
          <w:szCs w:val="20"/>
        </w:rPr>
        <w:t>Zdroj</w:t>
      </w:r>
      <w:r w:rsidRPr="000253C0">
        <w:rPr>
          <w:rFonts w:cs="Arial"/>
          <w:b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="002736E5">
        <w:rPr>
          <w:rFonts w:cs="Arial"/>
          <w:sz w:val="20"/>
          <w:szCs w:val="20"/>
        </w:rPr>
        <w:t>p</w:t>
      </w:r>
      <w:r>
        <w:rPr>
          <w:rFonts w:cs="Arial"/>
          <w:sz w:val="20"/>
          <w:szCs w:val="20"/>
        </w:rPr>
        <w:t>odklady správ a z</w:t>
      </w:r>
      <w:r w:rsidRPr="00422F29">
        <w:rPr>
          <w:rFonts w:cs="Arial"/>
          <w:sz w:val="20"/>
          <w:szCs w:val="20"/>
        </w:rPr>
        <w:t>ávodů ŘSD</w:t>
      </w:r>
      <w:r w:rsidR="002736E5">
        <w:rPr>
          <w:rFonts w:cs="Arial"/>
          <w:sz w:val="20"/>
          <w:szCs w:val="20"/>
        </w:rPr>
        <w:t>.</w:t>
      </w:r>
    </w:p>
    <w:p w:rsidR="0037324C" w:rsidRDefault="0037324C" w:rsidP="0037324C">
      <w:pPr>
        <w:ind w:left="1134" w:hanging="1134"/>
        <w:rPr>
          <w:rFonts w:cs="Arial"/>
          <w:sz w:val="20"/>
          <w:szCs w:val="20"/>
        </w:rPr>
      </w:pPr>
      <w:r w:rsidRPr="00422F29">
        <w:rPr>
          <w:rFonts w:cs="Arial"/>
          <w:b/>
          <w:sz w:val="20"/>
          <w:szCs w:val="20"/>
        </w:rPr>
        <w:t>Pozn</w:t>
      </w:r>
      <w:r w:rsidR="002736E5">
        <w:rPr>
          <w:rFonts w:cs="Arial"/>
          <w:b/>
          <w:sz w:val="20"/>
          <w:szCs w:val="20"/>
        </w:rPr>
        <w:t>.</w:t>
      </w:r>
      <w:r w:rsidRPr="000253C0">
        <w:rPr>
          <w:rFonts w:cs="Arial"/>
          <w:b/>
          <w:sz w:val="20"/>
          <w:szCs w:val="20"/>
        </w:rPr>
        <w:t>:</w:t>
      </w:r>
      <w:r w:rsidR="002736E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 údajích sdělených ŘSD byly opraveny zjevné početní chyby.</w:t>
      </w:r>
    </w:p>
    <w:p w:rsidR="002736E5" w:rsidRPr="000253C0" w:rsidRDefault="002736E5" w:rsidP="0037324C">
      <w:pPr>
        <w:ind w:left="1134" w:hanging="1134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Vysvětlivky:</w:t>
      </w:r>
    </w:p>
    <w:p w:rsidR="0037324C" w:rsidRDefault="0037324C" w:rsidP="009D1AE6">
      <w:pPr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x </w:t>
      </w:r>
      <w:r w:rsidR="005A5671">
        <w:rPr>
          <w:rFonts w:cs="Arial"/>
          <w:sz w:val="20"/>
          <w:szCs w:val="20"/>
        </w:rPr>
        <w:t>…</w:t>
      </w:r>
      <w:r w:rsidR="002736E5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Neuvedené údaje ŘSD nesdělilo nebo byly vypuštěny z důvod</w:t>
      </w:r>
      <w:r w:rsidR="005A5671">
        <w:rPr>
          <w:rFonts w:cs="Arial"/>
          <w:sz w:val="20"/>
          <w:szCs w:val="20"/>
        </w:rPr>
        <w:t>u</w:t>
      </w:r>
      <w:r>
        <w:rPr>
          <w:rFonts w:cs="Arial"/>
          <w:sz w:val="20"/>
          <w:szCs w:val="20"/>
        </w:rPr>
        <w:t xml:space="preserve"> zjevných chyb. </w:t>
      </w:r>
    </w:p>
    <w:p w:rsidR="0037324C" w:rsidRDefault="0037324C" w:rsidP="009D1AE6">
      <w:pPr>
        <w:ind w:left="709" w:hanging="709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MUK </w:t>
      </w:r>
      <w:r w:rsidR="005A5671">
        <w:rPr>
          <w:rFonts w:cs="Arial"/>
          <w:color w:val="000000"/>
          <w:sz w:val="20"/>
          <w:szCs w:val="20"/>
        </w:rPr>
        <w:t>…</w:t>
      </w:r>
      <w:r w:rsidR="009D1AE6">
        <w:rPr>
          <w:rFonts w:cs="Arial"/>
          <w:color w:val="000000"/>
          <w:sz w:val="20"/>
          <w:szCs w:val="20"/>
        </w:rPr>
        <w:tab/>
      </w:r>
      <w:r w:rsidR="002736E5">
        <w:rPr>
          <w:rFonts w:cs="Arial"/>
          <w:color w:val="000000"/>
          <w:sz w:val="20"/>
          <w:szCs w:val="20"/>
        </w:rPr>
        <w:t>M</w:t>
      </w:r>
      <w:r>
        <w:rPr>
          <w:rFonts w:cs="Arial"/>
          <w:color w:val="000000"/>
          <w:sz w:val="20"/>
          <w:szCs w:val="20"/>
        </w:rPr>
        <w:t>imoúrovňová křižovatka.</w:t>
      </w:r>
    </w:p>
    <w:p w:rsidR="0037324C" w:rsidRDefault="0037324C" w:rsidP="009D1AE6">
      <w:pPr>
        <w:ind w:left="709" w:hanging="709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Z </w:t>
      </w:r>
      <w:r w:rsidR="005A5671">
        <w:rPr>
          <w:rFonts w:cs="Arial"/>
          <w:color w:val="000000"/>
          <w:sz w:val="20"/>
          <w:szCs w:val="20"/>
        </w:rPr>
        <w:t>…</w:t>
      </w:r>
      <w:r w:rsidR="002736E5">
        <w:rPr>
          <w:rFonts w:cs="Arial"/>
          <w:color w:val="000000"/>
          <w:sz w:val="20"/>
          <w:szCs w:val="20"/>
        </w:rPr>
        <w:tab/>
        <w:t>Ú</w:t>
      </w:r>
      <w:r>
        <w:rPr>
          <w:rFonts w:cs="Arial"/>
          <w:color w:val="000000"/>
          <w:sz w:val="20"/>
          <w:szCs w:val="20"/>
        </w:rPr>
        <w:t>sek je v počáteční fázi přípravy (zpracování investičního záměru).</w:t>
      </w:r>
    </w:p>
    <w:p w:rsidR="0037324C" w:rsidRDefault="0037324C" w:rsidP="009D1AE6">
      <w:pPr>
        <w:ind w:left="709" w:hanging="709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DÚR </w:t>
      </w:r>
      <w:r w:rsidR="005A5671">
        <w:rPr>
          <w:rFonts w:cs="Arial"/>
          <w:color w:val="000000"/>
          <w:sz w:val="20"/>
          <w:szCs w:val="20"/>
        </w:rPr>
        <w:t>…</w:t>
      </w:r>
      <w:r w:rsidR="002736E5">
        <w:rPr>
          <w:rFonts w:cs="Arial"/>
          <w:color w:val="000000"/>
          <w:sz w:val="20"/>
          <w:szCs w:val="20"/>
        </w:rPr>
        <w:tab/>
        <w:t>Ú</w:t>
      </w:r>
      <w:r>
        <w:rPr>
          <w:rFonts w:cs="Arial"/>
          <w:color w:val="000000"/>
          <w:sz w:val="20"/>
          <w:szCs w:val="20"/>
        </w:rPr>
        <w:t>sek ve fázi dokumentace pro územní rozhodnutí.</w:t>
      </w:r>
    </w:p>
    <w:p w:rsidR="0037324C" w:rsidRDefault="0037324C" w:rsidP="009D1AE6">
      <w:pPr>
        <w:ind w:left="709" w:hanging="709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DSP </w:t>
      </w:r>
      <w:r w:rsidR="005A5671">
        <w:rPr>
          <w:rFonts w:cs="Arial"/>
          <w:color w:val="000000"/>
          <w:sz w:val="20"/>
          <w:szCs w:val="20"/>
        </w:rPr>
        <w:t>…</w:t>
      </w:r>
      <w:r w:rsidR="002736E5">
        <w:rPr>
          <w:rFonts w:cs="Arial"/>
          <w:color w:val="000000"/>
          <w:sz w:val="20"/>
          <w:szCs w:val="20"/>
        </w:rPr>
        <w:tab/>
        <w:t>Ú</w:t>
      </w:r>
      <w:r>
        <w:rPr>
          <w:rFonts w:cs="Arial"/>
          <w:color w:val="000000"/>
          <w:sz w:val="20"/>
          <w:szCs w:val="20"/>
        </w:rPr>
        <w:t>sek ve fázi dokumentace pro stavební povolení.</w:t>
      </w:r>
    </w:p>
    <w:p w:rsidR="0037324C" w:rsidRDefault="0037324C" w:rsidP="009D1AE6">
      <w:pPr>
        <w:ind w:left="709" w:hanging="709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R </w:t>
      </w:r>
      <w:r w:rsidR="005A5671">
        <w:rPr>
          <w:rFonts w:cs="Arial"/>
          <w:color w:val="000000"/>
          <w:sz w:val="20"/>
          <w:szCs w:val="20"/>
        </w:rPr>
        <w:t>…</w:t>
      </w:r>
      <w:r w:rsidR="002736E5">
        <w:rPr>
          <w:rFonts w:cs="Arial"/>
          <w:color w:val="000000"/>
          <w:sz w:val="20"/>
          <w:szCs w:val="20"/>
        </w:rPr>
        <w:tab/>
        <w:t>Ú</w:t>
      </w:r>
      <w:r>
        <w:rPr>
          <w:rFonts w:cs="Arial"/>
          <w:color w:val="000000"/>
          <w:sz w:val="20"/>
          <w:szCs w:val="20"/>
        </w:rPr>
        <w:t>sek v realizaci.</w:t>
      </w:r>
    </w:p>
    <w:p w:rsidR="0037324C" w:rsidRDefault="0037324C" w:rsidP="009D1AE6">
      <w:pPr>
        <w:ind w:left="709" w:hanging="709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 </w:t>
      </w:r>
      <w:r w:rsidR="005A5671">
        <w:rPr>
          <w:rFonts w:cs="Arial"/>
          <w:color w:val="000000"/>
          <w:sz w:val="20"/>
          <w:szCs w:val="20"/>
        </w:rPr>
        <w:t>…</w:t>
      </w:r>
      <w:r w:rsidR="002736E5">
        <w:rPr>
          <w:rFonts w:cs="Arial"/>
          <w:color w:val="000000"/>
          <w:sz w:val="20"/>
          <w:szCs w:val="20"/>
        </w:rPr>
        <w:tab/>
        <w:t>D</w:t>
      </w:r>
      <w:r>
        <w:rPr>
          <w:rFonts w:cs="Arial"/>
          <w:color w:val="000000"/>
          <w:sz w:val="20"/>
          <w:szCs w:val="20"/>
        </w:rPr>
        <w:t>okončený úsek.</w:t>
      </w:r>
    </w:p>
    <w:p w:rsidR="0037324C" w:rsidRDefault="0037324C" w:rsidP="002041DA">
      <w:pPr>
        <w:jc w:val="both"/>
        <w:rPr>
          <w:rFonts w:cs="Arial"/>
          <w:b/>
          <w:sz w:val="22"/>
          <w:szCs w:val="22"/>
        </w:rPr>
      </w:pPr>
    </w:p>
    <w:p w:rsidR="00777F8C" w:rsidRPr="00EE60A7" w:rsidRDefault="00777F8C" w:rsidP="00777F8C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cs="Arial"/>
          <w:color w:val="000000" w:themeColor="text1"/>
          <w:sz w:val="22"/>
          <w:szCs w:val="22"/>
        </w:rPr>
      </w:pPr>
    </w:p>
    <w:p w:rsidR="00777F8C" w:rsidRPr="006D48DE" w:rsidRDefault="00777F8C" w:rsidP="00777F8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  <w:sectPr w:rsidR="00777F8C" w:rsidRPr="006D48DE" w:rsidSect="00777F8C">
          <w:headerReference w:type="default" r:id="rId14"/>
          <w:footerReference w:type="even" r:id="rId15"/>
          <w:footerReference w:type="default" r:id="rId16"/>
          <w:pgSz w:w="16840" w:h="11907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777F8C" w:rsidRDefault="00777F8C" w:rsidP="00777F8C">
      <w:pPr>
        <w:jc w:val="right"/>
      </w:pPr>
      <w:r>
        <w:lastRenderedPageBreak/>
        <w:t>Příloha č. 2</w:t>
      </w:r>
    </w:p>
    <w:p w:rsidR="00777F8C" w:rsidRDefault="00777F8C" w:rsidP="00777F8C">
      <w:pPr>
        <w:jc w:val="right"/>
      </w:pPr>
    </w:p>
    <w:p w:rsidR="00777F8C" w:rsidRDefault="00777F8C" w:rsidP="00777F8C">
      <w:pPr>
        <w:jc w:val="center"/>
        <w:rPr>
          <w:b/>
        </w:rPr>
      </w:pPr>
      <w:r>
        <w:rPr>
          <w:b/>
        </w:rPr>
        <w:t>Přehled jednotkových cen vybraných stavebních objektů</w:t>
      </w:r>
    </w:p>
    <w:p w:rsidR="00777F8C" w:rsidRPr="00920C0E" w:rsidRDefault="00777F8C" w:rsidP="00777F8C">
      <w:pPr>
        <w:jc w:val="center"/>
      </w:pPr>
      <w:r w:rsidRPr="00920C0E">
        <w:t>(</w:t>
      </w:r>
      <w:r>
        <w:t xml:space="preserve">ceny </w:t>
      </w:r>
      <w:r w:rsidRPr="00920C0E">
        <w:t>v mil. Kč/km)</w:t>
      </w:r>
    </w:p>
    <w:p w:rsidR="00777F8C" w:rsidRPr="00777F8C" w:rsidRDefault="00777F8C" w:rsidP="00777F8C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1275"/>
        <w:gridCol w:w="1134"/>
        <w:gridCol w:w="1311"/>
        <w:gridCol w:w="1311"/>
        <w:gridCol w:w="1311"/>
        <w:gridCol w:w="1312"/>
      </w:tblGrid>
      <w:tr w:rsidR="00777F8C" w:rsidRPr="00777F8C" w:rsidTr="00777F8C">
        <w:trPr>
          <w:cantSplit/>
        </w:trPr>
        <w:tc>
          <w:tcPr>
            <w:tcW w:w="62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7F8C" w:rsidRPr="00777F8C" w:rsidRDefault="00777F8C" w:rsidP="007017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77F8C">
              <w:rPr>
                <w:rFonts w:cs="Arial"/>
                <w:b/>
                <w:sz w:val="20"/>
                <w:szCs w:val="20"/>
              </w:rPr>
              <w:t>Stavební objekt (SO)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7F8C" w:rsidRPr="00777F8C" w:rsidRDefault="00777F8C" w:rsidP="007017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77F8C">
              <w:rPr>
                <w:rFonts w:cs="Arial"/>
                <w:b/>
                <w:sz w:val="20"/>
                <w:szCs w:val="20"/>
              </w:rPr>
              <w:t>Kategorie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7F8C" w:rsidRPr="00777F8C" w:rsidRDefault="00777F8C" w:rsidP="007017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77F8C">
              <w:rPr>
                <w:rFonts w:cs="Arial"/>
                <w:b/>
                <w:sz w:val="20"/>
                <w:szCs w:val="20"/>
              </w:rPr>
              <w:t>Počet SO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7F8C" w:rsidRPr="00777F8C" w:rsidRDefault="00777F8C" w:rsidP="00777F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77F8C">
              <w:rPr>
                <w:rFonts w:cs="Arial"/>
                <w:b/>
                <w:sz w:val="20"/>
                <w:szCs w:val="20"/>
              </w:rPr>
              <w:t>Min. cena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7F8C" w:rsidRPr="00777F8C" w:rsidRDefault="00777F8C" w:rsidP="00777F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77F8C">
              <w:rPr>
                <w:rFonts w:cs="Arial"/>
                <w:b/>
                <w:sz w:val="20"/>
                <w:szCs w:val="20"/>
              </w:rPr>
              <w:t>Max. cena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7F8C" w:rsidRPr="00777F8C" w:rsidRDefault="00777F8C" w:rsidP="007017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77F8C">
              <w:rPr>
                <w:rFonts w:cs="Arial"/>
                <w:b/>
                <w:sz w:val="20"/>
                <w:szCs w:val="20"/>
              </w:rPr>
              <w:t>Průměr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7F8C" w:rsidRPr="00777F8C" w:rsidRDefault="00777F8C" w:rsidP="00777F8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77F8C">
              <w:rPr>
                <w:rFonts w:cs="Arial"/>
                <w:b/>
                <w:sz w:val="20"/>
                <w:szCs w:val="20"/>
              </w:rPr>
              <w:t>Cenový normativ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  <w:tcBorders>
              <w:top w:val="single" w:sz="12" w:space="0" w:color="auto"/>
            </w:tcBorders>
          </w:tcPr>
          <w:p w:rsidR="00777F8C" w:rsidRPr="00777F8C" w:rsidRDefault="00777F8C" w:rsidP="007017B7">
            <w:pPr>
              <w:rPr>
                <w:rFonts w:cs="Arial"/>
                <w:color w:val="000000"/>
                <w:sz w:val="20"/>
                <w:szCs w:val="20"/>
              </w:rPr>
            </w:pPr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Dálnice,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D 33,5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12" w:space="0" w:color="auto"/>
            </w:tcBorders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196,0</w:t>
            </w:r>
          </w:p>
        </w:tc>
        <w:tc>
          <w:tcPr>
            <w:tcW w:w="1311" w:type="dxa"/>
            <w:tcBorders>
              <w:top w:val="single" w:sz="12" w:space="0" w:color="auto"/>
            </w:tcBorders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196,0</w:t>
            </w:r>
          </w:p>
        </w:tc>
        <w:tc>
          <w:tcPr>
            <w:tcW w:w="1311" w:type="dxa"/>
            <w:tcBorders>
              <w:top w:val="single" w:sz="12" w:space="0" w:color="auto"/>
            </w:tcBorders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196,0</w:t>
            </w:r>
          </w:p>
        </w:tc>
        <w:tc>
          <w:tcPr>
            <w:tcW w:w="1312" w:type="dxa"/>
            <w:tcBorders>
              <w:top w:val="single" w:sz="12" w:space="0" w:color="auto"/>
            </w:tcBorders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207,3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Dálnice,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D 27,5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56,2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222,2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140,9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166,1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Dálnice,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D 26,5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125,7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240,4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174,2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Rychl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. sil.,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R 27,5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120,7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153,1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138,3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153,3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Rychl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. sil.,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R 25,5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34,8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162,8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107,4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143,9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Rychl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. sil.,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R 24,5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46,3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193,2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107,2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Rychl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. sil.,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R 22,5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52,4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184,1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108,4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Siln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. I. třídy,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S 24,5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46,3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193,2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107,2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119,7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Siln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. I. třídy,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S 20,75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55,0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86,9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77,7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108,8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Siln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. I. třídy,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S 11,5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   1,2</w:t>
            </w:r>
            <w:r w:rsidRPr="00777F8C">
              <w:rPr>
                <w:rFonts w:cs="Arial"/>
                <w:sz w:val="20"/>
                <w:szCs w:val="20"/>
                <w:vertAlign w:val="superscript"/>
              </w:rPr>
              <w:t xml:space="preserve"> N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85,1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35,2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48,7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Siln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. I. třídy,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S 9,5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13,8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143,5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52,9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39,4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Siln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. II. třídy,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S 9,5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8,5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225,4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48,1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29,8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Siln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. II. třídy,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intravilán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S 9,5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54,1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54,1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54,1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35,4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Siln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. II. třídy,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777F8C">
              <w:rPr>
                <w:rFonts w:cs="Arial"/>
                <w:sz w:val="20"/>
                <w:szCs w:val="20"/>
              </w:rPr>
              <w:t>S 7,5</w:t>
            </w:r>
            <w:proofErr w:type="gramEnd"/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7,4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367,2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50,0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22,7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Siln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. II. třídy,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intravilán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777F8C">
              <w:rPr>
                <w:rFonts w:cs="Arial"/>
                <w:sz w:val="20"/>
                <w:szCs w:val="20"/>
              </w:rPr>
              <w:t>S 7,5</w:t>
            </w:r>
            <w:proofErr w:type="gramEnd"/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19,6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207,2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113,4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27,1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Siln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. III. třídy,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777F8C">
              <w:rPr>
                <w:rFonts w:cs="Arial"/>
                <w:sz w:val="20"/>
                <w:szCs w:val="20"/>
              </w:rPr>
              <w:t>S 7,5</w:t>
            </w:r>
            <w:proofErr w:type="gramEnd"/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4,4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205,2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35,2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20,3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Siln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. III. třídy,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hornaté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777F8C">
              <w:rPr>
                <w:rFonts w:cs="Arial"/>
                <w:sz w:val="20"/>
                <w:szCs w:val="20"/>
              </w:rPr>
              <w:t>S 7,5</w:t>
            </w:r>
            <w:proofErr w:type="gramEnd"/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18,5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61,1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39,8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27,1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Siln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. III. třídy,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intravilán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777F8C">
              <w:rPr>
                <w:rFonts w:cs="Arial"/>
                <w:sz w:val="20"/>
                <w:szCs w:val="20"/>
              </w:rPr>
              <w:t>S 7,5</w:t>
            </w:r>
            <w:proofErr w:type="gramEnd"/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18,3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92,2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55,3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26,5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Siln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. III. třídy,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S 6,5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11,3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20,6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16,9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17,2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Siln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. III. třídy,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intravilán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S 6,5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20,2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156,0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88,1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22,3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Siln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. III. třídy,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S 4,0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7,1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7,1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7,1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9,3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Siln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. III. třídy,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intravilán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S 4,0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7,6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7,6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7,6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12,2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Míst. </w:t>
            </w:r>
            <w:proofErr w:type="gramStart"/>
            <w:r w:rsidRPr="00777F8C">
              <w:rPr>
                <w:rFonts w:cs="Arial"/>
                <w:color w:val="000000"/>
                <w:sz w:val="20"/>
                <w:szCs w:val="20"/>
              </w:rPr>
              <w:t>kom</w:t>
            </w:r>
            <w:proofErr w:type="gramEnd"/>
            <w:r w:rsidRPr="00777F8C">
              <w:rPr>
                <w:rFonts w:cs="Arial"/>
                <w:color w:val="000000"/>
                <w:sz w:val="20"/>
                <w:szCs w:val="20"/>
              </w:rPr>
              <w:t>.,</w:t>
            </w:r>
            <w:r w:rsidR="001F087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777F8C">
              <w:rPr>
                <w:rFonts w:cs="Arial"/>
                <w:sz w:val="20"/>
                <w:szCs w:val="20"/>
              </w:rPr>
              <w:t>MS(O) 7,5</w:t>
            </w:r>
            <w:proofErr w:type="gramEnd"/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7,5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42,8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20,3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19,2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Míst. </w:t>
            </w:r>
            <w:proofErr w:type="gramStart"/>
            <w:r w:rsidRPr="00777F8C">
              <w:rPr>
                <w:rFonts w:cs="Arial"/>
                <w:color w:val="000000"/>
                <w:sz w:val="20"/>
                <w:szCs w:val="20"/>
              </w:rPr>
              <w:t>kom</w:t>
            </w:r>
            <w:proofErr w:type="gramEnd"/>
            <w:r w:rsidRPr="00777F8C">
              <w:rPr>
                <w:rFonts w:cs="Arial"/>
                <w:color w:val="000000"/>
                <w:sz w:val="20"/>
                <w:szCs w:val="20"/>
              </w:rPr>
              <w:t>.,</w:t>
            </w:r>
            <w:r w:rsidR="001F087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novostavba, rovinaté a pahorkovité území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777F8C">
              <w:rPr>
                <w:rFonts w:cs="Arial"/>
                <w:sz w:val="20"/>
                <w:szCs w:val="20"/>
              </w:rPr>
              <w:t>MS(O) 7</w:t>
            </w:r>
            <w:proofErr w:type="gramEnd"/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6,7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325,2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71,9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Polní cesta,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P5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 1,4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70,9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17,3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9,1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color w:val="000000"/>
                <w:sz w:val="20"/>
                <w:szCs w:val="20"/>
              </w:rPr>
              <w:t xml:space="preserve">Polní cesta, </w:t>
            </w:r>
            <w:proofErr w:type="spellStart"/>
            <w:r w:rsidRPr="00777F8C">
              <w:rPr>
                <w:rFonts w:cs="Arial"/>
                <w:color w:val="000000"/>
                <w:sz w:val="20"/>
                <w:szCs w:val="20"/>
              </w:rPr>
              <w:t>extravilán</w:t>
            </w:r>
            <w:proofErr w:type="spellEnd"/>
            <w:r w:rsidRPr="00777F8C">
              <w:rPr>
                <w:rFonts w:cs="Arial"/>
                <w:color w:val="000000"/>
                <w:sz w:val="20"/>
                <w:szCs w:val="20"/>
              </w:rPr>
              <w:t>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P4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 0,5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17,8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6,2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6,8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color w:val="000000"/>
                <w:sz w:val="20"/>
                <w:szCs w:val="20"/>
              </w:rPr>
              <w:t>Stezka pro pěší a cyklisty,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š 3,0 m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 1,0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15,2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5,5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6,3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Most dálniční,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D 33,5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1 085,5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1 386,2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1 235,9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1 332,1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Most dálniční,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D 27,5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278,5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1 971,3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1 023,0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1 101,0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lastRenderedPageBreak/>
              <w:t>Most dálniční,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D 26,5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674,2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1 620,8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1 094,6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Most silniční,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R 27,5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1 153,2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1 457,0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1 331,2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1 101,0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Most silniční,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R 25,5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   1,1</w:t>
            </w:r>
            <w:r w:rsidRPr="00777F8C">
              <w:rPr>
                <w:rFonts w:cs="Arial"/>
                <w:sz w:val="20"/>
                <w:szCs w:val="20"/>
                <w:vertAlign w:val="superscript"/>
              </w:rPr>
              <w:t xml:space="preserve"> N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1 623,9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768,9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1 043,3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Most silniční,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R 24,5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575,5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1 485,2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1 019,6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Most silniční,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R 22,5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504,5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1 588,3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872,0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Most silniční,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S 24,5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  1,1</w:t>
            </w:r>
            <w:r w:rsidRPr="00777F8C">
              <w:rPr>
                <w:rFonts w:cs="Arial"/>
                <w:sz w:val="20"/>
                <w:szCs w:val="20"/>
                <w:vertAlign w:val="superscript"/>
              </w:rPr>
              <w:t xml:space="preserve"> N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817,5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502,6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1 004,8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Most silniční,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S 20,75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652,0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652,0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652,0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927,8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Most silniční,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S 11,5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27,4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762,5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399,8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548,4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Most silniční,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S 9,5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19,5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3 275,9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561,6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461,3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Most silniční, novostavba</w:t>
            </w:r>
          </w:p>
        </w:tc>
        <w:tc>
          <w:tcPr>
            <w:tcW w:w="1275" w:type="dxa"/>
          </w:tcPr>
          <w:p w:rsidR="00777F8C" w:rsidRPr="00777F8C" w:rsidRDefault="00777F8C" w:rsidP="0001731C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777F8C">
              <w:rPr>
                <w:rFonts w:cs="Arial"/>
                <w:sz w:val="20"/>
                <w:szCs w:val="20"/>
              </w:rPr>
              <w:t>S 7</w:t>
            </w:r>
            <w:r w:rsidR="0001731C">
              <w:rPr>
                <w:rFonts w:cs="Arial"/>
                <w:sz w:val="20"/>
                <w:szCs w:val="20"/>
              </w:rPr>
              <w:t>,</w:t>
            </w:r>
            <w:r w:rsidRPr="00777F8C">
              <w:rPr>
                <w:rFonts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38,5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632,6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349,4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374,3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Most silniční,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S 6,5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99,9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485,5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344,4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330,7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Most silniční,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S 4,0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152,1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152,1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152,1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222,0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Most silniční,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P 6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227,4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1 026,0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398,6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273,1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Most silniční,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P 5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115,6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314,4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201,0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234,6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Most silniční,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P 4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  2,6</w:t>
            </w:r>
            <w:r w:rsidRPr="00777F8C">
              <w:rPr>
                <w:rFonts w:cs="Arial"/>
                <w:sz w:val="20"/>
                <w:szCs w:val="20"/>
                <w:vertAlign w:val="superscript"/>
              </w:rPr>
              <w:t xml:space="preserve"> N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2 335,5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392,7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196,2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Most přesýpaný,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0,0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34,6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3,2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 0,0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77F8C">
              <w:rPr>
                <w:rFonts w:cs="Arial"/>
                <w:sz w:val="20"/>
                <w:szCs w:val="20"/>
              </w:rPr>
              <w:t>Biomost</w:t>
            </w:r>
            <w:proofErr w:type="spellEnd"/>
            <w:r w:rsidRPr="00777F8C">
              <w:rPr>
                <w:rFonts w:cs="Arial"/>
                <w:sz w:val="20"/>
                <w:szCs w:val="20"/>
              </w:rPr>
              <w:t>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0,0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835,7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73,2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 0,0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Lávka pro pěší, novostavba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š 3,0 m</w:t>
            </w: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97,0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137,3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145,5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108,6</w:t>
            </w:r>
          </w:p>
        </w:tc>
      </w:tr>
      <w:tr w:rsidR="00777F8C" w:rsidRPr="00777F8C" w:rsidTr="00777F8C">
        <w:trPr>
          <w:cantSplit/>
        </w:trPr>
        <w:tc>
          <w:tcPr>
            <w:tcW w:w="6236" w:type="dxa"/>
          </w:tcPr>
          <w:p w:rsidR="00777F8C" w:rsidRPr="00777F8C" w:rsidRDefault="00777F8C" w:rsidP="007017B7">
            <w:pPr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Mimoúrovňové křižovatky na silnicích I. třídy</w:t>
            </w:r>
          </w:p>
        </w:tc>
        <w:tc>
          <w:tcPr>
            <w:tcW w:w="1275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7F8C" w:rsidRPr="00777F8C" w:rsidRDefault="00777F8C" w:rsidP="001F087A">
            <w:pPr>
              <w:ind w:right="284"/>
              <w:jc w:val="right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 6,9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240,4</w:t>
            </w:r>
          </w:p>
        </w:tc>
        <w:tc>
          <w:tcPr>
            <w:tcW w:w="1311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63,9</w:t>
            </w:r>
          </w:p>
        </w:tc>
        <w:tc>
          <w:tcPr>
            <w:tcW w:w="1312" w:type="dxa"/>
          </w:tcPr>
          <w:p w:rsidR="00777F8C" w:rsidRPr="00777F8C" w:rsidRDefault="00777F8C" w:rsidP="007017B7">
            <w:pPr>
              <w:jc w:val="center"/>
              <w:rPr>
                <w:rFonts w:cs="Arial"/>
                <w:sz w:val="20"/>
                <w:szCs w:val="20"/>
              </w:rPr>
            </w:pPr>
            <w:r w:rsidRPr="00777F8C">
              <w:rPr>
                <w:rFonts w:cs="Arial"/>
                <w:sz w:val="20"/>
                <w:szCs w:val="20"/>
              </w:rPr>
              <w:t xml:space="preserve">     62,1</w:t>
            </w:r>
          </w:p>
        </w:tc>
      </w:tr>
    </w:tbl>
    <w:p w:rsidR="00777F8C" w:rsidRDefault="00777F8C" w:rsidP="00777F8C">
      <w:pPr>
        <w:spacing w:before="40"/>
        <w:rPr>
          <w:sz w:val="20"/>
          <w:szCs w:val="20"/>
        </w:rPr>
      </w:pPr>
      <w:r>
        <w:rPr>
          <w:b/>
          <w:sz w:val="20"/>
          <w:szCs w:val="20"/>
        </w:rPr>
        <w:t>Zdroj</w:t>
      </w:r>
      <w:r w:rsidRPr="000253C0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2736E5">
        <w:rPr>
          <w:sz w:val="20"/>
          <w:szCs w:val="20"/>
        </w:rPr>
        <w:t>v</w:t>
      </w:r>
      <w:r>
        <w:rPr>
          <w:sz w:val="20"/>
          <w:szCs w:val="20"/>
        </w:rPr>
        <w:t>lastní výpoč</w:t>
      </w:r>
      <w:r w:rsidR="002736E5">
        <w:rPr>
          <w:sz w:val="20"/>
          <w:szCs w:val="20"/>
        </w:rPr>
        <w:t>ty</w:t>
      </w:r>
      <w:r>
        <w:rPr>
          <w:sz w:val="20"/>
          <w:szCs w:val="20"/>
        </w:rPr>
        <w:t xml:space="preserve"> </w:t>
      </w:r>
      <w:r w:rsidR="001F087A">
        <w:rPr>
          <w:sz w:val="20"/>
          <w:szCs w:val="20"/>
        </w:rPr>
        <w:t xml:space="preserve">vycházející </w:t>
      </w:r>
      <w:r>
        <w:rPr>
          <w:sz w:val="20"/>
          <w:szCs w:val="20"/>
        </w:rPr>
        <w:t xml:space="preserve">z podkladů správ a závodů ŘSD a </w:t>
      </w:r>
      <w:r w:rsidR="002736E5">
        <w:rPr>
          <w:sz w:val="20"/>
          <w:szCs w:val="20"/>
        </w:rPr>
        <w:t>c</w:t>
      </w:r>
      <w:r>
        <w:rPr>
          <w:sz w:val="20"/>
          <w:szCs w:val="20"/>
        </w:rPr>
        <w:t>enové normativy</w:t>
      </w:r>
      <w:r w:rsidR="001F087A">
        <w:rPr>
          <w:sz w:val="20"/>
          <w:szCs w:val="20"/>
        </w:rPr>
        <w:t xml:space="preserve"> MD pro</w:t>
      </w:r>
      <w:r>
        <w:rPr>
          <w:sz w:val="20"/>
          <w:szCs w:val="20"/>
        </w:rPr>
        <w:t xml:space="preserve"> stav</w:t>
      </w:r>
      <w:r w:rsidR="001F087A">
        <w:rPr>
          <w:sz w:val="20"/>
          <w:szCs w:val="20"/>
        </w:rPr>
        <w:t>by</w:t>
      </w:r>
      <w:r>
        <w:rPr>
          <w:sz w:val="20"/>
          <w:szCs w:val="20"/>
        </w:rPr>
        <w:t xml:space="preserve"> pozemních komunikací.</w:t>
      </w:r>
    </w:p>
    <w:p w:rsidR="00777F8C" w:rsidRDefault="00777F8C" w:rsidP="000253C0">
      <w:pPr>
        <w:rPr>
          <w:rFonts w:cs="Arial"/>
          <w:sz w:val="20"/>
          <w:szCs w:val="20"/>
        </w:rPr>
      </w:pPr>
      <w:r>
        <w:rPr>
          <w:b/>
          <w:sz w:val="20"/>
          <w:szCs w:val="20"/>
        </w:rPr>
        <w:t>Pozn</w:t>
      </w:r>
      <w:r w:rsidR="002736E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 xml:space="preserve">Ceny </w:t>
      </w:r>
      <w:r w:rsidR="002736E5">
        <w:rPr>
          <w:rFonts w:cs="Arial"/>
          <w:sz w:val="20"/>
          <w:szCs w:val="20"/>
        </w:rPr>
        <w:t xml:space="preserve">jsou </w:t>
      </w:r>
      <w:r>
        <w:rPr>
          <w:rFonts w:cs="Arial"/>
          <w:sz w:val="20"/>
          <w:szCs w:val="20"/>
        </w:rPr>
        <w:t>uvedeny v </w:t>
      </w:r>
      <w:r w:rsidR="002736E5">
        <w:rPr>
          <w:rFonts w:cs="Arial"/>
          <w:sz w:val="20"/>
          <w:szCs w:val="20"/>
        </w:rPr>
        <w:t>cenové úrovni z roku</w:t>
      </w:r>
      <w:r>
        <w:rPr>
          <w:rFonts w:cs="Arial"/>
          <w:sz w:val="20"/>
          <w:szCs w:val="20"/>
        </w:rPr>
        <w:t xml:space="preserve"> 2010</w:t>
      </w:r>
      <w:r w:rsidR="002736E5">
        <w:rPr>
          <w:rFonts w:cs="Arial"/>
          <w:sz w:val="20"/>
          <w:szCs w:val="20"/>
        </w:rPr>
        <w:t>.</w:t>
      </w:r>
    </w:p>
    <w:p w:rsidR="00777F8C" w:rsidRPr="00A404C7" w:rsidRDefault="00777F8C" w:rsidP="00747358">
      <w:pPr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N </w:t>
      </w:r>
      <w:r w:rsidR="001F087A">
        <w:rPr>
          <w:sz w:val="20"/>
          <w:szCs w:val="20"/>
        </w:rPr>
        <w:t>…</w:t>
      </w:r>
      <w:r w:rsidR="002736E5">
        <w:rPr>
          <w:sz w:val="20"/>
          <w:szCs w:val="20"/>
        </w:rPr>
        <w:tab/>
        <w:t>Z</w:t>
      </w:r>
      <w:r>
        <w:rPr>
          <w:sz w:val="20"/>
          <w:szCs w:val="20"/>
        </w:rPr>
        <w:t> vyhodnocení vyplývá, že ŘSD poskytlo nepřesné podklady.</w:t>
      </w:r>
    </w:p>
    <w:p w:rsidR="00267D8F" w:rsidRDefault="00267D8F" w:rsidP="002041DA">
      <w:pPr>
        <w:jc w:val="both"/>
        <w:rPr>
          <w:rFonts w:cs="Arial"/>
          <w:b/>
          <w:sz w:val="22"/>
          <w:szCs w:val="22"/>
        </w:rPr>
      </w:pPr>
    </w:p>
    <w:sectPr w:rsidR="00267D8F" w:rsidSect="007017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E6" w:rsidRDefault="009D1AE6">
      <w:r>
        <w:separator/>
      </w:r>
    </w:p>
  </w:endnote>
  <w:endnote w:type="continuationSeparator" w:id="0">
    <w:p w:rsidR="009D1AE6" w:rsidRDefault="009D1AE6">
      <w:r>
        <w:continuationSeparator/>
      </w:r>
    </w:p>
  </w:endnote>
  <w:endnote w:type="continuationNotice" w:id="1">
    <w:p w:rsidR="009D1AE6" w:rsidRDefault="009D1A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E6" w:rsidRDefault="009D1A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9D1AE6" w:rsidRDefault="009D1A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733517"/>
      <w:docPartObj>
        <w:docPartGallery w:val="Page Numbers (Bottom of Page)"/>
        <w:docPartUnique/>
      </w:docPartObj>
    </w:sdtPr>
    <w:sdtEndPr>
      <w:rPr>
        <w:rFonts w:cs="Arial"/>
        <w:sz w:val="22"/>
        <w:szCs w:val="22"/>
      </w:rPr>
    </w:sdtEndPr>
    <w:sdtContent>
      <w:p w:rsidR="009D1AE6" w:rsidRPr="00730749" w:rsidRDefault="009D1AE6" w:rsidP="0037324C">
        <w:pPr>
          <w:pStyle w:val="Zpat"/>
          <w:jc w:val="center"/>
          <w:rPr>
            <w:rFonts w:cs="Arial"/>
            <w:sz w:val="22"/>
            <w:szCs w:val="22"/>
          </w:rPr>
        </w:pPr>
        <w:r w:rsidRPr="00730749">
          <w:rPr>
            <w:rFonts w:cs="Arial"/>
            <w:sz w:val="22"/>
            <w:szCs w:val="22"/>
          </w:rPr>
          <w:fldChar w:fldCharType="begin"/>
        </w:r>
        <w:r w:rsidRPr="00730749">
          <w:rPr>
            <w:rFonts w:cs="Arial"/>
            <w:sz w:val="22"/>
            <w:szCs w:val="22"/>
          </w:rPr>
          <w:instrText xml:space="preserve"> PAGE   \* MERGEFORMAT </w:instrText>
        </w:r>
        <w:r w:rsidRPr="00730749">
          <w:rPr>
            <w:rFonts w:cs="Arial"/>
            <w:sz w:val="22"/>
            <w:szCs w:val="22"/>
          </w:rPr>
          <w:fldChar w:fldCharType="separate"/>
        </w:r>
        <w:r w:rsidR="001834CC">
          <w:rPr>
            <w:rFonts w:cs="Arial"/>
            <w:noProof/>
            <w:sz w:val="22"/>
            <w:szCs w:val="22"/>
          </w:rPr>
          <w:t>5</w:t>
        </w:r>
        <w:r w:rsidRPr="00730749">
          <w:rPr>
            <w:rFonts w:cs="Arial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E6" w:rsidRDefault="009D1A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9D1AE6" w:rsidRDefault="009D1AE6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E6" w:rsidRPr="00777F8C" w:rsidRDefault="009D1AE6" w:rsidP="00777F8C">
    <w:pPr>
      <w:pStyle w:val="Zpat"/>
      <w:tabs>
        <w:tab w:val="clear" w:pos="4536"/>
        <w:tab w:val="clear" w:pos="9072"/>
      </w:tabs>
      <w:jc w:val="center"/>
      <w:rPr>
        <w:rFonts w:cs="Arial"/>
        <w:color w:val="FFFFFF" w:themeColor="background1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E6" w:rsidRDefault="009D1AE6">
      <w:r>
        <w:separator/>
      </w:r>
    </w:p>
  </w:footnote>
  <w:footnote w:type="continuationSeparator" w:id="0">
    <w:p w:rsidR="009D1AE6" w:rsidRDefault="009D1AE6">
      <w:r>
        <w:continuationSeparator/>
      </w:r>
    </w:p>
  </w:footnote>
  <w:footnote w:type="continuationNotice" w:id="1">
    <w:p w:rsidR="009D1AE6" w:rsidRDefault="009D1AE6"/>
  </w:footnote>
  <w:footnote w:id="2">
    <w:p w:rsidR="009D1AE6" w:rsidRPr="00043B6B" w:rsidRDefault="009D1AE6" w:rsidP="00043B6B">
      <w:pPr>
        <w:pStyle w:val="Textpoznpodarou"/>
        <w:ind w:left="284" w:hanging="284"/>
        <w:rPr>
          <w:sz w:val="18"/>
          <w:szCs w:val="18"/>
        </w:rPr>
      </w:pPr>
      <w:r w:rsidRPr="00043B6B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043B6B">
        <w:rPr>
          <w:sz w:val="18"/>
          <w:szCs w:val="18"/>
        </w:rPr>
        <w:t xml:space="preserve">§ 4 zákona č. 13/1997 Sb., </w:t>
      </w:r>
      <w:r w:rsidRPr="008151D1">
        <w:rPr>
          <w:sz w:val="18"/>
          <w:szCs w:val="18"/>
        </w:rPr>
        <w:t>o pozemních komunikacích</w:t>
      </w:r>
      <w:r w:rsidRPr="00043B6B">
        <w:rPr>
          <w:sz w:val="18"/>
          <w:szCs w:val="18"/>
        </w:rPr>
        <w:t>.</w:t>
      </w:r>
    </w:p>
  </w:footnote>
  <w:footnote w:id="3">
    <w:p w:rsidR="009D1AE6" w:rsidRPr="00922C08" w:rsidRDefault="009D1AE6" w:rsidP="00043B6B">
      <w:pPr>
        <w:pStyle w:val="Textpoznpodarou"/>
        <w:ind w:left="284" w:hanging="284"/>
        <w:rPr>
          <w:rFonts w:cs="Arial"/>
          <w:sz w:val="18"/>
          <w:szCs w:val="18"/>
        </w:rPr>
      </w:pPr>
      <w:r w:rsidRPr="00922C08">
        <w:rPr>
          <w:rStyle w:val="Znakapoznpodarou"/>
          <w:rFonts w:cs="Arial"/>
          <w:sz w:val="18"/>
          <w:szCs w:val="18"/>
        </w:rPr>
        <w:footnoteRef/>
      </w:r>
      <w:r w:rsidRPr="00922C08">
        <w:rPr>
          <w:rFonts w:cs="Arial"/>
          <w:sz w:val="18"/>
          <w:szCs w:val="18"/>
        </w:rPr>
        <w:tab/>
        <w:t>§ 5 odst. 3 zákona č. 13/1997 Sb.</w:t>
      </w:r>
    </w:p>
  </w:footnote>
  <w:footnote w:id="4">
    <w:p w:rsidR="009D1AE6" w:rsidRPr="00922C08" w:rsidRDefault="009D1AE6" w:rsidP="00043B6B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922C08">
        <w:rPr>
          <w:rStyle w:val="Znakapoznpodarou"/>
          <w:rFonts w:cs="Arial"/>
          <w:sz w:val="18"/>
          <w:szCs w:val="18"/>
        </w:rPr>
        <w:footnoteRef/>
      </w:r>
      <w:r w:rsidRPr="00922C08">
        <w:rPr>
          <w:rFonts w:cs="Arial"/>
          <w:sz w:val="18"/>
          <w:szCs w:val="18"/>
        </w:rPr>
        <w:tab/>
        <w:t xml:space="preserve">§ 17 a § 22 zákona č. 2/1969 Sb., </w:t>
      </w:r>
      <w:r w:rsidRPr="008151D1">
        <w:rPr>
          <w:rFonts w:cs="Arial"/>
          <w:sz w:val="18"/>
          <w:szCs w:val="18"/>
        </w:rPr>
        <w:t>o zřízení ministerstev a jiných ústředních orgánů státní správy České republi</w:t>
      </w:r>
      <w:r w:rsidRPr="00922C08">
        <w:rPr>
          <w:rFonts w:cs="Arial"/>
          <w:sz w:val="18"/>
          <w:szCs w:val="18"/>
        </w:rPr>
        <w:t>ky.</w:t>
      </w:r>
    </w:p>
  </w:footnote>
  <w:footnote w:id="5">
    <w:p w:rsidR="009D1AE6" w:rsidRPr="00922C08" w:rsidRDefault="009D1AE6" w:rsidP="00043B6B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922C08">
        <w:rPr>
          <w:rStyle w:val="Znakapoznpodarou"/>
          <w:rFonts w:cs="Arial"/>
          <w:sz w:val="18"/>
          <w:szCs w:val="18"/>
        </w:rPr>
        <w:footnoteRef/>
      </w:r>
      <w:r w:rsidRPr="00922C08">
        <w:rPr>
          <w:rFonts w:cs="Arial"/>
          <w:sz w:val="18"/>
          <w:szCs w:val="18"/>
        </w:rPr>
        <w:tab/>
        <w:t>Zákon č. 104/2000 Sb.,</w:t>
      </w:r>
      <w:r w:rsidRPr="00B579C1">
        <w:rPr>
          <w:rFonts w:cs="Arial"/>
          <w:sz w:val="18"/>
          <w:szCs w:val="18"/>
        </w:rPr>
        <w:t xml:space="preserve"> </w:t>
      </w:r>
      <w:r w:rsidRPr="008151D1">
        <w:rPr>
          <w:rFonts w:cs="Arial"/>
          <w:sz w:val="18"/>
          <w:szCs w:val="18"/>
        </w:rPr>
        <w:t>o Státním fondu dopravní infrastruktury a o změně zákona č. 171/199</w:t>
      </w:r>
      <w:r>
        <w:rPr>
          <w:rFonts w:cs="Arial"/>
          <w:sz w:val="18"/>
          <w:szCs w:val="18"/>
        </w:rPr>
        <w:t>1</w:t>
      </w:r>
      <w:r w:rsidRPr="008151D1">
        <w:rPr>
          <w:rFonts w:cs="Arial"/>
          <w:sz w:val="18"/>
          <w:szCs w:val="18"/>
        </w:rPr>
        <w:t xml:space="preserve"> Sb., o působnosti orgánů České republiky ve věcech převod</w:t>
      </w:r>
      <w:r>
        <w:rPr>
          <w:rFonts w:cs="Arial"/>
          <w:sz w:val="18"/>
          <w:szCs w:val="18"/>
        </w:rPr>
        <w:t>ů</w:t>
      </w:r>
      <w:r w:rsidRPr="008151D1">
        <w:rPr>
          <w:rFonts w:cs="Arial"/>
          <w:sz w:val="18"/>
          <w:szCs w:val="18"/>
        </w:rPr>
        <w:t xml:space="preserve"> majetku státu na jiné osoby a </w:t>
      </w:r>
      <w:r>
        <w:rPr>
          <w:rFonts w:cs="Arial"/>
          <w:sz w:val="18"/>
          <w:szCs w:val="18"/>
        </w:rPr>
        <w:t>o </w:t>
      </w:r>
      <w:r w:rsidRPr="008151D1">
        <w:rPr>
          <w:rFonts w:cs="Arial"/>
          <w:sz w:val="18"/>
          <w:szCs w:val="18"/>
        </w:rPr>
        <w:t>Fondu národního majetku České republiky</w:t>
      </w:r>
      <w:r w:rsidRPr="00922C08">
        <w:rPr>
          <w:rFonts w:cs="Arial"/>
          <w:sz w:val="18"/>
          <w:szCs w:val="18"/>
        </w:rPr>
        <w:t>.</w:t>
      </w:r>
    </w:p>
  </w:footnote>
  <w:footnote w:id="6">
    <w:p w:rsidR="009D1AE6" w:rsidRPr="00922C08" w:rsidRDefault="009D1AE6" w:rsidP="00043B6B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922C08">
        <w:rPr>
          <w:rStyle w:val="Znakapoznpodarou"/>
          <w:rFonts w:cs="Arial"/>
          <w:sz w:val="18"/>
          <w:szCs w:val="18"/>
        </w:rPr>
        <w:footnoteRef/>
      </w:r>
      <w:r w:rsidRPr="00922C08">
        <w:rPr>
          <w:rFonts w:cs="Arial"/>
          <w:sz w:val="18"/>
          <w:szCs w:val="18"/>
        </w:rPr>
        <w:tab/>
        <w:t>Jde o orientační údaj, neboť v některých případech nebyly podklady, které poskytlo ŘSD, úplné nebo věrohodné</w:t>
      </w:r>
      <w:r>
        <w:rPr>
          <w:rFonts w:cs="Arial"/>
          <w:sz w:val="18"/>
          <w:szCs w:val="18"/>
        </w:rPr>
        <w:t>,</w:t>
      </w:r>
      <w:r w:rsidRPr="00922C08">
        <w:rPr>
          <w:rFonts w:cs="Arial"/>
          <w:sz w:val="18"/>
          <w:szCs w:val="18"/>
        </w:rPr>
        <w:t xml:space="preserve"> a u nezrealizovaných staveb jde o předpokládané náklady.</w:t>
      </w:r>
    </w:p>
  </w:footnote>
  <w:footnote w:id="7">
    <w:p w:rsidR="009D1AE6" w:rsidRPr="00922C08" w:rsidRDefault="009D1AE6" w:rsidP="00043B6B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922C08">
        <w:rPr>
          <w:rStyle w:val="Znakapoznpodarou"/>
          <w:rFonts w:cs="Arial"/>
          <w:sz w:val="18"/>
          <w:szCs w:val="18"/>
        </w:rPr>
        <w:footnoteRef/>
      </w:r>
      <w:r w:rsidRPr="00922C08">
        <w:rPr>
          <w:rFonts w:cs="Arial"/>
          <w:sz w:val="18"/>
          <w:szCs w:val="18"/>
        </w:rPr>
        <w:tab/>
        <w:t xml:space="preserve">Koncepční materiál MD, který definoval síť D a R. Byl schválen usnesením vlády ze dne 21. července 1999 č. 741, </w:t>
      </w:r>
      <w:r w:rsidRPr="00922C08">
        <w:rPr>
          <w:rFonts w:cs="Arial"/>
          <w:i/>
          <w:sz w:val="18"/>
          <w:szCs w:val="18"/>
        </w:rPr>
        <w:t>k Návrhu rozvoje dopravních sítí v České republice do roku 2010</w:t>
      </w:r>
      <w:r w:rsidRPr="00922C08">
        <w:rPr>
          <w:rFonts w:cs="Arial"/>
          <w:sz w:val="18"/>
          <w:szCs w:val="18"/>
        </w:rPr>
        <w:t xml:space="preserve">. </w:t>
      </w:r>
    </w:p>
  </w:footnote>
  <w:footnote w:id="8">
    <w:p w:rsidR="009D1AE6" w:rsidRPr="00922C08" w:rsidRDefault="009D1AE6" w:rsidP="00D57D9E">
      <w:pPr>
        <w:pStyle w:val="Textpoznpodarou"/>
        <w:ind w:left="284" w:hanging="284"/>
        <w:jc w:val="both"/>
        <w:rPr>
          <w:rFonts w:cs="Arial"/>
          <w:i/>
          <w:sz w:val="18"/>
          <w:szCs w:val="18"/>
        </w:rPr>
      </w:pPr>
      <w:r w:rsidRPr="00922C08">
        <w:rPr>
          <w:rStyle w:val="Znakapoznpodarou"/>
          <w:rFonts w:cs="Arial"/>
          <w:sz w:val="18"/>
          <w:szCs w:val="18"/>
        </w:rPr>
        <w:footnoteRef/>
      </w:r>
      <w:r w:rsidRPr="00922C08">
        <w:rPr>
          <w:rFonts w:cs="Arial"/>
          <w:sz w:val="18"/>
          <w:szCs w:val="18"/>
        </w:rPr>
        <w:tab/>
        <w:t xml:space="preserve">Byla schválena vládou usnesením ze dne 13. července 2005 č. 882, </w:t>
      </w:r>
      <w:r w:rsidRPr="00922C08">
        <w:rPr>
          <w:rFonts w:cs="Arial"/>
          <w:i/>
          <w:sz w:val="18"/>
          <w:szCs w:val="18"/>
        </w:rPr>
        <w:t>k Dopravní politice České republiky pro léta 2005–2013</w:t>
      </w:r>
      <w:r w:rsidRPr="00922C08">
        <w:rPr>
          <w:rFonts w:cs="Arial"/>
          <w:sz w:val="18"/>
          <w:szCs w:val="18"/>
        </w:rPr>
        <w:t xml:space="preserve">. </w:t>
      </w:r>
      <w:r w:rsidRPr="00922C08">
        <w:rPr>
          <w:rFonts w:cs="Arial"/>
          <w:i/>
          <w:sz w:val="18"/>
          <w:szCs w:val="18"/>
        </w:rPr>
        <w:t xml:space="preserve"> </w:t>
      </w:r>
    </w:p>
  </w:footnote>
  <w:footnote w:id="9">
    <w:p w:rsidR="009D1AE6" w:rsidRPr="00922C08" w:rsidRDefault="009D1AE6" w:rsidP="00D57D9E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922C08">
        <w:rPr>
          <w:rStyle w:val="Znakapoznpodarou"/>
          <w:rFonts w:cs="Arial"/>
          <w:sz w:val="18"/>
          <w:szCs w:val="18"/>
        </w:rPr>
        <w:footnoteRef/>
      </w:r>
      <w:r w:rsidRPr="00922C08">
        <w:rPr>
          <w:rFonts w:cs="Arial"/>
          <w:sz w:val="18"/>
          <w:szCs w:val="18"/>
        </w:rPr>
        <w:tab/>
        <w:t xml:space="preserve">Podrobněji je tato problematika rozvedena v kontrolních závěrech z kontrolních akcí č. 06/36 a č. 09/27 (kontrolní závěry byly zveřejněny ve </w:t>
      </w:r>
      <w:r w:rsidRPr="00922C08">
        <w:rPr>
          <w:rFonts w:cs="Arial"/>
          <w:i/>
          <w:sz w:val="18"/>
          <w:szCs w:val="18"/>
        </w:rPr>
        <w:t>Věstníku NKÚ</w:t>
      </w:r>
      <w:r w:rsidRPr="00922C08">
        <w:rPr>
          <w:rFonts w:cs="Arial"/>
          <w:sz w:val="18"/>
          <w:szCs w:val="18"/>
        </w:rPr>
        <w:t xml:space="preserve"> v částkách 3/2007 a 4/2010).</w:t>
      </w:r>
    </w:p>
  </w:footnote>
  <w:footnote w:id="10">
    <w:p w:rsidR="009D1AE6" w:rsidRPr="00922C08" w:rsidRDefault="009D1AE6" w:rsidP="00D57D9E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922C08">
        <w:rPr>
          <w:rStyle w:val="Znakapoznpodarou"/>
          <w:rFonts w:cs="Arial"/>
          <w:sz w:val="18"/>
          <w:szCs w:val="18"/>
        </w:rPr>
        <w:footnoteRef/>
      </w:r>
      <w:r w:rsidRPr="00922C08">
        <w:rPr>
          <w:rFonts w:cs="Arial"/>
          <w:sz w:val="18"/>
          <w:szCs w:val="18"/>
        </w:rPr>
        <w:tab/>
        <w:t xml:space="preserve">Materiál schválila vláda usnesením ze dne 19. září 2007 č. 1064, </w:t>
      </w:r>
      <w:r w:rsidRPr="00922C08">
        <w:rPr>
          <w:rFonts w:cs="Arial"/>
          <w:i/>
          <w:sz w:val="18"/>
          <w:szCs w:val="18"/>
        </w:rPr>
        <w:t>o Harmonogramu výstavby dopravní infrastruktury v letech 2008 až 2013</w:t>
      </w:r>
      <w:r w:rsidRPr="00922C08">
        <w:rPr>
          <w:rFonts w:cs="Arial"/>
          <w:sz w:val="18"/>
          <w:szCs w:val="18"/>
        </w:rPr>
        <w:t xml:space="preserve">. </w:t>
      </w:r>
    </w:p>
  </w:footnote>
  <w:footnote w:id="11">
    <w:p w:rsidR="009D1AE6" w:rsidRPr="00922C08" w:rsidRDefault="009D1AE6" w:rsidP="00D57D9E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922C08">
        <w:rPr>
          <w:rStyle w:val="Znakapoznpodarou"/>
          <w:rFonts w:cs="Arial"/>
          <w:sz w:val="18"/>
          <w:szCs w:val="18"/>
        </w:rPr>
        <w:footnoteRef/>
      </w:r>
      <w:r w:rsidRPr="00922C08">
        <w:rPr>
          <w:rFonts w:cs="Arial"/>
          <w:sz w:val="18"/>
          <w:szCs w:val="18"/>
        </w:rPr>
        <w:tab/>
        <w:t xml:space="preserve">Strategii mělo MD předložit vládě na základě úkolu z usnesení vlády ze dne 29. září 2010 č. 693, </w:t>
      </w:r>
      <w:r w:rsidRPr="00922C08">
        <w:rPr>
          <w:rFonts w:cs="Arial"/>
          <w:i/>
          <w:sz w:val="18"/>
          <w:szCs w:val="18"/>
        </w:rPr>
        <w:t>o rozpočtu Státního fondu dopravní infrastruktury na rok 2011 a o střednědobém výhledu na roky 2012 a 2013.</w:t>
      </w:r>
      <w:r w:rsidRPr="00922C08">
        <w:rPr>
          <w:rFonts w:cs="Arial"/>
          <w:sz w:val="18"/>
          <w:szCs w:val="18"/>
        </w:rPr>
        <w:t xml:space="preserve"> </w:t>
      </w:r>
    </w:p>
  </w:footnote>
  <w:footnote w:id="12">
    <w:p w:rsidR="009D1AE6" w:rsidRPr="00922C08" w:rsidRDefault="009D1AE6" w:rsidP="00D57D9E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922C08">
        <w:rPr>
          <w:rStyle w:val="Znakapoznpodarou"/>
          <w:rFonts w:cs="Arial"/>
          <w:sz w:val="18"/>
          <w:szCs w:val="18"/>
        </w:rPr>
        <w:footnoteRef/>
      </w:r>
      <w:r w:rsidRPr="00922C08">
        <w:rPr>
          <w:rFonts w:cs="Arial"/>
          <w:sz w:val="18"/>
          <w:szCs w:val="18"/>
        </w:rPr>
        <w:tab/>
        <w:t xml:space="preserve">Vláda vzala aktualizaci na vědomí usnesením ze dne 11. ledna 2012 č. 25, </w:t>
      </w:r>
      <w:r w:rsidRPr="00922C08">
        <w:rPr>
          <w:rFonts w:cs="Arial"/>
          <w:i/>
          <w:sz w:val="18"/>
          <w:szCs w:val="18"/>
        </w:rPr>
        <w:t>k Harmonogramu výstavby dopravní infrastruktury v letech 2008–2013</w:t>
      </w:r>
      <w:r w:rsidRPr="00922C08">
        <w:rPr>
          <w:rFonts w:cs="Arial"/>
          <w:sz w:val="18"/>
          <w:szCs w:val="18"/>
        </w:rPr>
        <w:t>.</w:t>
      </w:r>
    </w:p>
  </w:footnote>
  <w:footnote w:id="13">
    <w:p w:rsidR="009D1AE6" w:rsidRPr="00922C08" w:rsidRDefault="009D1AE6" w:rsidP="00D57D9E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922C08">
        <w:rPr>
          <w:rStyle w:val="Znakapoznpodarou"/>
          <w:rFonts w:cs="Arial"/>
          <w:sz w:val="18"/>
          <w:szCs w:val="18"/>
        </w:rPr>
        <w:footnoteRef/>
      </w:r>
      <w:r w:rsidRPr="00922C08">
        <w:rPr>
          <w:rFonts w:cs="Arial"/>
          <w:sz w:val="18"/>
          <w:szCs w:val="18"/>
        </w:rPr>
        <w:tab/>
        <w:t xml:space="preserve">Usnesení vlády ze dne 11. ledna 2012 č. 24, </w:t>
      </w:r>
      <w:r w:rsidRPr="00922C08">
        <w:rPr>
          <w:rFonts w:cs="Arial"/>
          <w:i/>
          <w:sz w:val="18"/>
          <w:szCs w:val="18"/>
        </w:rPr>
        <w:t>ke Strategii rozvoje dopravní infrastruktury v České republice</w:t>
      </w:r>
      <w:r w:rsidRPr="00922C08">
        <w:rPr>
          <w:rFonts w:cs="Arial"/>
          <w:sz w:val="18"/>
          <w:szCs w:val="18"/>
        </w:rPr>
        <w:t xml:space="preserve">.  </w:t>
      </w:r>
    </w:p>
  </w:footnote>
  <w:footnote w:id="14">
    <w:p w:rsidR="009D1AE6" w:rsidRPr="00922C08" w:rsidRDefault="009D1AE6" w:rsidP="000979E8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922C08">
        <w:rPr>
          <w:rStyle w:val="Znakapoznpodarou"/>
          <w:rFonts w:cs="Arial"/>
          <w:sz w:val="18"/>
          <w:szCs w:val="18"/>
        </w:rPr>
        <w:footnoteRef/>
      </w:r>
      <w:r w:rsidRPr="00922C08">
        <w:rPr>
          <w:rFonts w:cs="Arial"/>
          <w:sz w:val="18"/>
          <w:szCs w:val="18"/>
        </w:rPr>
        <w:tab/>
        <w:t>Podrobněji je tato problematika rozvedena v kontrolním závěru z kontrolní akce č. 10/15</w:t>
      </w:r>
      <w:r w:rsidR="00747358">
        <w:rPr>
          <w:rFonts w:cs="Arial"/>
          <w:sz w:val="18"/>
          <w:szCs w:val="18"/>
        </w:rPr>
        <w:t>,</w:t>
      </w:r>
      <w:r w:rsidRPr="00922C08">
        <w:rPr>
          <w:rFonts w:cs="Arial"/>
          <w:sz w:val="18"/>
          <w:szCs w:val="18"/>
        </w:rPr>
        <w:t xml:space="preserve"> který byl zveřejněn v částce 2/2011 </w:t>
      </w:r>
      <w:r w:rsidRPr="00922C08">
        <w:rPr>
          <w:rFonts w:cs="Arial"/>
          <w:i/>
          <w:sz w:val="18"/>
          <w:szCs w:val="18"/>
        </w:rPr>
        <w:t>Věstníku NKÚ</w:t>
      </w:r>
      <w:r w:rsidRPr="00922C08">
        <w:rPr>
          <w:rFonts w:cs="Arial"/>
          <w:sz w:val="18"/>
          <w:szCs w:val="18"/>
        </w:rPr>
        <w:t xml:space="preserve">.  </w:t>
      </w:r>
    </w:p>
  </w:footnote>
  <w:footnote w:id="15">
    <w:p w:rsidR="009D1AE6" w:rsidRPr="00922C08" w:rsidRDefault="009D1AE6" w:rsidP="00E218BA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922C08">
        <w:rPr>
          <w:rStyle w:val="Znakapoznpodarou"/>
          <w:rFonts w:cs="Arial"/>
          <w:sz w:val="18"/>
          <w:szCs w:val="18"/>
        </w:rPr>
        <w:footnoteRef/>
      </w:r>
      <w:r w:rsidRPr="00922C08">
        <w:rPr>
          <w:rFonts w:cs="Arial"/>
          <w:sz w:val="18"/>
          <w:szCs w:val="18"/>
        </w:rPr>
        <w:tab/>
        <w:t>Podle</w:t>
      </w:r>
      <w:r>
        <w:rPr>
          <w:rFonts w:cs="Arial"/>
          <w:sz w:val="18"/>
          <w:szCs w:val="18"/>
        </w:rPr>
        <w:t xml:space="preserve"> </w:t>
      </w:r>
      <w:r w:rsidRPr="00922C08">
        <w:rPr>
          <w:rFonts w:cs="Arial"/>
          <w:sz w:val="18"/>
          <w:szCs w:val="18"/>
        </w:rPr>
        <w:t xml:space="preserve">předkládací zprávy k usnesení vlády ze dne 13. července 2005 č. 882, kterým byla </w:t>
      </w:r>
      <w:r w:rsidRPr="00922C08">
        <w:rPr>
          <w:rFonts w:cs="Arial"/>
          <w:i/>
          <w:sz w:val="18"/>
          <w:szCs w:val="18"/>
        </w:rPr>
        <w:t>Dopravní politika ČR pro léta 2005–2013</w:t>
      </w:r>
      <w:r w:rsidRPr="00922C08">
        <w:rPr>
          <w:rFonts w:cs="Arial"/>
          <w:sz w:val="18"/>
          <w:szCs w:val="18"/>
        </w:rPr>
        <w:t xml:space="preserve"> schválena. </w:t>
      </w:r>
    </w:p>
  </w:footnote>
  <w:footnote w:id="16">
    <w:p w:rsidR="009D1AE6" w:rsidRPr="00F92AAF" w:rsidRDefault="009D1AE6" w:rsidP="007948FA">
      <w:pPr>
        <w:pStyle w:val="Textpoznpodarou"/>
        <w:ind w:left="284" w:hanging="284"/>
        <w:rPr>
          <w:rFonts w:cs="Arial"/>
          <w:sz w:val="18"/>
          <w:szCs w:val="18"/>
        </w:rPr>
      </w:pPr>
      <w:r w:rsidRPr="00F92AAF">
        <w:rPr>
          <w:rStyle w:val="Znakapoznpodarou"/>
          <w:rFonts w:cs="Arial"/>
          <w:sz w:val="18"/>
          <w:szCs w:val="18"/>
        </w:rPr>
        <w:footnoteRef/>
      </w:r>
      <w:r w:rsidRPr="00F92AAF">
        <w:rPr>
          <w:rFonts w:cs="Arial"/>
          <w:sz w:val="18"/>
          <w:szCs w:val="18"/>
        </w:rPr>
        <w:tab/>
        <w:t>§ 2 odst. 1 zákona č. 104/2000 Sb.</w:t>
      </w:r>
    </w:p>
  </w:footnote>
  <w:footnote w:id="17">
    <w:p w:rsidR="009D1AE6" w:rsidRPr="00F92AAF" w:rsidRDefault="009D1AE6" w:rsidP="004F0C9A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F92AAF">
        <w:rPr>
          <w:rStyle w:val="Znakapoznpodarou"/>
          <w:rFonts w:cs="Arial"/>
          <w:sz w:val="18"/>
          <w:szCs w:val="18"/>
        </w:rPr>
        <w:footnoteRef/>
      </w:r>
      <w:r w:rsidRPr="00F92AAF">
        <w:rPr>
          <w:rFonts w:cs="Arial"/>
          <w:sz w:val="18"/>
          <w:szCs w:val="18"/>
        </w:rPr>
        <w:tab/>
        <w:t xml:space="preserve">Veřejné zdroje: převody části výnosů z bývalého Fondu národního majetku, výnos silniční daně, podíl na výnosech spotřební daně z uhlovodíkových paliv a maziv, výnosy z poplatků za použití dálnic a rychlostních komunikací a dotace ze státního rozpočtu. </w:t>
      </w:r>
    </w:p>
  </w:footnote>
  <w:footnote w:id="18">
    <w:p w:rsidR="009D1AE6" w:rsidRPr="00F92AAF" w:rsidRDefault="009D1AE6" w:rsidP="004F0C9A">
      <w:pPr>
        <w:pStyle w:val="Textpoznpodarou"/>
        <w:ind w:left="284" w:hanging="284"/>
        <w:rPr>
          <w:rFonts w:cs="Arial"/>
          <w:sz w:val="18"/>
          <w:szCs w:val="18"/>
        </w:rPr>
      </w:pPr>
      <w:r w:rsidRPr="00F92AAF">
        <w:rPr>
          <w:rStyle w:val="Znakapoznpodarou"/>
          <w:rFonts w:cs="Arial"/>
          <w:sz w:val="18"/>
          <w:szCs w:val="18"/>
        </w:rPr>
        <w:footnoteRef/>
      </w:r>
      <w:r w:rsidRPr="00F92AAF">
        <w:rPr>
          <w:rFonts w:cs="Arial"/>
          <w:sz w:val="18"/>
          <w:szCs w:val="18"/>
        </w:rPr>
        <w:tab/>
        <w:t>Ostatní zdroje: prostředky EU, úvěry, státní dluhopisy a ostatní (například úroky, pojistná plnění).</w:t>
      </w:r>
    </w:p>
  </w:footnote>
  <w:footnote w:id="19">
    <w:p w:rsidR="009D1AE6" w:rsidRPr="00F92AAF" w:rsidRDefault="009D1AE6" w:rsidP="00707EFC">
      <w:pPr>
        <w:pStyle w:val="Textpoznpodarou"/>
        <w:ind w:left="284" w:hanging="284"/>
        <w:rPr>
          <w:rFonts w:cs="Arial"/>
          <w:sz w:val="18"/>
          <w:szCs w:val="18"/>
        </w:rPr>
      </w:pPr>
      <w:r w:rsidRPr="00F92AAF">
        <w:rPr>
          <w:rStyle w:val="Znakapoznpodarou"/>
          <w:rFonts w:cs="Arial"/>
          <w:sz w:val="18"/>
          <w:szCs w:val="18"/>
        </w:rPr>
        <w:footnoteRef/>
      </w:r>
      <w:r w:rsidRPr="00F92AAF">
        <w:rPr>
          <w:rFonts w:cs="Arial"/>
          <w:sz w:val="18"/>
          <w:szCs w:val="18"/>
        </w:rPr>
        <w:tab/>
        <w:t>Výdajový rámec bez prostředků na předfinancování akcí spolufinancovaných z prostředků EU.</w:t>
      </w:r>
    </w:p>
  </w:footnote>
  <w:footnote w:id="20">
    <w:p w:rsidR="009D1AE6" w:rsidRPr="00F92AAF" w:rsidRDefault="009D1AE6" w:rsidP="007E6ACA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F92AAF">
        <w:rPr>
          <w:rStyle w:val="Znakapoznpodarou"/>
          <w:rFonts w:cs="Arial"/>
          <w:sz w:val="18"/>
          <w:szCs w:val="18"/>
        </w:rPr>
        <w:footnoteRef/>
      </w:r>
      <w:r w:rsidRPr="00F92AAF">
        <w:rPr>
          <w:rFonts w:cs="Arial"/>
          <w:sz w:val="18"/>
          <w:szCs w:val="18"/>
        </w:rPr>
        <w:tab/>
        <w:t>§ 3 zákona č. 104/2000 Sb.</w:t>
      </w:r>
    </w:p>
  </w:footnote>
  <w:footnote w:id="21">
    <w:p w:rsidR="009D1AE6" w:rsidRPr="00F92AAF" w:rsidRDefault="009D1AE6" w:rsidP="00DF76D1">
      <w:pPr>
        <w:pStyle w:val="Textpoznpodarou"/>
        <w:ind w:left="284" w:hanging="284"/>
        <w:rPr>
          <w:rFonts w:cs="Arial"/>
          <w:sz w:val="18"/>
          <w:szCs w:val="18"/>
        </w:rPr>
      </w:pPr>
      <w:r w:rsidRPr="00F92AAF">
        <w:rPr>
          <w:rStyle w:val="Znakapoznpodarou"/>
          <w:rFonts w:cs="Arial"/>
          <w:sz w:val="18"/>
          <w:szCs w:val="18"/>
        </w:rPr>
        <w:footnoteRef/>
      </w:r>
      <w:r w:rsidRPr="00F92AAF">
        <w:rPr>
          <w:rFonts w:cs="Arial"/>
          <w:sz w:val="18"/>
          <w:szCs w:val="18"/>
        </w:rPr>
        <w:tab/>
        <w:t>Podle § 3 odst. 1 zákona č. 104/2000 Sb.</w:t>
      </w:r>
    </w:p>
  </w:footnote>
  <w:footnote w:id="22">
    <w:p w:rsidR="009D1AE6" w:rsidRPr="00F92AAF" w:rsidRDefault="009D1AE6" w:rsidP="00D861CD">
      <w:pPr>
        <w:pStyle w:val="Textpoznpodarou"/>
        <w:ind w:left="284" w:hanging="284"/>
        <w:rPr>
          <w:rFonts w:cs="Arial"/>
          <w:sz w:val="18"/>
          <w:szCs w:val="18"/>
        </w:rPr>
      </w:pPr>
      <w:r w:rsidRPr="00F92AAF">
        <w:rPr>
          <w:rStyle w:val="Znakapoznpodarou"/>
          <w:rFonts w:cs="Arial"/>
          <w:sz w:val="18"/>
          <w:szCs w:val="18"/>
        </w:rPr>
        <w:footnoteRef/>
      </w:r>
      <w:r w:rsidRPr="00F92AAF">
        <w:rPr>
          <w:rFonts w:cs="Arial"/>
          <w:sz w:val="18"/>
          <w:szCs w:val="18"/>
        </w:rPr>
        <w:tab/>
        <w:t>U akcí zahájených v devadesátých letech, kdy investiční záměr nebyl vypracováván.</w:t>
      </w:r>
    </w:p>
  </w:footnote>
  <w:footnote w:id="23">
    <w:p w:rsidR="009D1AE6" w:rsidRPr="00F92AAF" w:rsidRDefault="009D1AE6" w:rsidP="00D861CD">
      <w:pPr>
        <w:pStyle w:val="Textpoznpodarou"/>
        <w:ind w:left="284" w:hanging="284"/>
        <w:rPr>
          <w:rFonts w:cs="Arial"/>
          <w:sz w:val="18"/>
          <w:szCs w:val="18"/>
        </w:rPr>
      </w:pPr>
      <w:r w:rsidRPr="00F92AAF">
        <w:rPr>
          <w:rStyle w:val="Znakapoznpodarou"/>
          <w:rFonts w:cs="Arial"/>
          <w:sz w:val="18"/>
          <w:szCs w:val="18"/>
        </w:rPr>
        <w:footnoteRef/>
      </w:r>
      <w:r w:rsidRPr="00F92AAF">
        <w:rPr>
          <w:rFonts w:cs="Arial"/>
          <w:sz w:val="18"/>
          <w:szCs w:val="18"/>
        </w:rPr>
        <w:tab/>
        <w:t xml:space="preserve">Zákon č. 183/2006 Sb., </w:t>
      </w:r>
      <w:r w:rsidRPr="00F46AC8">
        <w:rPr>
          <w:rFonts w:cs="Arial"/>
          <w:sz w:val="18"/>
          <w:szCs w:val="18"/>
        </w:rPr>
        <w:t>o územním plánování a stavebním řádu (stavební zákon)</w:t>
      </w:r>
      <w:r w:rsidRPr="00F92AAF">
        <w:rPr>
          <w:rFonts w:cs="Arial"/>
          <w:sz w:val="18"/>
          <w:szCs w:val="18"/>
        </w:rPr>
        <w:t>.</w:t>
      </w:r>
    </w:p>
  </w:footnote>
  <w:footnote w:id="24">
    <w:p w:rsidR="009D1AE6" w:rsidRPr="00F92AAF" w:rsidRDefault="009D1AE6" w:rsidP="00076806">
      <w:pPr>
        <w:pStyle w:val="Textpoznpodarou"/>
        <w:ind w:left="284" w:hanging="284"/>
        <w:rPr>
          <w:rFonts w:cs="Arial"/>
          <w:sz w:val="18"/>
          <w:szCs w:val="18"/>
        </w:rPr>
      </w:pPr>
      <w:r w:rsidRPr="00F92AAF">
        <w:rPr>
          <w:rStyle w:val="Znakapoznpodarou"/>
          <w:rFonts w:cs="Arial"/>
          <w:sz w:val="18"/>
          <w:szCs w:val="18"/>
        </w:rPr>
        <w:footnoteRef/>
      </w:r>
      <w:r w:rsidRPr="00F92AAF">
        <w:rPr>
          <w:rFonts w:cs="Arial"/>
          <w:sz w:val="18"/>
          <w:szCs w:val="18"/>
        </w:rPr>
        <w:tab/>
        <w:t xml:space="preserve">Politiku územního rozvoje schválila vláda usnesením ze dne 20. července 2009 č. 929, </w:t>
      </w:r>
      <w:r w:rsidRPr="00F92AAF">
        <w:rPr>
          <w:rFonts w:cs="Arial"/>
          <w:i/>
          <w:sz w:val="18"/>
          <w:szCs w:val="18"/>
        </w:rPr>
        <w:t>o Politice územního rozvoje České republiky 2008</w:t>
      </w:r>
      <w:r w:rsidRPr="00F92AAF">
        <w:rPr>
          <w:rFonts w:cs="Arial"/>
          <w:sz w:val="18"/>
          <w:szCs w:val="18"/>
        </w:rPr>
        <w:t>.</w:t>
      </w:r>
    </w:p>
  </w:footnote>
  <w:footnote w:id="25">
    <w:p w:rsidR="009D1AE6" w:rsidRPr="00F92AAF" w:rsidRDefault="009D1AE6" w:rsidP="009E660A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F92AAF">
        <w:rPr>
          <w:rStyle w:val="Znakapoznpodarou"/>
          <w:rFonts w:cs="Arial"/>
          <w:sz w:val="18"/>
          <w:szCs w:val="18"/>
        </w:rPr>
        <w:footnoteRef/>
      </w:r>
      <w:r w:rsidRPr="00F92AAF">
        <w:rPr>
          <w:rFonts w:cs="Arial"/>
          <w:sz w:val="18"/>
          <w:szCs w:val="18"/>
        </w:rPr>
        <w:tab/>
        <w:t xml:space="preserve">Podle zákona č. 184/2006 Sb., </w:t>
      </w:r>
      <w:r w:rsidRPr="00D425E9">
        <w:rPr>
          <w:rFonts w:cs="Arial"/>
          <w:sz w:val="18"/>
          <w:szCs w:val="18"/>
        </w:rPr>
        <w:t>o odnětí nebo omezení vlastnického práva k pozemku nebo ke stavbě (zákon o vyvlastnění)</w:t>
      </w:r>
      <w:r w:rsidRPr="00F92AAF">
        <w:rPr>
          <w:rFonts w:cs="Arial"/>
          <w:sz w:val="18"/>
          <w:szCs w:val="18"/>
        </w:rPr>
        <w:t xml:space="preserve">. </w:t>
      </w:r>
    </w:p>
  </w:footnote>
  <w:footnote w:id="26">
    <w:p w:rsidR="009D1AE6" w:rsidRPr="00F92AAF" w:rsidRDefault="009D1AE6" w:rsidP="00510863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F92AAF">
        <w:rPr>
          <w:rStyle w:val="Znakapoznpodarou"/>
          <w:rFonts w:cs="Arial"/>
          <w:sz w:val="18"/>
          <w:szCs w:val="18"/>
        </w:rPr>
        <w:footnoteRef/>
      </w:r>
      <w:r w:rsidRPr="00F92AAF">
        <w:rPr>
          <w:rFonts w:cs="Arial"/>
          <w:sz w:val="18"/>
          <w:szCs w:val="18"/>
        </w:rPr>
        <w:tab/>
        <w:t xml:space="preserve">Zákon č. 137/2006 Sb., </w:t>
      </w:r>
      <w:r w:rsidRPr="00D425E9">
        <w:rPr>
          <w:rFonts w:cs="Arial"/>
          <w:sz w:val="18"/>
          <w:szCs w:val="18"/>
        </w:rPr>
        <w:t>o veřejných zakázkách</w:t>
      </w:r>
      <w:r w:rsidRPr="00F92AAF">
        <w:rPr>
          <w:rFonts w:cs="Arial"/>
          <w:sz w:val="18"/>
          <w:szCs w:val="18"/>
        </w:rPr>
        <w:t>.</w:t>
      </w:r>
    </w:p>
  </w:footnote>
  <w:footnote w:id="27">
    <w:p w:rsidR="009D1AE6" w:rsidRPr="00F92AAF" w:rsidRDefault="009D1AE6" w:rsidP="00FD2665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F92AAF">
        <w:rPr>
          <w:rStyle w:val="Znakapoznpodarou"/>
          <w:rFonts w:cs="Arial"/>
          <w:sz w:val="18"/>
          <w:szCs w:val="18"/>
        </w:rPr>
        <w:footnoteRef/>
      </w:r>
      <w:r w:rsidRPr="00F92AAF">
        <w:rPr>
          <w:rFonts w:cs="Arial"/>
          <w:sz w:val="18"/>
          <w:szCs w:val="18"/>
        </w:rPr>
        <w:tab/>
        <w:t xml:space="preserve">§ 44 zákona č. 218/2000 Sb., </w:t>
      </w:r>
      <w:r w:rsidRPr="00D425E9">
        <w:rPr>
          <w:rFonts w:cs="Arial"/>
          <w:sz w:val="18"/>
          <w:szCs w:val="18"/>
        </w:rPr>
        <w:t>o rozpočtových pravidlech a o změně některých souvisejících zákonů (rozpočtová pravidla)</w:t>
      </w:r>
      <w:r w:rsidRPr="00F92AAF">
        <w:rPr>
          <w:rFonts w:cs="Arial"/>
          <w:sz w:val="18"/>
          <w:szCs w:val="18"/>
        </w:rPr>
        <w:t>.</w:t>
      </w:r>
    </w:p>
  </w:footnote>
  <w:footnote w:id="28">
    <w:p w:rsidR="009D1AE6" w:rsidRPr="00F92AAF" w:rsidRDefault="009D1AE6" w:rsidP="00E8284D">
      <w:pPr>
        <w:pStyle w:val="Textpoznpodarou"/>
        <w:ind w:left="284" w:hanging="284"/>
        <w:rPr>
          <w:rFonts w:cs="Arial"/>
          <w:sz w:val="18"/>
          <w:szCs w:val="18"/>
        </w:rPr>
      </w:pPr>
      <w:r w:rsidRPr="00F92AAF">
        <w:rPr>
          <w:rStyle w:val="Znakapoznpodarou"/>
          <w:rFonts w:cs="Arial"/>
          <w:sz w:val="18"/>
          <w:szCs w:val="18"/>
        </w:rPr>
        <w:footnoteRef/>
      </w:r>
      <w:r w:rsidRPr="00F92AAF">
        <w:rPr>
          <w:rFonts w:cs="Arial"/>
          <w:sz w:val="18"/>
          <w:szCs w:val="18"/>
        </w:rPr>
        <w:tab/>
        <w:t>Rámcová smlouva byla uzavřena v roce 2007.</w:t>
      </w:r>
    </w:p>
  </w:footnote>
  <w:footnote w:id="29">
    <w:p w:rsidR="009D1AE6" w:rsidRPr="00F92AAF" w:rsidRDefault="009D1AE6" w:rsidP="0092161B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F92AAF">
        <w:rPr>
          <w:rStyle w:val="Znakapoznpodarou"/>
          <w:rFonts w:cs="Arial"/>
          <w:sz w:val="18"/>
          <w:szCs w:val="18"/>
        </w:rPr>
        <w:footnoteRef/>
      </w:r>
      <w:r w:rsidRPr="00F92AAF">
        <w:rPr>
          <w:rFonts w:cs="Arial"/>
          <w:sz w:val="18"/>
          <w:szCs w:val="18"/>
        </w:rPr>
        <w:tab/>
        <w:t xml:space="preserve">Usnesení vlády ze dne 31. května 2010 č. 431, </w:t>
      </w:r>
      <w:r w:rsidRPr="00F92AAF">
        <w:rPr>
          <w:rFonts w:cs="Arial"/>
          <w:i/>
          <w:sz w:val="18"/>
          <w:szCs w:val="18"/>
        </w:rPr>
        <w:t>k závěrečné zprávě a vyhodnocení variantního řešení výstavby silničního okruhu kolem hlavního města Prahy, dálnice D3 ve Středočeském kraji a rychlostní silnice R55 v úseku Otrokovice – Rohatec</w:t>
      </w:r>
      <w:r w:rsidRPr="00F92AAF">
        <w:rPr>
          <w:rFonts w:cs="Arial"/>
          <w:sz w:val="18"/>
          <w:szCs w:val="18"/>
        </w:rPr>
        <w:t xml:space="preserve">. </w:t>
      </w:r>
    </w:p>
  </w:footnote>
  <w:footnote w:id="30">
    <w:p w:rsidR="009D1AE6" w:rsidRPr="00F92AAF" w:rsidRDefault="009D1AE6" w:rsidP="00BC6A61">
      <w:pPr>
        <w:pStyle w:val="Textpoznpodarou"/>
        <w:ind w:left="284" w:hanging="284"/>
        <w:rPr>
          <w:rFonts w:cs="Arial"/>
          <w:sz w:val="18"/>
          <w:szCs w:val="18"/>
        </w:rPr>
      </w:pPr>
      <w:r w:rsidRPr="00F92AAF">
        <w:rPr>
          <w:rStyle w:val="Znakapoznpodarou"/>
          <w:rFonts w:cs="Arial"/>
          <w:sz w:val="18"/>
          <w:szCs w:val="18"/>
        </w:rPr>
        <w:footnoteRef/>
      </w:r>
      <w:r w:rsidRPr="00F92AAF">
        <w:rPr>
          <w:rFonts w:cs="Arial"/>
          <w:sz w:val="18"/>
          <w:szCs w:val="18"/>
        </w:rPr>
        <w:tab/>
        <w:t>Jde o stavby z podrobně kontrolovaných 29</w:t>
      </w:r>
      <w:r>
        <w:rPr>
          <w:rFonts w:cs="Arial"/>
          <w:sz w:val="18"/>
          <w:szCs w:val="18"/>
        </w:rPr>
        <w:t xml:space="preserve"> akcí</w:t>
      </w:r>
      <w:r w:rsidRPr="00F92AAF">
        <w:rPr>
          <w:rFonts w:cs="Arial"/>
          <w:sz w:val="18"/>
          <w:szCs w:val="18"/>
        </w:rPr>
        <w:t>, u kterých probíhala nebo byla ukončena realizace.</w:t>
      </w:r>
    </w:p>
  </w:footnote>
  <w:footnote w:id="31">
    <w:p w:rsidR="009D1AE6" w:rsidRPr="00F92AAF" w:rsidRDefault="009D1AE6" w:rsidP="00B4097F">
      <w:pPr>
        <w:pStyle w:val="Textpoznpodarou"/>
        <w:ind w:left="284" w:hanging="284"/>
        <w:rPr>
          <w:rFonts w:cs="Arial"/>
          <w:sz w:val="18"/>
          <w:szCs w:val="18"/>
        </w:rPr>
      </w:pPr>
      <w:r w:rsidRPr="00F92AAF">
        <w:rPr>
          <w:rStyle w:val="Znakapoznpodarou"/>
          <w:rFonts w:cs="Arial"/>
          <w:sz w:val="18"/>
          <w:szCs w:val="18"/>
        </w:rPr>
        <w:footnoteRef/>
      </w:r>
      <w:r w:rsidRPr="00F92AAF">
        <w:rPr>
          <w:rFonts w:cs="Arial"/>
          <w:sz w:val="18"/>
          <w:szCs w:val="18"/>
        </w:rPr>
        <w:tab/>
        <w:t xml:space="preserve">Stavební objekty dálnice a stavební objekty rychlostní </w:t>
      </w:r>
      <w:r>
        <w:rPr>
          <w:rFonts w:cs="Arial"/>
          <w:sz w:val="18"/>
          <w:szCs w:val="18"/>
        </w:rPr>
        <w:t>komunikace</w:t>
      </w:r>
      <w:r w:rsidRPr="00F92AAF">
        <w:rPr>
          <w:rFonts w:cs="Arial"/>
          <w:sz w:val="18"/>
          <w:szCs w:val="18"/>
        </w:rPr>
        <w:t>.</w:t>
      </w:r>
    </w:p>
  </w:footnote>
  <w:footnote w:id="32">
    <w:p w:rsidR="009D1AE6" w:rsidRPr="00F92AAF" w:rsidRDefault="009D1AE6" w:rsidP="006D11E2">
      <w:pPr>
        <w:pStyle w:val="Textpoznpodarou"/>
        <w:ind w:left="284" w:hanging="284"/>
        <w:jc w:val="both"/>
        <w:rPr>
          <w:rFonts w:cs="Arial"/>
          <w:sz w:val="18"/>
          <w:szCs w:val="18"/>
        </w:rPr>
      </w:pPr>
      <w:r w:rsidRPr="00F92AAF">
        <w:rPr>
          <w:rStyle w:val="Znakapoznpodarou"/>
          <w:rFonts w:cs="Arial"/>
          <w:sz w:val="18"/>
          <w:szCs w:val="18"/>
        </w:rPr>
        <w:footnoteRef/>
      </w:r>
      <w:r w:rsidRPr="00F92AAF">
        <w:rPr>
          <w:rFonts w:cs="Arial"/>
          <w:sz w:val="18"/>
          <w:szCs w:val="18"/>
        </w:rPr>
        <w:tab/>
        <w:t>Údaj 10,4 mil. €/km byl získán v rámci spolupráce s </w:t>
      </w:r>
      <w:r>
        <w:rPr>
          <w:rFonts w:cs="Arial"/>
          <w:sz w:val="18"/>
          <w:szCs w:val="18"/>
        </w:rPr>
        <w:t>n</w:t>
      </w:r>
      <w:r w:rsidRPr="00F92AAF">
        <w:rPr>
          <w:rFonts w:cs="Arial"/>
          <w:sz w:val="18"/>
          <w:szCs w:val="18"/>
        </w:rPr>
        <w:t xml:space="preserve">ěmeckým </w:t>
      </w:r>
      <w:r>
        <w:rPr>
          <w:rFonts w:cs="Arial"/>
          <w:sz w:val="18"/>
          <w:szCs w:val="18"/>
        </w:rPr>
        <w:t>Spolkovým účetním dvorem</w:t>
      </w:r>
      <w:r w:rsidRPr="00F92AAF">
        <w:rPr>
          <w:rFonts w:cs="Arial"/>
          <w:sz w:val="18"/>
          <w:szCs w:val="18"/>
        </w:rPr>
        <w:t xml:space="preserve"> při provádění paralelních kontrol zaměřených na zadávání veřejných zakázek a s tím spojenou problematiku prevence korupčních jednání. Ceny v České republice a Německu jsou v cenové úrovni roku 2012.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E6" w:rsidRPr="00EC5FD1" w:rsidRDefault="009D1AE6" w:rsidP="0037324C">
    <w:pPr>
      <w:pStyle w:val="Zhlav"/>
      <w:spacing w:line="360" w:lineRule="auto"/>
      <w:rPr>
        <w:rFonts w:cs="Arial"/>
        <w:color w:val="FFFFFF" w:themeColor="background1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E6" w:rsidRPr="00777F8C" w:rsidRDefault="009D1AE6" w:rsidP="007017B7">
    <w:pPr>
      <w:pStyle w:val="Zhlav"/>
      <w:spacing w:line="360" w:lineRule="auto"/>
      <w:rPr>
        <w:rFonts w:cs="Arial"/>
        <w:color w:val="FFFFFF" w:themeColor="background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29F"/>
    <w:multiLevelType w:val="hybridMultilevel"/>
    <w:tmpl w:val="44E44D84"/>
    <w:lvl w:ilvl="0" w:tplc="D52209CE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045A0"/>
    <w:multiLevelType w:val="hybridMultilevel"/>
    <w:tmpl w:val="7D20D0D2"/>
    <w:lvl w:ilvl="0" w:tplc="D52209CE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31DD6"/>
    <w:multiLevelType w:val="hybridMultilevel"/>
    <w:tmpl w:val="BC825EB4"/>
    <w:lvl w:ilvl="0" w:tplc="D52209CE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87E57"/>
    <w:multiLevelType w:val="hybridMultilevel"/>
    <w:tmpl w:val="3FAE71AC"/>
    <w:lvl w:ilvl="0" w:tplc="D52209CE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13E3B"/>
    <w:multiLevelType w:val="hybridMultilevel"/>
    <w:tmpl w:val="3FF88ECC"/>
    <w:lvl w:ilvl="0" w:tplc="D52209CE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7313D"/>
    <w:multiLevelType w:val="hybridMultilevel"/>
    <w:tmpl w:val="ACE2F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A7C34"/>
    <w:multiLevelType w:val="hybridMultilevel"/>
    <w:tmpl w:val="74ECF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F5588"/>
    <w:multiLevelType w:val="hybridMultilevel"/>
    <w:tmpl w:val="F252BEC4"/>
    <w:lvl w:ilvl="0" w:tplc="D52209CE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23E2C"/>
    <w:multiLevelType w:val="hybridMultilevel"/>
    <w:tmpl w:val="C1FEA8BC"/>
    <w:lvl w:ilvl="0" w:tplc="D52209CE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02DCF"/>
    <w:multiLevelType w:val="hybridMultilevel"/>
    <w:tmpl w:val="6540B690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264A6"/>
    <w:multiLevelType w:val="hybridMultilevel"/>
    <w:tmpl w:val="E4AC1AF8"/>
    <w:lvl w:ilvl="0" w:tplc="D52209CE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932"/>
    <w:rsid w:val="00000F96"/>
    <w:rsid w:val="00001B91"/>
    <w:rsid w:val="00002073"/>
    <w:rsid w:val="0000330E"/>
    <w:rsid w:val="000033DB"/>
    <w:rsid w:val="00003D20"/>
    <w:rsid w:val="000044CF"/>
    <w:rsid w:val="00004DB0"/>
    <w:rsid w:val="00005220"/>
    <w:rsid w:val="0000580F"/>
    <w:rsid w:val="00005C3E"/>
    <w:rsid w:val="00005C47"/>
    <w:rsid w:val="00005C6C"/>
    <w:rsid w:val="000066B9"/>
    <w:rsid w:val="00006886"/>
    <w:rsid w:val="00006B02"/>
    <w:rsid w:val="00007773"/>
    <w:rsid w:val="0001113E"/>
    <w:rsid w:val="000112F9"/>
    <w:rsid w:val="00013006"/>
    <w:rsid w:val="000131C6"/>
    <w:rsid w:val="00013507"/>
    <w:rsid w:val="00014603"/>
    <w:rsid w:val="000152B0"/>
    <w:rsid w:val="0001567E"/>
    <w:rsid w:val="00015CCB"/>
    <w:rsid w:val="00015F28"/>
    <w:rsid w:val="000163B7"/>
    <w:rsid w:val="000172AE"/>
    <w:rsid w:val="0001731C"/>
    <w:rsid w:val="00017EC7"/>
    <w:rsid w:val="00020A05"/>
    <w:rsid w:val="00020DE5"/>
    <w:rsid w:val="00021026"/>
    <w:rsid w:val="000218CA"/>
    <w:rsid w:val="000225B8"/>
    <w:rsid w:val="00023D6D"/>
    <w:rsid w:val="00023EA1"/>
    <w:rsid w:val="00024A45"/>
    <w:rsid w:val="00024E81"/>
    <w:rsid w:val="000253C0"/>
    <w:rsid w:val="000254CB"/>
    <w:rsid w:val="00025A70"/>
    <w:rsid w:val="00025E01"/>
    <w:rsid w:val="00026AFA"/>
    <w:rsid w:val="00027D3C"/>
    <w:rsid w:val="00030772"/>
    <w:rsid w:val="000307C5"/>
    <w:rsid w:val="0003087F"/>
    <w:rsid w:val="00030DD7"/>
    <w:rsid w:val="0003111A"/>
    <w:rsid w:val="000314CC"/>
    <w:rsid w:val="00031A57"/>
    <w:rsid w:val="00031C8A"/>
    <w:rsid w:val="00031D26"/>
    <w:rsid w:val="00032482"/>
    <w:rsid w:val="000326DA"/>
    <w:rsid w:val="00033741"/>
    <w:rsid w:val="000342ED"/>
    <w:rsid w:val="000343CF"/>
    <w:rsid w:val="000343E1"/>
    <w:rsid w:val="00034844"/>
    <w:rsid w:val="00037363"/>
    <w:rsid w:val="000406B5"/>
    <w:rsid w:val="000407CE"/>
    <w:rsid w:val="00041909"/>
    <w:rsid w:val="00041943"/>
    <w:rsid w:val="000419A7"/>
    <w:rsid w:val="00041F40"/>
    <w:rsid w:val="00041F64"/>
    <w:rsid w:val="0004223E"/>
    <w:rsid w:val="000423CF"/>
    <w:rsid w:val="00042D81"/>
    <w:rsid w:val="00042F15"/>
    <w:rsid w:val="000437B0"/>
    <w:rsid w:val="00043891"/>
    <w:rsid w:val="00043B34"/>
    <w:rsid w:val="00043B6B"/>
    <w:rsid w:val="000459C2"/>
    <w:rsid w:val="00045E0B"/>
    <w:rsid w:val="000465B1"/>
    <w:rsid w:val="00046CD6"/>
    <w:rsid w:val="00050E1F"/>
    <w:rsid w:val="00051EBF"/>
    <w:rsid w:val="00052837"/>
    <w:rsid w:val="00052F4A"/>
    <w:rsid w:val="000530F1"/>
    <w:rsid w:val="00054517"/>
    <w:rsid w:val="00054696"/>
    <w:rsid w:val="00054BBC"/>
    <w:rsid w:val="000550B4"/>
    <w:rsid w:val="000558EC"/>
    <w:rsid w:val="000559BB"/>
    <w:rsid w:val="00055A17"/>
    <w:rsid w:val="000569A4"/>
    <w:rsid w:val="00056F4B"/>
    <w:rsid w:val="00056F50"/>
    <w:rsid w:val="00057193"/>
    <w:rsid w:val="00057577"/>
    <w:rsid w:val="00057A70"/>
    <w:rsid w:val="00057CBE"/>
    <w:rsid w:val="00060C32"/>
    <w:rsid w:val="000613C2"/>
    <w:rsid w:val="00061429"/>
    <w:rsid w:val="0006260B"/>
    <w:rsid w:val="00064144"/>
    <w:rsid w:val="000641DB"/>
    <w:rsid w:val="000642CE"/>
    <w:rsid w:val="00064524"/>
    <w:rsid w:val="0006454E"/>
    <w:rsid w:val="000647BD"/>
    <w:rsid w:val="00064DEF"/>
    <w:rsid w:val="0006671D"/>
    <w:rsid w:val="00066725"/>
    <w:rsid w:val="00066D9F"/>
    <w:rsid w:val="00070408"/>
    <w:rsid w:val="0007050F"/>
    <w:rsid w:val="0007064B"/>
    <w:rsid w:val="000706B4"/>
    <w:rsid w:val="000710D5"/>
    <w:rsid w:val="00071622"/>
    <w:rsid w:val="00071B68"/>
    <w:rsid w:val="00071FA4"/>
    <w:rsid w:val="00072445"/>
    <w:rsid w:val="000732F3"/>
    <w:rsid w:val="00074954"/>
    <w:rsid w:val="00074A01"/>
    <w:rsid w:val="00075C06"/>
    <w:rsid w:val="00076806"/>
    <w:rsid w:val="00077196"/>
    <w:rsid w:val="00077727"/>
    <w:rsid w:val="00080987"/>
    <w:rsid w:val="00080C12"/>
    <w:rsid w:val="00081221"/>
    <w:rsid w:val="000813FB"/>
    <w:rsid w:val="0008264D"/>
    <w:rsid w:val="000828E4"/>
    <w:rsid w:val="00082FB7"/>
    <w:rsid w:val="000839E5"/>
    <w:rsid w:val="000843F6"/>
    <w:rsid w:val="00084EF4"/>
    <w:rsid w:val="00084F19"/>
    <w:rsid w:val="000855DB"/>
    <w:rsid w:val="00087183"/>
    <w:rsid w:val="00087884"/>
    <w:rsid w:val="00087A8A"/>
    <w:rsid w:val="00087ABD"/>
    <w:rsid w:val="000903FF"/>
    <w:rsid w:val="0009092D"/>
    <w:rsid w:val="00091459"/>
    <w:rsid w:val="000927F6"/>
    <w:rsid w:val="0009286D"/>
    <w:rsid w:val="000928EE"/>
    <w:rsid w:val="0009336C"/>
    <w:rsid w:val="00093E2F"/>
    <w:rsid w:val="00095329"/>
    <w:rsid w:val="00095904"/>
    <w:rsid w:val="0009635C"/>
    <w:rsid w:val="00096F81"/>
    <w:rsid w:val="0009709F"/>
    <w:rsid w:val="000979E8"/>
    <w:rsid w:val="000A0A28"/>
    <w:rsid w:val="000A0E3E"/>
    <w:rsid w:val="000A0E63"/>
    <w:rsid w:val="000A15CA"/>
    <w:rsid w:val="000A2538"/>
    <w:rsid w:val="000A41A3"/>
    <w:rsid w:val="000A446F"/>
    <w:rsid w:val="000A46D3"/>
    <w:rsid w:val="000A4816"/>
    <w:rsid w:val="000A53CC"/>
    <w:rsid w:val="000A58F6"/>
    <w:rsid w:val="000A7392"/>
    <w:rsid w:val="000B04BE"/>
    <w:rsid w:val="000B114F"/>
    <w:rsid w:val="000B1348"/>
    <w:rsid w:val="000B1C04"/>
    <w:rsid w:val="000B25C3"/>
    <w:rsid w:val="000B3145"/>
    <w:rsid w:val="000B3978"/>
    <w:rsid w:val="000B3B08"/>
    <w:rsid w:val="000B5FE2"/>
    <w:rsid w:val="000B710A"/>
    <w:rsid w:val="000B7411"/>
    <w:rsid w:val="000C1234"/>
    <w:rsid w:val="000C1C55"/>
    <w:rsid w:val="000C1DFD"/>
    <w:rsid w:val="000C2190"/>
    <w:rsid w:val="000C28BB"/>
    <w:rsid w:val="000C3130"/>
    <w:rsid w:val="000C320D"/>
    <w:rsid w:val="000C40E9"/>
    <w:rsid w:val="000C4C9A"/>
    <w:rsid w:val="000C5338"/>
    <w:rsid w:val="000C64AC"/>
    <w:rsid w:val="000C6DA4"/>
    <w:rsid w:val="000C7BDF"/>
    <w:rsid w:val="000D0088"/>
    <w:rsid w:val="000D0135"/>
    <w:rsid w:val="000D01D6"/>
    <w:rsid w:val="000D05D4"/>
    <w:rsid w:val="000D0ED6"/>
    <w:rsid w:val="000D17BB"/>
    <w:rsid w:val="000D18A3"/>
    <w:rsid w:val="000D18F3"/>
    <w:rsid w:val="000D1CB4"/>
    <w:rsid w:val="000D202F"/>
    <w:rsid w:val="000D225C"/>
    <w:rsid w:val="000D225E"/>
    <w:rsid w:val="000D350B"/>
    <w:rsid w:val="000D62D0"/>
    <w:rsid w:val="000D6416"/>
    <w:rsid w:val="000D6EB0"/>
    <w:rsid w:val="000D6EB6"/>
    <w:rsid w:val="000D702C"/>
    <w:rsid w:val="000D7D68"/>
    <w:rsid w:val="000E1099"/>
    <w:rsid w:val="000E123D"/>
    <w:rsid w:val="000E196A"/>
    <w:rsid w:val="000E1CA1"/>
    <w:rsid w:val="000E1E4B"/>
    <w:rsid w:val="000E23CC"/>
    <w:rsid w:val="000E3580"/>
    <w:rsid w:val="000E4219"/>
    <w:rsid w:val="000E5022"/>
    <w:rsid w:val="000E5071"/>
    <w:rsid w:val="000E53AF"/>
    <w:rsid w:val="000E5629"/>
    <w:rsid w:val="000E5967"/>
    <w:rsid w:val="000E62B1"/>
    <w:rsid w:val="000E650F"/>
    <w:rsid w:val="000E661B"/>
    <w:rsid w:val="000F0258"/>
    <w:rsid w:val="000F0864"/>
    <w:rsid w:val="000F1FF6"/>
    <w:rsid w:val="000F272E"/>
    <w:rsid w:val="000F31D0"/>
    <w:rsid w:val="000F3776"/>
    <w:rsid w:val="000F37A0"/>
    <w:rsid w:val="000F3957"/>
    <w:rsid w:val="000F4618"/>
    <w:rsid w:val="000F4E31"/>
    <w:rsid w:val="000F5FE2"/>
    <w:rsid w:val="000F5FF1"/>
    <w:rsid w:val="000F6159"/>
    <w:rsid w:val="000F659A"/>
    <w:rsid w:val="000F6E30"/>
    <w:rsid w:val="000F7CC7"/>
    <w:rsid w:val="001002B8"/>
    <w:rsid w:val="0010034C"/>
    <w:rsid w:val="0010159A"/>
    <w:rsid w:val="001019FC"/>
    <w:rsid w:val="001021F7"/>
    <w:rsid w:val="0010231F"/>
    <w:rsid w:val="0010304D"/>
    <w:rsid w:val="0010376B"/>
    <w:rsid w:val="00103A3A"/>
    <w:rsid w:val="00104BDC"/>
    <w:rsid w:val="00105AD0"/>
    <w:rsid w:val="00106174"/>
    <w:rsid w:val="0010688E"/>
    <w:rsid w:val="00106D02"/>
    <w:rsid w:val="001100DB"/>
    <w:rsid w:val="00110594"/>
    <w:rsid w:val="00110FFD"/>
    <w:rsid w:val="0011171A"/>
    <w:rsid w:val="00111936"/>
    <w:rsid w:val="00111E71"/>
    <w:rsid w:val="001129ED"/>
    <w:rsid w:val="00112B51"/>
    <w:rsid w:val="001135CA"/>
    <w:rsid w:val="0011376D"/>
    <w:rsid w:val="00113B93"/>
    <w:rsid w:val="001140CF"/>
    <w:rsid w:val="00115CEF"/>
    <w:rsid w:val="00115E25"/>
    <w:rsid w:val="0011637B"/>
    <w:rsid w:val="00116982"/>
    <w:rsid w:val="00117DC9"/>
    <w:rsid w:val="001208DD"/>
    <w:rsid w:val="0012129B"/>
    <w:rsid w:val="00121642"/>
    <w:rsid w:val="00121B6F"/>
    <w:rsid w:val="00122D95"/>
    <w:rsid w:val="00122F13"/>
    <w:rsid w:val="00124136"/>
    <w:rsid w:val="0012511E"/>
    <w:rsid w:val="00125B7B"/>
    <w:rsid w:val="00126303"/>
    <w:rsid w:val="001265E7"/>
    <w:rsid w:val="00126713"/>
    <w:rsid w:val="00127E65"/>
    <w:rsid w:val="001302F2"/>
    <w:rsid w:val="001325AD"/>
    <w:rsid w:val="00132A7F"/>
    <w:rsid w:val="0013397D"/>
    <w:rsid w:val="00134C4E"/>
    <w:rsid w:val="0013587A"/>
    <w:rsid w:val="00135E06"/>
    <w:rsid w:val="001360A2"/>
    <w:rsid w:val="001368E7"/>
    <w:rsid w:val="00137D95"/>
    <w:rsid w:val="00140B7F"/>
    <w:rsid w:val="00140D10"/>
    <w:rsid w:val="00141355"/>
    <w:rsid w:val="001415FD"/>
    <w:rsid w:val="0014163E"/>
    <w:rsid w:val="001418C0"/>
    <w:rsid w:val="00141C97"/>
    <w:rsid w:val="00141FA2"/>
    <w:rsid w:val="00141FDE"/>
    <w:rsid w:val="00142073"/>
    <w:rsid w:val="001422A6"/>
    <w:rsid w:val="001425AD"/>
    <w:rsid w:val="00142B1D"/>
    <w:rsid w:val="00143C9D"/>
    <w:rsid w:val="0014414B"/>
    <w:rsid w:val="001442C8"/>
    <w:rsid w:val="00144332"/>
    <w:rsid w:val="00144916"/>
    <w:rsid w:val="0014548A"/>
    <w:rsid w:val="001456CE"/>
    <w:rsid w:val="00145861"/>
    <w:rsid w:val="001468BA"/>
    <w:rsid w:val="00147599"/>
    <w:rsid w:val="00147A69"/>
    <w:rsid w:val="00147EAF"/>
    <w:rsid w:val="00151B47"/>
    <w:rsid w:val="00151D94"/>
    <w:rsid w:val="001523C1"/>
    <w:rsid w:val="00152479"/>
    <w:rsid w:val="00152B55"/>
    <w:rsid w:val="001531E3"/>
    <w:rsid w:val="0015334F"/>
    <w:rsid w:val="00153700"/>
    <w:rsid w:val="00153BF0"/>
    <w:rsid w:val="00154178"/>
    <w:rsid w:val="001550CC"/>
    <w:rsid w:val="0015511A"/>
    <w:rsid w:val="00155CDC"/>
    <w:rsid w:val="00155DE6"/>
    <w:rsid w:val="00156C62"/>
    <w:rsid w:val="0016027D"/>
    <w:rsid w:val="00160429"/>
    <w:rsid w:val="00160905"/>
    <w:rsid w:val="00160D42"/>
    <w:rsid w:val="00160E9D"/>
    <w:rsid w:val="00160F69"/>
    <w:rsid w:val="001616E0"/>
    <w:rsid w:val="00161978"/>
    <w:rsid w:val="0016199E"/>
    <w:rsid w:val="00161C93"/>
    <w:rsid w:val="001625D9"/>
    <w:rsid w:val="00162A88"/>
    <w:rsid w:val="00162B1D"/>
    <w:rsid w:val="00162C1D"/>
    <w:rsid w:val="00163354"/>
    <w:rsid w:val="001645EF"/>
    <w:rsid w:val="00164813"/>
    <w:rsid w:val="001671F8"/>
    <w:rsid w:val="001702DE"/>
    <w:rsid w:val="00170BEB"/>
    <w:rsid w:val="00171086"/>
    <w:rsid w:val="00171371"/>
    <w:rsid w:val="001715AC"/>
    <w:rsid w:val="00171A28"/>
    <w:rsid w:val="00171A41"/>
    <w:rsid w:val="001725CE"/>
    <w:rsid w:val="00172804"/>
    <w:rsid w:val="00173420"/>
    <w:rsid w:val="00173BFF"/>
    <w:rsid w:val="00173EA1"/>
    <w:rsid w:val="0017418E"/>
    <w:rsid w:val="001742A7"/>
    <w:rsid w:val="00174783"/>
    <w:rsid w:val="00174F59"/>
    <w:rsid w:val="00175157"/>
    <w:rsid w:val="0017558B"/>
    <w:rsid w:val="00176033"/>
    <w:rsid w:val="001766BF"/>
    <w:rsid w:val="00176AE7"/>
    <w:rsid w:val="00177D39"/>
    <w:rsid w:val="00177E1E"/>
    <w:rsid w:val="00180090"/>
    <w:rsid w:val="00180600"/>
    <w:rsid w:val="0018067B"/>
    <w:rsid w:val="00180B46"/>
    <w:rsid w:val="00180F3B"/>
    <w:rsid w:val="001826FC"/>
    <w:rsid w:val="00182F04"/>
    <w:rsid w:val="001834CC"/>
    <w:rsid w:val="00184724"/>
    <w:rsid w:val="001862F0"/>
    <w:rsid w:val="0018767F"/>
    <w:rsid w:val="0019012B"/>
    <w:rsid w:val="00190D5F"/>
    <w:rsid w:val="001922FC"/>
    <w:rsid w:val="00192304"/>
    <w:rsid w:val="00192BC2"/>
    <w:rsid w:val="00193533"/>
    <w:rsid w:val="0019357D"/>
    <w:rsid w:val="00194005"/>
    <w:rsid w:val="00194298"/>
    <w:rsid w:val="00194F87"/>
    <w:rsid w:val="0019536B"/>
    <w:rsid w:val="00195A5C"/>
    <w:rsid w:val="00195B7C"/>
    <w:rsid w:val="0019670B"/>
    <w:rsid w:val="001A03F3"/>
    <w:rsid w:val="001A08A9"/>
    <w:rsid w:val="001A094E"/>
    <w:rsid w:val="001A0E1F"/>
    <w:rsid w:val="001A1518"/>
    <w:rsid w:val="001A15D3"/>
    <w:rsid w:val="001A1AAC"/>
    <w:rsid w:val="001A1CBF"/>
    <w:rsid w:val="001A1F1B"/>
    <w:rsid w:val="001A3388"/>
    <w:rsid w:val="001A37F7"/>
    <w:rsid w:val="001A3FD4"/>
    <w:rsid w:val="001A4061"/>
    <w:rsid w:val="001A4FFF"/>
    <w:rsid w:val="001A50E5"/>
    <w:rsid w:val="001A5628"/>
    <w:rsid w:val="001A5D01"/>
    <w:rsid w:val="001A71B5"/>
    <w:rsid w:val="001B0CFC"/>
    <w:rsid w:val="001B12AA"/>
    <w:rsid w:val="001B1A8D"/>
    <w:rsid w:val="001B2131"/>
    <w:rsid w:val="001B2A38"/>
    <w:rsid w:val="001B2B19"/>
    <w:rsid w:val="001B2B2B"/>
    <w:rsid w:val="001B2F10"/>
    <w:rsid w:val="001B5134"/>
    <w:rsid w:val="001B537D"/>
    <w:rsid w:val="001B57E8"/>
    <w:rsid w:val="001B69B3"/>
    <w:rsid w:val="001B6DAD"/>
    <w:rsid w:val="001C1BE9"/>
    <w:rsid w:val="001C422A"/>
    <w:rsid w:val="001C43C9"/>
    <w:rsid w:val="001C43FA"/>
    <w:rsid w:val="001C561C"/>
    <w:rsid w:val="001C6A88"/>
    <w:rsid w:val="001C78EE"/>
    <w:rsid w:val="001C7DEA"/>
    <w:rsid w:val="001D03FD"/>
    <w:rsid w:val="001D0FC2"/>
    <w:rsid w:val="001D37E1"/>
    <w:rsid w:val="001D61A3"/>
    <w:rsid w:val="001D727C"/>
    <w:rsid w:val="001E1BDA"/>
    <w:rsid w:val="001E2767"/>
    <w:rsid w:val="001E31FA"/>
    <w:rsid w:val="001E374C"/>
    <w:rsid w:val="001E41B1"/>
    <w:rsid w:val="001E71A6"/>
    <w:rsid w:val="001E71E7"/>
    <w:rsid w:val="001F0078"/>
    <w:rsid w:val="001F0576"/>
    <w:rsid w:val="001F071B"/>
    <w:rsid w:val="001F087A"/>
    <w:rsid w:val="001F0D00"/>
    <w:rsid w:val="001F28F7"/>
    <w:rsid w:val="001F32ED"/>
    <w:rsid w:val="001F47D9"/>
    <w:rsid w:val="001F57C1"/>
    <w:rsid w:val="001F60FB"/>
    <w:rsid w:val="001F633D"/>
    <w:rsid w:val="001F6CE7"/>
    <w:rsid w:val="00201C5B"/>
    <w:rsid w:val="00201E5D"/>
    <w:rsid w:val="00202300"/>
    <w:rsid w:val="002026C0"/>
    <w:rsid w:val="00203DCE"/>
    <w:rsid w:val="00203FDA"/>
    <w:rsid w:val="002041DA"/>
    <w:rsid w:val="0020444C"/>
    <w:rsid w:val="002053B9"/>
    <w:rsid w:val="002055CF"/>
    <w:rsid w:val="00206604"/>
    <w:rsid w:val="00210221"/>
    <w:rsid w:val="00210672"/>
    <w:rsid w:val="00210DAC"/>
    <w:rsid w:val="002112BF"/>
    <w:rsid w:val="00211AB9"/>
    <w:rsid w:val="002120C1"/>
    <w:rsid w:val="002125EB"/>
    <w:rsid w:val="00212868"/>
    <w:rsid w:val="00212FBB"/>
    <w:rsid w:val="002178C3"/>
    <w:rsid w:val="00220899"/>
    <w:rsid w:val="0022140D"/>
    <w:rsid w:val="002231C0"/>
    <w:rsid w:val="0022321D"/>
    <w:rsid w:val="00224385"/>
    <w:rsid w:val="00225082"/>
    <w:rsid w:val="00225295"/>
    <w:rsid w:val="00225A49"/>
    <w:rsid w:val="00225AD3"/>
    <w:rsid w:val="00225AEE"/>
    <w:rsid w:val="00226524"/>
    <w:rsid w:val="002268E1"/>
    <w:rsid w:val="00230AF7"/>
    <w:rsid w:val="002313A4"/>
    <w:rsid w:val="00231891"/>
    <w:rsid w:val="00233586"/>
    <w:rsid w:val="00233994"/>
    <w:rsid w:val="00233B2D"/>
    <w:rsid w:val="00235288"/>
    <w:rsid w:val="00235671"/>
    <w:rsid w:val="00235DB4"/>
    <w:rsid w:val="00236071"/>
    <w:rsid w:val="00236495"/>
    <w:rsid w:val="002364A9"/>
    <w:rsid w:val="0023655C"/>
    <w:rsid w:val="0023666E"/>
    <w:rsid w:val="00236DAD"/>
    <w:rsid w:val="002404C4"/>
    <w:rsid w:val="0024071F"/>
    <w:rsid w:val="00241158"/>
    <w:rsid w:val="0024175C"/>
    <w:rsid w:val="00242A4C"/>
    <w:rsid w:val="002433C3"/>
    <w:rsid w:val="00244A9F"/>
    <w:rsid w:val="00244C66"/>
    <w:rsid w:val="00245685"/>
    <w:rsid w:val="00245B80"/>
    <w:rsid w:val="002460FB"/>
    <w:rsid w:val="002506B7"/>
    <w:rsid w:val="00251810"/>
    <w:rsid w:val="00251995"/>
    <w:rsid w:val="00251B25"/>
    <w:rsid w:val="002521DD"/>
    <w:rsid w:val="00252631"/>
    <w:rsid w:val="00252CFD"/>
    <w:rsid w:val="002538C5"/>
    <w:rsid w:val="00254047"/>
    <w:rsid w:val="00255EB1"/>
    <w:rsid w:val="00256320"/>
    <w:rsid w:val="00256572"/>
    <w:rsid w:val="00256EFA"/>
    <w:rsid w:val="00257267"/>
    <w:rsid w:val="00257504"/>
    <w:rsid w:val="002602FB"/>
    <w:rsid w:val="00260848"/>
    <w:rsid w:val="002609EA"/>
    <w:rsid w:val="002611AB"/>
    <w:rsid w:val="00261540"/>
    <w:rsid w:val="0026274F"/>
    <w:rsid w:val="00262AD6"/>
    <w:rsid w:val="00262B21"/>
    <w:rsid w:val="00262DF8"/>
    <w:rsid w:val="00262E38"/>
    <w:rsid w:val="002634F2"/>
    <w:rsid w:val="00263EAF"/>
    <w:rsid w:val="00264E84"/>
    <w:rsid w:val="00265587"/>
    <w:rsid w:val="00265970"/>
    <w:rsid w:val="00266517"/>
    <w:rsid w:val="0026712E"/>
    <w:rsid w:val="00267306"/>
    <w:rsid w:val="002675B4"/>
    <w:rsid w:val="00267B5B"/>
    <w:rsid w:val="00267D8F"/>
    <w:rsid w:val="002701B7"/>
    <w:rsid w:val="002706B5"/>
    <w:rsid w:val="00271D19"/>
    <w:rsid w:val="0027368D"/>
    <w:rsid w:val="002736E5"/>
    <w:rsid w:val="002740E9"/>
    <w:rsid w:val="0027414F"/>
    <w:rsid w:val="00274CA4"/>
    <w:rsid w:val="002752AF"/>
    <w:rsid w:val="00275A7A"/>
    <w:rsid w:val="00275C51"/>
    <w:rsid w:val="00276F6C"/>
    <w:rsid w:val="0027715A"/>
    <w:rsid w:val="0027732A"/>
    <w:rsid w:val="00277434"/>
    <w:rsid w:val="0028011C"/>
    <w:rsid w:val="00280D14"/>
    <w:rsid w:val="00281932"/>
    <w:rsid w:val="0028216D"/>
    <w:rsid w:val="00283041"/>
    <w:rsid w:val="00283969"/>
    <w:rsid w:val="00285FA7"/>
    <w:rsid w:val="00285FBA"/>
    <w:rsid w:val="002867B7"/>
    <w:rsid w:val="00286C01"/>
    <w:rsid w:val="00286C26"/>
    <w:rsid w:val="00287824"/>
    <w:rsid w:val="00287A57"/>
    <w:rsid w:val="00287D23"/>
    <w:rsid w:val="002906F9"/>
    <w:rsid w:val="00291500"/>
    <w:rsid w:val="00291E7B"/>
    <w:rsid w:val="00292390"/>
    <w:rsid w:val="00292459"/>
    <w:rsid w:val="002928DA"/>
    <w:rsid w:val="002932D8"/>
    <w:rsid w:val="002935A5"/>
    <w:rsid w:val="00293C31"/>
    <w:rsid w:val="0029441E"/>
    <w:rsid w:val="00295758"/>
    <w:rsid w:val="00295FE9"/>
    <w:rsid w:val="00296193"/>
    <w:rsid w:val="002961A0"/>
    <w:rsid w:val="002970F8"/>
    <w:rsid w:val="00297590"/>
    <w:rsid w:val="002975F0"/>
    <w:rsid w:val="002979E6"/>
    <w:rsid w:val="002A028B"/>
    <w:rsid w:val="002A08E4"/>
    <w:rsid w:val="002A094F"/>
    <w:rsid w:val="002A097F"/>
    <w:rsid w:val="002A0F56"/>
    <w:rsid w:val="002A11CA"/>
    <w:rsid w:val="002A1F47"/>
    <w:rsid w:val="002A23C8"/>
    <w:rsid w:val="002A31B4"/>
    <w:rsid w:val="002A3666"/>
    <w:rsid w:val="002A38AB"/>
    <w:rsid w:val="002A3B7E"/>
    <w:rsid w:val="002A4B86"/>
    <w:rsid w:val="002A546C"/>
    <w:rsid w:val="002A5E06"/>
    <w:rsid w:val="002A60F6"/>
    <w:rsid w:val="002A62ED"/>
    <w:rsid w:val="002A7DC1"/>
    <w:rsid w:val="002B023D"/>
    <w:rsid w:val="002B0259"/>
    <w:rsid w:val="002B1B19"/>
    <w:rsid w:val="002B2032"/>
    <w:rsid w:val="002B2260"/>
    <w:rsid w:val="002B40EE"/>
    <w:rsid w:val="002B449A"/>
    <w:rsid w:val="002B452A"/>
    <w:rsid w:val="002B49C3"/>
    <w:rsid w:val="002B5587"/>
    <w:rsid w:val="002B5B65"/>
    <w:rsid w:val="002B6023"/>
    <w:rsid w:val="002B64F0"/>
    <w:rsid w:val="002B667A"/>
    <w:rsid w:val="002B706F"/>
    <w:rsid w:val="002B71FA"/>
    <w:rsid w:val="002B77AD"/>
    <w:rsid w:val="002B7D05"/>
    <w:rsid w:val="002C052C"/>
    <w:rsid w:val="002C1910"/>
    <w:rsid w:val="002C1E06"/>
    <w:rsid w:val="002C2D4B"/>
    <w:rsid w:val="002C321C"/>
    <w:rsid w:val="002C43D4"/>
    <w:rsid w:val="002C4CBB"/>
    <w:rsid w:val="002C5128"/>
    <w:rsid w:val="002C5723"/>
    <w:rsid w:val="002C60C3"/>
    <w:rsid w:val="002C62BA"/>
    <w:rsid w:val="002C6584"/>
    <w:rsid w:val="002C69F1"/>
    <w:rsid w:val="002C6AF1"/>
    <w:rsid w:val="002C7AB8"/>
    <w:rsid w:val="002C7C29"/>
    <w:rsid w:val="002D0280"/>
    <w:rsid w:val="002D0E06"/>
    <w:rsid w:val="002D15C9"/>
    <w:rsid w:val="002D2772"/>
    <w:rsid w:val="002D3D19"/>
    <w:rsid w:val="002D3D44"/>
    <w:rsid w:val="002D5E03"/>
    <w:rsid w:val="002E0186"/>
    <w:rsid w:val="002E0973"/>
    <w:rsid w:val="002E0A3E"/>
    <w:rsid w:val="002E15B2"/>
    <w:rsid w:val="002E3346"/>
    <w:rsid w:val="002E35D3"/>
    <w:rsid w:val="002E3C7D"/>
    <w:rsid w:val="002E3D05"/>
    <w:rsid w:val="002E51F0"/>
    <w:rsid w:val="002E5898"/>
    <w:rsid w:val="002E5B89"/>
    <w:rsid w:val="002E7555"/>
    <w:rsid w:val="002E7D5C"/>
    <w:rsid w:val="002F0581"/>
    <w:rsid w:val="002F0F7A"/>
    <w:rsid w:val="002F1F14"/>
    <w:rsid w:val="002F1F30"/>
    <w:rsid w:val="002F2131"/>
    <w:rsid w:val="002F2767"/>
    <w:rsid w:val="002F375C"/>
    <w:rsid w:val="002F39A5"/>
    <w:rsid w:val="002F3D42"/>
    <w:rsid w:val="002F564D"/>
    <w:rsid w:val="002F5868"/>
    <w:rsid w:val="002F61D6"/>
    <w:rsid w:val="002F68DF"/>
    <w:rsid w:val="002F6A21"/>
    <w:rsid w:val="002F6B67"/>
    <w:rsid w:val="002F71ED"/>
    <w:rsid w:val="002F723B"/>
    <w:rsid w:val="002F745A"/>
    <w:rsid w:val="003002FF"/>
    <w:rsid w:val="003007B2"/>
    <w:rsid w:val="00301A10"/>
    <w:rsid w:val="00302053"/>
    <w:rsid w:val="00302146"/>
    <w:rsid w:val="00304520"/>
    <w:rsid w:val="003059F1"/>
    <w:rsid w:val="00306F79"/>
    <w:rsid w:val="003073C5"/>
    <w:rsid w:val="0030741C"/>
    <w:rsid w:val="00310BDA"/>
    <w:rsid w:val="003110B8"/>
    <w:rsid w:val="0031110D"/>
    <w:rsid w:val="00311871"/>
    <w:rsid w:val="0031325B"/>
    <w:rsid w:val="003137B1"/>
    <w:rsid w:val="00314BCF"/>
    <w:rsid w:val="00315100"/>
    <w:rsid w:val="00315B4B"/>
    <w:rsid w:val="00315C2F"/>
    <w:rsid w:val="003166A9"/>
    <w:rsid w:val="0031679F"/>
    <w:rsid w:val="00316E13"/>
    <w:rsid w:val="00317254"/>
    <w:rsid w:val="00320241"/>
    <w:rsid w:val="00320B18"/>
    <w:rsid w:val="00320C8C"/>
    <w:rsid w:val="003214CE"/>
    <w:rsid w:val="003217BE"/>
    <w:rsid w:val="0032182E"/>
    <w:rsid w:val="00321AF2"/>
    <w:rsid w:val="0032236E"/>
    <w:rsid w:val="003231D6"/>
    <w:rsid w:val="0032329B"/>
    <w:rsid w:val="00323725"/>
    <w:rsid w:val="00323CC7"/>
    <w:rsid w:val="00323F1A"/>
    <w:rsid w:val="003241F1"/>
    <w:rsid w:val="0032616D"/>
    <w:rsid w:val="003262A8"/>
    <w:rsid w:val="00327081"/>
    <w:rsid w:val="0033001F"/>
    <w:rsid w:val="003317CA"/>
    <w:rsid w:val="00331F06"/>
    <w:rsid w:val="003325F1"/>
    <w:rsid w:val="003329C3"/>
    <w:rsid w:val="00332DC7"/>
    <w:rsid w:val="00332FAF"/>
    <w:rsid w:val="0033422D"/>
    <w:rsid w:val="00334643"/>
    <w:rsid w:val="00336063"/>
    <w:rsid w:val="00336171"/>
    <w:rsid w:val="00337293"/>
    <w:rsid w:val="003405F5"/>
    <w:rsid w:val="003409EE"/>
    <w:rsid w:val="00342486"/>
    <w:rsid w:val="003432FA"/>
    <w:rsid w:val="0034365F"/>
    <w:rsid w:val="00343F6F"/>
    <w:rsid w:val="0034446D"/>
    <w:rsid w:val="00344D8C"/>
    <w:rsid w:val="00345B02"/>
    <w:rsid w:val="00345C6E"/>
    <w:rsid w:val="00346154"/>
    <w:rsid w:val="00346ED1"/>
    <w:rsid w:val="00347495"/>
    <w:rsid w:val="00347E78"/>
    <w:rsid w:val="00347F22"/>
    <w:rsid w:val="003501FD"/>
    <w:rsid w:val="003516A8"/>
    <w:rsid w:val="00351CCE"/>
    <w:rsid w:val="00352769"/>
    <w:rsid w:val="003527E5"/>
    <w:rsid w:val="00352FDD"/>
    <w:rsid w:val="003530D9"/>
    <w:rsid w:val="003532A3"/>
    <w:rsid w:val="00353B0A"/>
    <w:rsid w:val="003554C0"/>
    <w:rsid w:val="00357E3F"/>
    <w:rsid w:val="0036057B"/>
    <w:rsid w:val="003609B2"/>
    <w:rsid w:val="00361034"/>
    <w:rsid w:val="00361986"/>
    <w:rsid w:val="0036238B"/>
    <w:rsid w:val="003632BC"/>
    <w:rsid w:val="0036343D"/>
    <w:rsid w:val="00363DD0"/>
    <w:rsid w:val="003654BF"/>
    <w:rsid w:val="00367296"/>
    <w:rsid w:val="00367ED2"/>
    <w:rsid w:val="00367EF5"/>
    <w:rsid w:val="00370161"/>
    <w:rsid w:val="00370D8B"/>
    <w:rsid w:val="00370EEE"/>
    <w:rsid w:val="00370F52"/>
    <w:rsid w:val="003710CA"/>
    <w:rsid w:val="0037139B"/>
    <w:rsid w:val="00371A1A"/>
    <w:rsid w:val="00371B53"/>
    <w:rsid w:val="00372011"/>
    <w:rsid w:val="0037324C"/>
    <w:rsid w:val="003734EE"/>
    <w:rsid w:val="00374B2E"/>
    <w:rsid w:val="00374DED"/>
    <w:rsid w:val="00374E61"/>
    <w:rsid w:val="00375005"/>
    <w:rsid w:val="00375947"/>
    <w:rsid w:val="00376323"/>
    <w:rsid w:val="003773C8"/>
    <w:rsid w:val="00377735"/>
    <w:rsid w:val="00380A3C"/>
    <w:rsid w:val="00380E69"/>
    <w:rsid w:val="00380E77"/>
    <w:rsid w:val="00381031"/>
    <w:rsid w:val="003817CB"/>
    <w:rsid w:val="00382C5D"/>
    <w:rsid w:val="00382C98"/>
    <w:rsid w:val="00382D65"/>
    <w:rsid w:val="00382FF4"/>
    <w:rsid w:val="00383DA1"/>
    <w:rsid w:val="00385262"/>
    <w:rsid w:val="0038550A"/>
    <w:rsid w:val="00386336"/>
    <w:rsid w:val="0038635C"/>
    <w:rsid w:val="00386617"/>
    <w:rsid w:val="00387A5A"/>
    <w:rsid w:val="00390646"/>
    <w:rsid w:val="00390D42"/>
    <w:rsid w:val="003913FF"/>
    <w:rsid w:val="003935E8"/>
    <w:rsid w:val="00393B90"/>
    <w:rsid w:val="00396DA8"/>
    <w:rsid w:val="00397981"/>
    <w:rsid w:val="0039799D"/>
    <w:rsid w:val="003A022D"/>
    <w:rsid w:val="003A0581"/>
    <w:rsid w:val="003A0932"/>
    <w:rsid w:val="003A0EBC"/>
    <w:rsid w:val="003A142D"/>
    <w:rsid w:val="003A1A1E"/>
    <w:rsid w:val="003A27F3"/>
    <w:rsid w:val="003A2BA0"/>
    <w:rsid w:val="003A3681"/>
    <w:rsid w:val="003A4000"/>
    <w:rsid w:val="003A40C3"/>
    <w:rsid w:val="003A4481"/>
    <w:rsid w:val="003A4B8E"/>
    <w:rsid w:val="003A6650"/>
    <w:rsid w:val="003A6F58"/>
    <w:rsid w:val="003A732C"/>
    <w:rsid w:val="003A7746"/>
    <w:rsid w:val="003B0FC5"/>
    <w:rsid w:val="003B1208"/>
    <w:rsid w:val="003B1653"/>
    <w:rsid w:val="003B1F73"/>
    <w:rsid w:val="003B247C"/>
    <w:rsid w:val="003B287C"/>
    <w:rsid w:val="003B29E1"/>
    <w:rsid w:val="003B3007"/>
    <w:rsid w:val="003B4908"/>
    <w:rsid w:val="003B490B"/>
    <w:rsid w:val="003B509B"/>
    <w:rsid w:val="003B6D0E"/>
    <w:rsid w:val="003B789C"/>
    <w:rsid w:val="003B7ED7"/>
    <w:rsid w:val="003C01C4"/>
    <w:rsid w:val="003C0EB0"/>
    <w:rsid w:val="003C12E8"/>
    <w:rsid w:val="003C1C3D"/>
    <w:rsid w:val="003C33D4"/>
    <w:rsid w:val="003C3CE6"/>
    <w:rsid w:val="003C4D47"/>
    <w:rsid w:val="003C56C7"/>
    <w:rsid w:val="003C5C52"/>
    <w:rsid w:val="003C6486"/>
    <w:rsid w:val="003C7688"/>
    <w:rsid w:val="003D1391"/>
    <w:rsid w:val="003D27CF"/>
    <w:rsid w:val="003D4507"/>
    <w:rsid w:val="003D683E"/>
    <w:rsid w:val="003D79D3"/>
    <w:rsid w:val="003E0542"/>
    <w:rsid w:val="003E0C7C"/>
    <w:rsid w:val="003E11C3"/>
    <w:rsid w:val="003E1EF4"/>
    <w:rsid w:val="003E2019"/>
    <w:rsid w:val="003E2576"/>
    <w:rsid w:val="003E2F16"/>
    <w:rsid w:val="003E32D4"/>
    <w:rsid w:val="003E37A1"/>
    <w:rsid w:val="003E3EED"/>
    <w:rsid w:val="003E436A"/>
    <w:rsid w:val="003E4602"/>
    <w:rsid w:val="003E60A1"/>
    <w:rsid w:val="003E61C3"/>
    <w:rsid w:val="003E64F1"/>
    <w:rsid w:val="003E67F9"/>
    <w:rsid w:val="003E6877"/>
    <w:rsid w:val="003F0277"/>
    <w:rsid w:val="003F046B"/>
    <w:rsid w:val="003F18CF"/>
    <w:rsid w:val="003F22E7"/>
    <w:rsid w:val="003F3594"/>
    <w:rsid w:val="003F38E8"/>
    <w:rsid w:val="003F4DE4"/>
    <w:rsid w:val="003F4E96"/>
    <w:rsid w:val="003F6CB9"/>
    <w:rsid w:val="003F6D77"/>
    <w:rsid w:val="003F72F2"/>
    <w:rsid w:val="003F75C8"/>
    <w:rsid w:val="003F77BE"/>
    <w:rsid w:val="003F7B5D"/>
    <w:rsid w:val="003F7C6A"/>
    <w:rsid w:val="00400393"/>
    <w:rsid w:val="00401605"/>
    <w:rsid w:val="00402464"/>
    <w:rsid w:val="00402BE6"/>
    <w:rsid w:val="00402D68"/>
    <w:rsid w:val="00402D91"/>
    <w:rsid w:val="004030D0"/>
    <w:rsid w:val="0040374F"/>
    <w:rsid w:val="00404632"/>
    <w:rsid w:val="004064FE"/>
    <w:rsid w:val="004066D6"/>
    <w:rsid w:val="00407431"/>
    <w:rsid w:val="0041094C"/>
    <w:rsid w:val="00411CB8"/>
    <w:rsid w:val="00411DDC"/>
    <w:rsid w:val="00412A45"/>
    <w:rsid w:val="00412D07"/>
    <w:rsid w:val="00412F8F"/>
    <w:rsid w:val="004131AD"/>
    <w:rsid w:val="00413C47"/>
    <w:rsid w:val="00414ABF"/>
    <w:rsid w:val="00414B15"/>
    <w:rsid w:val="00414D3A"/>
    <w:rsid w:val="00415098"/>
    <w:rsid w:val="00415771"/>
    <w:rsid w:val="00416193"/>
    <w:rsid w:val="00417C8E"/>
    <w:rsid w:val="004205B3"/>
    <w:rsid w:val="00421448"/>
    <w:rsid w:val="004218CB"/>
    <w:rsid w:val="00421BBD"/>
    <w:rsid w:val="00421E08"/>
    <w:rsid w:val="0042347F"/>
    <w:rsid w:val="00423D11"/>
    <w:rsid w:val="00423FF0"/>
    <w:rsid w:val="00424C2D"/>
    <w:rsid w:val="00425014"/>
    <w:rsid w:val="004254AE"/>
    <w:rsid w:val="00425BAA"/>
    <w:rsid w:val="00430278"/>
    <w:rsid w:val="00430F1D"/>
    <w:rsid w:val="00431190"/>
    <w:rsid w:val="0043270E"/>
    <w:rsid w:val="00432BEE"/>
    <w:rsid w:val="004334D9"/>
    <w:rsid w:val="00434336"/>
    <w:rsid w:val="004357DE"/>
    <w:rsid w:val="004357F7"/>
    <w:rsid w:val="00436C29"/>
    <w:rsid w:val="00436FE4"/>
    <w:rsid w:val="00437689"/>
    <w:rsid w:val="004379AD"/>
    <w:rsid w:val="00437D19"/>
    <w:rsid w:val="0044076A"/>
    <w:rsid w:val="00440A71"/>
    <w:rsid w:val="00440E58"/>
    <w:rsid w:val="00440F95"/>
    <w:rsid w:val="0044156E"/>
    <w:rsid w:val="004420AF"/>
    <w:rsid w:val="0044225D"/>
    <w:rsid w:val="004423DF"/>
    <w:rsid w:val="00443032"/>
    <w:rsid w:val="0044382A"/>
    <w:rsid w:val="00443949"/>
    <w:rsid w:val="00443C05"/>
    <w:rsid w:val="00444832"/>
    <w:rsid w:val="00444854"/>
    <w:rsid w:val="00446FF8"/>
    <w:rsid w:val="004476A7"/>
    <w:rsid w:val="0044798F"/>
    <w:rsid w:val="004502BA"/>
    <w:rsid w:val="004505F8"/>
    <w:rsid w:val="00452318"/>
    <w:rsid w:val="00452559"/>
    <w:rsid w:val="004528D2"/>
    <w:rsid w:val="00452BDA"/>
    <w:rsid w:val="00453835"/>
    <w:rsid w:val="00453B39"/>
    <w:rsid w:val="00453D50"/>
    <w:rsid w:val="004541FF"/>
    <w:rsid w:val="00455704"/>
    <w:rsid w:val="00455A18"/>
    <w:rsid w:val="00455C05"/>
    <w:rsid w:val="004563AF"/>
    <w:rsid w:val="00457503"/>
    <w:rsid w:val="00457A0F"/>
    <w:rsid w:val="00457C80"/>
    <w:rsid w:val="00457E68"/>
    <w:rsid w:val="0046040B"/>
    <w:rsid w:val="00460687"/>
    <w:rsid w:val="00461010"/>
    <w:rsid w:val="00461467"/>
    <w:rsid w:val="004617F4"/>
    <w:rsid w:val="00461BC3"/>
    <w:rsid w:val="00461BDC"/>
    <w:rsid w:val="004621FE"/>
    <w:rsid w:val="0046306C"/>
    <w:rsid w:val="0046326E"/>
    <w:rsid w:val="00463B09"/>
    <w:rsid w:val="0046403D"/>
    <w:rsid w:val="0046417E"/>
    <w:rsid w:val="00464DC0"/>
    <w:rsid w:val="00464E56"/>
    <w:rsid w:val="00465DFE"/>
    <w:rsid w:val="004660EA"/>
    <w:rsid w:val="004666F5"/>
    <w:rsid w:val="00466B44"/>
    <w:rsid w:val="00467297"/>
    <w:rsid w:val="00467C75"/>
    <w:rsid w:val="0047020D"/>
    <w:rsid w:val="00470A1F"/>
    <w:rsid w:val="00470ADE"/>
    <w:rsid w:val="00472692"/>
    <w:rsid w:val="0047280B"/>
    <w:rsid w:val="0047371F"/>
    <w:rsid w:val="00473FD7"/>
    <w:rsid w:val="0047425E"/>
    <w:rsid w:val="00475654"/>
    <w:rsid w:val="00477441"/>
    <w:rsid w:val="00477B72"/>
    <w:rsid w:val="0048021D"/>
    <w:rsid w:val="00480434"/>
    <w:rsid w:val="00480A9C"/>
    <w:rsid w:val="004826A3"/>
    <w:rsid w:val="004827C3"/>
    <w:rsid w:val="004837AA"/>
    <w:rsid w:val="00483E99"/>
    <w:rsid w:val="00485900"/>
    <w:rsid w:val="00485B34"/>
    <w:rsid w:val="00485CB1"/>
    <w:rsid w:val="00486AA2"/>
    <w:rsid w:val="00487375"/>
    <w:rsid w:val="004879EE"/>
    <w:rsid w:val="00490D8F"/>
    <w:rsid w:val="00491482"/>
    <w:rsid w:val="00491C48"/>
    <w:rsid w:val="0049213C"/>
    <w:rsid w:val="004927A0"/>
    <w:rsid w:val="00492930"/>
    <w:rsid w:val="00492B9C"/>
    <w:rsid w:val="00492E74"/>
    <w:rsid w:val="00493528"/>
    <w:rsid w:val="00494608"/>
    <w:rsid w:val="004949EA"/>
    <w:rsid w:val="00494B16"/>
    <w:rsid w:val="00494FD7"/>
    <w:rsid w:val="00496AB7"/>
    <w:rsid w:val="00497D13"/>
    <w:rsid w:val="00497D33"/>
    <w:rsid w:val="004A0235"/>
    <w:rsid w:val="004A1078"/>
    <w:rsid w:val="004A1233"/>
    <w:rsid w:val="004A1725"/>
    <w:rsid w:val="004A1BA8"/>
    <w:rsid w:val="004A2CA9"/>
    <w:rsid w:val="004A4673"/>
    <w:rsid w:val="004A4AF5"/>
    <w:rsid w:val="004A5560"/>
    <w:rsid w:val="004A6B78"/>
    <w:rsid w:val="004A6E29"/>
    <w:rsid w:val="004A76A1"/>
    <w:rsid w:val="004A7D52"/>
    <w:rsid w:val="004B07DF"/>
    <w:rsid w:val="004B0F26"/>
    <w:rsid w:val="004B2742"/>
    <w:rsid w:val="004B2E60"/>
    <w:rsid w:val="004B3500"/>
    <w:rsid w:val="004B4092"/>
    <w:rsid w:val="004B4192"/>
    <w:rsid w:val="004B48CE"/>
    <w:rsid w:val="004B5553"/>
    <w:rsid w:val="004B5FDA"/>
    <w:rsid w:val="004B61A5"/>
    <w:rsid w:val="004B6E5E"/>
    <w:rsid w:val="004B7281"/>
    <w:rsid w:val="004C076A"/>
    <w:rsid w:val="004C08A0"/>
    <w:rsid w:val="004C09D0"/>
    <w:rsid w:val="004C0AB6"/>
    <w:rsid w:val="004C0C18"/>
    <w:rsid w:val="004C1221"/>
    <w:rsid w:val="004C146D"/>
    <w:rsid w:val="004C2BA4"/>
    <w:rsid w:val="004C2DA2"/>
    <w:rsid w:val="004C3573"/>
    <w:rsid w:val="004C3661"/>
    <w:rsid w:val="004C3B8C"/>
    <w:rsid w:val="004C40C7"/>
    <w:rsid w:val="004C4189"/>
    <w:rsid w:val="004C4C23"/>
    <w:rsid w:val="004C4E36"/>
    <w:rsid w:val="004C5379"/>
    <w:rsid w:val="004C5EA3"/>
    <w:rsid w:val="004C6991"/>
    <w:rsid w:val="004C6B00"/>
    <w:rsid w:val="004C6BC7"/>
    <w:rsid w:val="004C6C45"/>
    <w:rsid w:val="004C7B1A"/>
    <w:rsid w:val="004C7EB2"/>
    <w:rsid w:val="004D0421"/>
    <w:rsid w:val="004D0A8E"/>
    <w:rsid w:val="004D0B8D"/>
    <w:rsid w:val="004D1154"/>
    <w:rsid w:val="004D1B5A"/>
    <w:rsid w:val="004D2EB4"/>
    <w:rsid w:val="004D3193"/>
    <w:rsid w:val="004D3406"/>
    <w:rsid w:val="004D3796"/>
    <w:rsid w:val="004D3D5C"/>
    <w:rsid w:val="004D4DC1"/>
    <w:rsid w:val="004D7280"/>
    <w:rsid w:val="004D72A8"/>
    <w:rsid w:val="004D7484"/>
    <w:rsid w:val="004E07C4"/>
    <w:rsid w:val="004E1577"/>
    <w:rsid w:val="004E1BEC"/>
    <w:rsid w:val="004E1DF2"/>
    <w:rsid w:val="004E2588"/>
    <w:rsid w:val="004E2685"/>
    <w:rsid w:val="004E408D"/>
    <w:rsid w:val="004E42B9"/>
    <w:rsid w:val="004E4693"/>
    <w:rsid w:val="004E474A"/>
    <w:rsid w:val="004E4964"/>
    <w:rsid w:val="004E5B5E"/>
    <w:rsid w:val="004E5B8C"/>
    <w:rsid w:val="004E647E"/>
    <w:rsid w:val="004E7035"/>
    <w:rsid w:val="004E71C3"/>
    <w:rsid w:val="004E725A"/>
    <w:rsid w:val="004E779A"/>
    <w:rsid w:val="004F088C"/>
    <w:rsid w:val="004F0C9A"/>
    <w:rsid w:val="004F0D80"/>
    <w:rsid w:val="004F187D"/>
    <w:rsid w:val="004F54B3"/>
    <w:rsid w:val="004F566B"/>
    <w:rsid w:val="004F5F98"/>
    <w:rsid w:val="004F6F8B"/>
    <w:rsid w:val="004F7254"/>
    <w:rsid w:val="004F7D98"/>
    <w:rsid w:val="00500C69"/>
    <w:rsid w:val="0050124D"/>
    <w:rsid w:val="005012C0"/>
    <w:rsid w:val="005014F5"/>
    <w:rsid w:val="0050184D"/>
    <w:rsid w:val="00502D63"/>
    <w:rsid w:val="00503447"/>
    <w:rsid w:val="00503750"/>
    <w:rsid w:val="00503941"/>
    <w:rsid w:val="00503952"/>
    <w:rsid w:val="00503C3B"/>
    <w:rsid w:val="0050428D"/>
    <w:rsid w:val="00504691"/>
    <w:rsid w:val="005056D7"/>
    <w:rsid w:val="00505A53"/>
    <w:rsid w:val="00505B30"/>
    <w:rsid w:val="0050623D"/>
    <w:rsid w:val="0050734A"/>
    <w:rsid w:val="00510023"/>
    <w:rsid w:val="00510863"/>
    <w:rsid w:val="00510E6B"/>
    <w:rsid w:val="005113AD"/>
    <w:rsid w:val="00512231"/>
    <w:rsid w:val="00512C66"/>
    <w:rsid w:val="0051333D"/>
    <w:rsid w:val="0051386E"/>
    <w:rsid w:val="00513B71"/>
    <w:rsid w:val="0051468D"/>
    <w:rsid w:val="0051494D"/>
    <w:rsid w:val="0051518E"/>
    <w:rsid w:val="0051542A"/>
    <w:rsid w:val="00517A19"/>
    <w:rsid w:val="005207E0"/>
    <w:rsid w:val="00521127"/>
    <w:rsid w:val="005211B2"/>
    <w:rsid w:val="00522C42"/>
    <w:rsid w:val="00522D42"/>
    <w:rsid w:val="00523275"/>
    <w:rsid w:val="00523A52"/>
    <w:rsid w:val="00524F8D"/>
    <w:rsid w:val="00525331"/>
    <w:rsid w:val="00525945"/>
    <w:rsid w:val="00525B84"/>
    <w:rsid w:val="00526192"/>
    <w:rsid w:val="005262A9"/>
    <w:rsid w:val="005262E4"/>
    <w:rsid w:val="005264BD"/>
    <w:rsid w:val="00527595"/>
    <w:rsid w:val="005276F9"/>
    <w:rsid w:val="0052771A"/>
    <w:rsid w:val="0053112F"/>
    <w:rsid w:val="00531385"/>
    <w:rsid w:val="00531952"/>
    <w:rsid w:val="00531B8F"/>
    <w:rsid w:val="00532930"/>
    <w:rsid w:val="00532984"/>
    <w:rsid w:val="00533040"/>
    <w:rsid w:val="00533E8B"/>
    <w:rsid w:val="00534BFA"/>
    <w:rsid w:val="005356ED"/>
    <w:rsid w:val="00536AE4"/>
    <w:rsid w:val="00536F52"/>
    <w:rsid w:val="0053761C"/>
    <w:rsid w:val="005378B0"/>
    <w:rsid w:val="00537EB3"/>
    <w:rsid w:val="00537EFC"/>
    <w:rsid w:val="005402D7"/>
    <w:rsid w:val="00540573"/>
    <w:rsid w:val="00540E91"/>
    <w:rsid w:val="00541D5C"/>
    <w:rsid w:val="005422D6"/>
    <w:rsid w:val="00542554"/>
    <w:rsid w:val="00542591"/>
    <w:rsid w:val="00542D05"/>
    <w:rsid w:val="00543CEA"/>
    <w:rsid w:val="0054437F"/>
    <w:rsid w:val="005446DE"/>
    <w:rsid w:val="00544718"/>
    <w:rsid w:val="00544765"/>
    <w:rsid w:val="00544FA1"/>
    <w:rsid w:val="005467F0"/>
    <w:rsid w:val="0054695B"/>
    <w:rsid w:val="00546F15"/>
    <w:rsid w:val="005477A2"/>
    <w:rsid w:val="00550320"/>
    <w:rsid w:val="005504A5"/>
    <w:rsid w:val="00550E46"/>
    <w:rsid w:val="00551243"/>
    <w:rsid w:val="00551769"/>
    <w:rsid w:val="005519B7"/>
    <w:rsid w:val="00551C9A"/>
    <w:rsid w:val="0055235B"/>
    <w:rsid w:val="00553974"/>
    <w:rsid w:val="00554650"/>
    <w:rsid w:val="00554FF2"/>
    <w:rsid w:val="0055560D"/>
    <w:rsid w:val="005559E9"/>
    <w:rsid w:val="00555A4F"/>
    <w:rsid w:val="005570BE"/>
    <w:rsid w:val="00557D62"/>
    <w:rsid w:val="00557EF0"/>
    <w:rsid w:val="00557F4E"/>
    <w:rsid w:val="005607B9"/>
    <w:rsid w:val="00560B85"/>
    <w:rsid w:val="0056233B"/>
    <w:rsid w:val="00562A51"/>
    <w:rsid w:val="00562B73"/>
    <w:rsid w:val="00562D96"/>
    <w:rsid w:val="005642F4"/>
    <w:rsid w:val="00564313"/>
    <w:rsid w:val="00564978"/>
    <w:rsid w:val="00564EBB"/>
    <w:rsid w:val="00565D6A"/>
    <w:rsid w:val="00566A8C"/>
    <w:rsid w:val="00566C7E"/>
    <w:rsid w:val="0056717F"/>
    <w:rsid w:val="00567B17"/>
    <w:rsid w:val="00570B82"/>
    <w:rsid w:val="00570E53"/>
    <w:rsid w:val="005720E6"/>
    <w:rsid w:val="005724C3"/>
    <w:rsid w:val="00572875"/>
    <w:rsid w:val="005729C7"/>
    <w:rsid w:val="00572E82"/>
    <w:rsid w:val="00572F77"/>
    <w:rsid w:val="0057357B"/>
    <w:rsid w:val="00573718"/>
    <w:rsid w:val="00574EA9"/>
    <w:rsid w:val="005753A1"/>
    <w:rsid w:val="005760AF"/>
    <w:rsid w:val="00576987"/>
    <w:rsid w:val="005774CE"/>
    <w:rsid w:val="00577A7B"/>
    <w:rsid w:val="0058326E"/>
    <w:rsid w:val="00583329"/>
    <w:rsid w:val="005834B1"/>
    <w:rsid w:val="0058352B"/>
    <w:rsid w:val="005838B7"/>
    <w:rsid w:val="00583A41"/>
    <w:rsid w:val="00585028"/>
    <w:rsid w:val="00586B32"/>
    <w:rsid w:val="00587679"/>
    <w:rsid w:val="0059015E"/>
    <w:rsid w:val="00590661"/>
    <w:rsid w:val="005919CC"/>
    <w:rsid w:val="005923E7"/>
    <w:rsid w:val="005926FF"/>
    <w:rsid w:val="005927B6"/>
    <w:rsid w:val="00592FDE"/>
    <w:rsid w:val="00592FE6"/>
    <w:rsid w:val="00593A13"/>
    <w:rsid w:val="005954D3"/>
    <w:rsid w:val="00596199"/>
    <w:rsid w:val="005972F4"/>
    <w:rsid w:val="005A2B90"/>
    <w:rsid w:val="005A2D77"/>
    <w:rsid w:val="005A2E40"/>
    <w:rsid w:val="005A38A2"/>
    <w:rsid w:val="005A39D0"/>
    <w:rsid w:val="005A3D43"/>
    <w:rsid w:val="005A4010"/>
    <w:rsid w:val="005A4CC6"/>
    <w:rsid w:val="005A564F"/>
    <w:rsid w:val="005A5671"/>
    <w:rsid w:val="005A7722"/>
    <w:rsid w:val="005B009E"/>
    <w:rsid w:val="005B0933"/>
    <w:rsid w:val="005B0A49"/>
    <w:rsid w:val="005B1BC4"/>
    <w:rsid w:val="005B1D52"/>
    <w:rsid w:val="005B2922"/>
    <w:rsid w:val="005B2F76"/>
    <w:rsid w:val="005B3624"/>
    <w:rsid w:val="005B3903"/>
    <w:rsid w:val="005B3EC4"/>
    <w:rsid w:val="005B4B4D"/>
    <w:rsid w:val="005B4E81"/>
    <w:rsid w:val="005B56E2"/>
    <w:rsid w:val="005B69B1"/>
    <w:rsid w:val="005C0398"/>
    <w:rsid w:val="005C0D9C"/>
    <w:rsid w:val="005C105E"/>
    <w:rsid w:val="005C1082"/>
    <w:rsid w:val="005C1434"/>
    <w:rsid w:val="005C2A50"/>
    <w:rsid w:val="005C3502"/>
    <w:rsid w:val="005C4F27"/>
    <w:rsid w:val="005C5203"/>
    <w:rsid w:val="005C560C"/>
    <w:rsid w:val="005C5697"/>
    <w:rsid w:val="005C7158"/>
    <w:rsid w:val="005C75C9"/>
    <w:rsid w:val="005D0527"/>
    <w:rsid w:val="005D099E"/>
    <w:rsid w:val="005D0D84"/>
    <w:rsid w:val="005D1278"/>
    <w:rsid w:val="005D1A73"/>
    <w:rsid w:val="005D4151"/>
    <w:rsid w:val="005D5494"/>
    <w:rsid w:val="005D6267"/>
    <w:rsid w:val="005D6FF9"/>
    <w:rsid w:val="005D77BD"/>
    <w:rsid w:val="005E0230"/>
    <w:rsid w:val="005E04B5"/>
    <w:rsid w:val="005E05E5"/>
    <w:rsid w:val="005E0A06"/>
    <w:rsid w:val="005E0AB8"/>
    <w:rsid w:val="005E199B"/>
    <w:rsid w:val="005E1E7B"/>
    <w:rsid w:val="005E2246"/>
    <w:rsid w:val="005E2660"/>
    <w:rsid w:val="005E273B"/>
    <w:rsid w:val="005E30C8"/>
    <w:rsid w:val="005E44FA"/>
    <w:rsid w:val="005E7C04"/>
    <w:rsid w:val="005F061D"/>
    <w:rsid w:val="005F0C85"/>
    <w:rsid w:val="005F0CDE"/>
    <w:rsid w:val="005F0FFB"/>
    <w:rsid w:val="005F1E84"/>
    <w:rsid w:val="005F2181"/>
    <w:rsid w:val="005F2A54"/>
    <w:rsid w:val="005F3755"/>
    <w:rsid w:val="005F37A5"/>
    <w:rsid w:val="005F3C9F"/>
    <w:rsid w:val="005F4C42"/>
    <w:rsid w:val="005F4CA5"/>
    <w:rsid w:val="005F543F"/>
    <w:rsid w:val="005F5D8A"/>
    <w:rsid w:val="005F5D8E"/>
    <w:rsid w:val="005F5E17"/>
    <w:rsid w:val="005F63B8"/>
    <w:rsid w:val="005F6C7F"/>
    <w:rsid w:val="005F7203"/>
    <w:rsid w:val="005F7753"/>
    <w:rsid w:val="00601D92"/>
    <w:rsid w:val="00601E41"/>
    <w:rsid w:val="00602760"/>
    <w:rsid w:val="0060284B"/>
    <w:rsid w:val="006037AB"/>
    <w:rsid w:val="0060510F"/>
    <w:rsid w:val="00605650"/>
    <w:rsid w:val="006061D6"/>
    <w:rsid w:val="00607473"/>
    <w:rsid w:val="00607D7B"/>
    <w:rsid w:val="006101EC"/>
    <w:rsid w:val="00610D3B"/>
    <w:rsid w:val="00612F76"/>
    <w:rsid w:val="006134F1"/>
    <w:rsid w:val="006136B6"/>
    <w:rsid w:val="006138C2"/>
    <w:rsid w:val="0061444E"/>
    <w:rsid w:val="00614EF9"/>
    <w:rsid w:val="006165E7"/>
    <w:rsid w:val="006177A1"/>
    <w:rsid w:val="00617A2C"/>
    <w:rsid w:val="0062143E"/>
    <w:rsid w:val="006229AA"/>
    <w:rsid w:val="00622F5C"/>
    <w:rsid w:val="00623A07"/>
    <w:rsid w:val="00624315"/>
    <w:rsid w:val="00624D07"/>
    <w:rsid w:val="00625684"/>
    <w:rsid w:val="00625B88"/>
    <w:rsid w:val="00625CFB"/>
    <w:rsid w:val="00625E35"/>
    <w:rsid w:val="00626C98"/>
    <w:rsid w:val="0062715B"/>
    <w:rsid w:val="00630BAC"/>
    <w:rsid w:val="00630BDC"/>
    <w:rsid w:val="0063110C"/>
    <w:rsid w:val="006312D5"/>
    <w:rsid w:val="00631481"/>
    <w:rsid w:val="00631FF2"/>
    <w:rsid w:val="0063224C"/>
    <w:rsid w:val="00632EAC"/>
    <w:rsid w:val="00632F91"/>
    <w:rsid w:val="00633E0D"/>
    <w:rsid w:val="0063422C"/>
    <w:rsid w:val="006344F8"/>
    <w:rsid w:val="0063489F"/>
    <w:rsid w:val="006348B6"/>
    <w:rsid w:val="006348B8"/>
    <w:rsid w:val="00634A5D"/>
    <w:rsid w:val="00635682"/>
    <w:rsid w:val="006358AE"/>
    <w:rsid w:val="00635A2D"/>
    <w:rsid w:val="0063668C"/>
    <w:rsid w:val="006368F7"/>
    <w:rsid w:val="00636B55"/>
    <w:rsid w:val="00636C61"/>
    <w:rsid w:val="006373ED"/>
    <w:rsid w:val="00637493"/>
    <w:rsid w:val="00637967"/>
    <w:rsid w:val="00637B66"/>
    <w:rsid w:val="00637E06"/>
    <w:rsid w:val="006417AE"/>
    <w:rsid w:val="00641F85"/>
    <w:rsid w:val="00642731"/>
    <w:rsid w:val="00642870"/>
    <w:rsid w:val="0064383B"/>
    <w:rsid w:val="00643891"/>
    <w:rsid w:val="00643A2A"/>
    <w:rsid w:val="00644499"/>
    <w:rsid w:val="0064482E"/>
    <w:rsid w:val="00644F0F"/>
    <w:rsid w:val="006462DB"/>
    <w:rsid w:val="00647767"/>
    <w:rsid w:val="00650EAA"/>
    <w:rsid w:val="00651C20"/>
    <w:rsid w:val="0065276A"/>
    <w:rsid w:val="00652998"/>
    <w:rsid w:val="00652B7E"/>
    <w:rsid w:val="00652FC8"/>
    <w:rsid w:val="00654441"/>
    <w:rsid w:val="00655A73"/>
    <w:rsid w:val="00655C7B"/>
    <w:rsid w:val="00655EA0"/>
    <w:rsid w:val="00657DF3"/>
    <w:rsid w:val="0066205D"/>
    <w:rsid w:val="00663026"/>
    <w:rsid w:val="00663112"/>
    <w:rsid w:val="00663CAD"/>
    <w:rsid w:val="00664453"/>
    <w:rsid w:val="00664ADF"/>
    <w:rsid w:val="006655F7"/>
    <w:rsid w:val="006656B4"/>
    <w:rsid w:val="00665C19"/>
    <w:rsid w:val="006660AE"/>
    <w:rsid w:val="00666B65"/>
    <w:rsid w:val="00666C65"/>
    <w:rsid w:val="00666EC5"/>
    <w:rsid w:val="00666F3C"/>
    <w:rsid w:val="00667772"/>
    <w:rsid w:val="0066790E"/>
    <w:rsid w:val="00670891"/>
    <w:rsid w:val="00671F70"/>
    <w:rsid w:val="00672956"/>
    <w:rsid w:val="006734B0"/>
    <w:rsid w:val="0067366E"/>
    <w:rsid w:val="006753D6"/>
    <w:rsid w:val="0067564A"/>
    <w:rsid w:val="00675842"/>
    <w:rsid w:val="00675E97"/>
    <w:rsid w:val="00675FD2"/>
    <w:rsid w:val="00676869"/>
    <w:rsid w:val="00676E77"/>
    <w:rsid w:val="00677DFC"/>
    <w:rsid w:val="00677F37"/>
    <w:rsid w:val="00680A9F"/>
    <w:rsid w:val="00680DEA"/>
    <w:rsid w:val="006811F6"/>
    <w:rsid w:val="0068148F"/>
    <w:rsid w:val="0068158B"/>
    <w:rsid w:val="00681B0D"/>
    <w:rsid w:val="006823EA"/>
    <w:rsid w:val="00682A8B"/>
    <w:rsid w:val="00682AAD"/>
    <w:rsid w:val="00682D13"/>
    <w:rsid w:val="006832E6"/>
    <w:rsid w:val="0068424C"/>
    <w:rsid w:val="00684A34"/>
    <w:rsid w:val="00684E7E"/>
    <w:rsid w:val="006854E7"/>
    <w:rsid w:val="006854F4"/>
    <w:rsid w:val="00686C5D"/>
    <w:rsid w:val="00686E78"/>
    <w:rsid w:val="00687035"/>
    <w:rsid w:val="00687072"/>
    <w:rsid w:val="00687651"/>
    <w:rsid w:val="00687738"/>
    <w:rsid w:val="00687815"/>
    <w:rsid w:val="006879AF"/>
    <w:rsid w:val="00687F8E"/>
    <w:rsid w:val="0069058A"/>
    <w:rsid w:val="00691AF7"/>
    <w:rsid w:val="00692D9C"/>
    <w:rsid w:val="00693C56"/>
    <w:rsid w:val="00694496"/>
    <w:rsid w:val="00694B7F"/>
    <w:rsid w:val="00695257"/>
    <w:rsid w:val="00695D02"/>
    <w:rsid w:val="00695DC0"/>
    <w:rsid w:val="00696759"/>
    <w:rsid w:val="0069771F"/>
    <w:rsid w:val="006A190C"/>
    <w:rsid w:val="006A4744"/>
    <w:rsid w:val="006A4F47"/>
    <w:rsid w:val="006A6CF0"/>
    <w:rsid w:val="006A7430"/>
    <w:rsid w:val="006A7B8E"/>
    <w:rsid w:val="006B0092"/>
    <w:rsid w:val="006B123D"/>
    <w:rsid w:val="006B1452"/>
    <w:rsid w:val="006B1790"/>
    <w:rsid w:val="006B1946"/>
    <w:rsid w:val="006B1D78"/>
    <w:rsid w:val="006B1DC1"/>
    <w:rsid w:val="006B285F"/>
    <w:rsid w:val="006B3797"/>
    <w:rsid w:val="006B475E"/>
    <w:rsid w:val="006B4CBD"/>
    <w:rsid w:val="006B5CC1"/>
    <w:rsid w:val="006B5DE6"/>
    <w:rsid w:val="006B6130"/>
    <w:rsid w:val="006B696C"/>
    <w:rsid w:val="006B6E06"/>
    <w:rsid w:val="006B6F29"/>
    <w:rsid w:val="006B787F"/>
    <w:rsid w:val="006C155E"/>
    <w:rsid w:val="006C2094"/>
    <w:rsid w:val="006C2365"/>
    <w:rsid w:val="006C2486"/>
    <w:rsid w:val="006C25E5"/>
    <w:rsid w:val="006C2F3A"/>
    <w:rsid w:val="006C3DC4"/>
    <w:rsid w:val="006C4B12"/>
    <w:rsid w:val="006C53E6"/>
    <w:rsid w:val="006C56D2"/>
    <w:rsid w:val="006C5943"/>
    <w:rsid w:val="006C5B48"/>
    <w:rsid w:val="006C664B"/>
    <w:rsid w:val="006C6EEA"/>
    <w:rsid w:val="006C711A"/>
    <w:rsid w:val="006C7215"/>
    <w:rsid w:val="006C75E1"/>
    <w:rsid w:val="006C7992"/>
    <w:rsid w:val="006C7D39"/>
    <w:rsid w:val="006C7E76"/>
    <w:rsid w:val="006D024A"/>
    <w:rsid w:val="006D07EA"/>
    <w:rsid w:val="006D0A26"/>
    <w:rsid w:val="006D0E1E"/>
    <w:rsid w:val="006D11E2"/>
    <w:rsid w:val="006D17D9"/>
    <w:rsid w:val="006D1CC1"/>
    <w:rsid w:val="006D4195"/>
    <w:rsid w:val="006D460E"/>
    <w:rsid w:val="006D47C3"/>
    <w:rsid w:val="006D568B"/>
    <w:rsid w:val="006D5F7B"/>
    <w:rsid w:val="006D5FB1"/>
    <w:rsid w:val="006D6507"/>
    <w:rsid w:val="006D700C"/>
    <w:rsid w:val="006D7B49"/>
    <w:rsid w:val="006E0102"/>
    <w:rsid w:val="006E0E9F"/>
    <w:rsid w:val="006E18E3"/>
    <w:rsid w:val="006E21E6"/>
    <w:rsid w:val="006E2276"/>
    <w:rsid w:val="006E318F"/>
    <w:rsid w:val="006E3703"/>
    <w:rsid w:val="006E4676"/>
    <w:rsid w:val="006E52AF"/>
    <w:rsid w:val="006E5D2E"/>
    <w:rsid w:val="006E61F3"/>
    <w:rsid w:val="006E6B7E"/>
    <w:rsid w:val="006E74AD"/>
    <w:rsid w:val="006F055A"/>
    <w:rsid w:val="006F0733"/>
    <w:rsid w:val="006F0A85"/>
    <w:rsid w:val="006F1468"/>
    <w:rsid w:val="006F1605"/>
    <w:rsid w:val="006F1F5A"/>
    <w:rsid w:val="006F2FFF"/>
    <w:rsid w:val="006F3A71"/>
    <w:rsid w:val="006F3F3F"/>
    <w:rsid w:val="006F4053"/>
    <w:rsid w:val="006F4786"/>
    <w:rsid w:val="006F47BA"/>
    <w:rsid w:val="006F5CA0"/>
    <w:rsid w:val="006F5F53"/>
    <w:rsid w:val="006F69D6"/>
    <w:rsid w:val="006F6BA9"/>
    <w:rsid w:val="006F77E2"/>
    <w:rsid w:val="007000AC"/>
    <w:rsid w:val="00701076"/>
    <w:rsid w:val="00701276"/>
    <w:rsid w:val="007017B7"/>
    <w:rsid w:val="0070196F"/>
    <w:rsid w:val="00701AF0"/>
    <w:rsid w:val="00703E8A"/>
    <w:rsid w:val="00704509"/>
    <w:rsid w:val="00704BC9"/>
    <w:rsid w:val="007062DB"/>
    <w:rsid w:val="0070699C"/>
    <w:rsid w:val="00706B0D"/>
    <w:rsid w:val="00706EDD"/>
    <w:rsid w:val="007077E9"/>
    <w:rsid w:val="00707EFC"/>
    <w:rsid w:val="00710ED3"/>
    <w:rsid w:val="0071110D"/>
    <w:rsid w:val="00714162"/>
    <w:rsid w:val="00714812"/>
    <w:rsid w:val="00714EE0"/>
    <w:rsid w:val="007161D7"/>
    <w:rsid w:val="007164A8"/>
    <w:rsid w:val="007164FB"/>
    <w:rsid w:val="00717757"/>
    <w:rsid w:val="00717B5E"/>
    <w:rsid w:val="00720389"/>
    <w:rsid w:val="007203DF"/>
    <w:rsid w:val="00720C60"/>
    <w:rsid w:val="00720E75"/>
    <w:rsid w:val="00722439"/>
    <w:rsid w:val="007227A3"/>
    <w:rsid w:val="00722DE9"/>
    <w:rsid w:val="00723710"/>
    <w:rsid w:val="00723950"/>
    <w:rsid w:val="00723983"/>
    <w:rsid w:val="007249AC"/>
    <w:rsid w:val="0072524F"/>
    <w:rsid w:val="007261F2"/>
    <w:rsid w:val="0073131D"/>
    <w:rsid w:val="0073196A"/>
    <w:rsid w:val="00731B0C"/>
    <w:rsid w:val="00731D56"/>
    <w:rsid w:val="0073317A"/>
    <w:rsid w:val="0073329F"/>
    <w:rsid w:val="00733A39"/>
    <w:rsid w:val="00733B11"/>
    <w:rsid w:val="00734578"/>
    <w:rsid w:val="00734C2E"/>
    <w:rsid w:val="0073599E"/>
    <w:rsid w:val="00735E7A"/>
    <w:rsid w:val="007362A7"/>
    <w:rsid w:val="007376D1"/>
    <w:rsid w:val="0074053E"/>
    <w:rsid w:val="0074076E"/>
    <w:rsid w:val="00740A31"/>
    <w:rsid w:val="00740DA7"/>
    <w:rsid w:val="007414A8"/>
    <w:rsid w:val="00741516"/>
    <w:rsid w:val="00743007"/>
    <w:rsid w:val="007438F4"/>
    <w:rsid w:val="00743912"/>
    <w:rsid w:val="00743A44"/>
    <w:rsid w:val="00745FAC"/>
    <w:rsid w:val="0074618B"/>
    <w:rsid w:val="00746908"/>
    <w:rsid w:val="00746DF4"/>
    <w:rsid w:val="00747358"/>
    <w:rsid w:val="007477ED"/>
    <w:rsid w:val="007506FC"/>
    <w:rsid w:val="007508EA"/>
    <w:rsid w:val="00750CE3"/>
    <w:rsid w:val="0075155A"/>
    <w:rsid w:val="007527B9"/>
    <w:rsid w:val="007530C6"/>
    <w:rsid w:val="00754418"/>
    <w:rsid w:val="0075463A"/>
    <w:rsid w:val="007552A7"/>
    <w:rsid w:val="0075538F"/>
    <w:rsid w:val="0075560F"/>
    <w:rsid w:val="007558B2"/>
    <w:rsid w:val="007561CC"/>
    <w:rsid w:val="00756312"/>
    <w:rsid w:val="00756562"/>
    <w:rsid w:val="00757034"/>
    <w:rsid w:val="00757897"/>
    <w:rsid w:val="007615AC"/>
    <w:rsid w:val="00762030"/>
    <w:rsid w:val="00762A2A"/>
    <w:rsid w:val="00762DF4"/>
    <w:rsid w:val="007633F2"/>
    <w:rsid w:val="007637EC"/>
    <w:rsid w:val="007640A4"/>
    <w:rsid w:val="00764685"/>
    <w:rsid w:val="00764A74"/>
    <w:rsid w:val="007668F3"/>
    <w:rsid w:val="00766C04"/>
    <w:rsid w:val="00766FAF"/>
    <w:rsid w:val="007677F9"/>
    <w:rsid w:val="00767971"/>
    <w:rsid w:val="0077108F"/>
    <w:rsid w:val="00772362"/>
    <w:rsid w:val="007731C0"/>
    <w:rsid w:val="00774FD1"/>
    <w:rsid w:val="0077539F"/>
    <w:rsid w:val="00775A4B"/>
    <w:rsid w:val="00776040"/>
    <w:rsid w:val="00776523"/>
    <w:rsid w:val="00777F8C"/>
    <w:rsid w:val="00780745"/>
    <w:rsid w:val="00781014"/>
    <w:rsid w:val="007816A1"/>
    <w:rsid w:val="0078175A"/>
    <w:rsid w:val="00781AD5"/>
    <w:rsid w:val="0078265F"/>
    <w:rsid w:val="0078374C"/>
    <w:rsid w:val="00784232"/>
    <w:rsid w:val="007847A7"/>
    <w:rsid w:val="00785E9B"/>
    <w:rsid w:val="007905C9"/>
    <w:rsid w:val="00790DA6"/>
    <w:rsid w:val="0079312A"/>
    <w:rsid w:val="0079344E"/>
    <w:rsid w:val="007939F2"/>
    <w:rsid w:val="007948FA"/>
    <w:rsid w:val="007956E7"/>
    <w:rsid w:val="00796C4C"/>
    <w:rsid w:val="00797103"/>
    <w:rsid w:val="007A0B63"/>
    <w:rsid w:val="007A0D4D"/>
    <w:rsid w:val="007A20EE"/>
    <w:rsid w:val="007A35C4"/>
    <w:rsid w:val="007A387D"/>
    <w:rsid w:val="007A3B72"/>
    <w:rsid w:val="007A516F"/>
    <w:rsid w:val="007A5196"/>
    <w:rsid w:val="007A57ED"/>
    <w:rsid w:val="007A5CE0"/>
    <w:rsid w:val="007A6634"/>
    <w:rsid w:val="007A67F8"/>
    <w:rsid w:val="007A6C55"/>
    <w:rsid w:val="007A7F4A"/>
    <w:rsid w:val="007B05B5"/>
    <w:rsid w:val="007B14D0"/>
    <w:rsid w:val="007B1BA3"/>
    <w:rsid w:val="007B2294"/>
    <w:rsid w:val="007B2554"/>
    <w:rsid w:val="007B3D05"/>
    <w:rsid w:val="007B40AA"/>
    <w:rsid w:val="007B40BB"/>
    <w:rsid w:val="007B498A"/>
    <w:rsid w:val="007B49FE"/>
    <w:rsid w:val="007B5259"/>
    <w:rsid w:val="007B601D"/>
    <w:rsid w:val="007B68CC"/>
    <w:rsid w:val="007B6CC8"/>
    <w:rsid w:val="007B78BD"/>
    <w:rsid w:val="007B7A9C"/>
    <w:rsid w:val="007C0203"/>
    <w:rsid w:val="007C0573"/>
    <w:rsid w:val="007C13EB"/>
    <w:rsid w:val="007C23FF"/>
    <w:rsid w:val="007C2A01"/>
    <w:rsid w:val="007C3291"/>
    <w:rsid w:val="007C3BFD"/>
    <w:rsid w:val="007C4325"/>
    <w:rsid w:val="007C45EB"/>
    <w:rsid w:val="007C5222"/>
    <w:rsid w:val="007C5432"/>
    <w:rsid w:val="007C5AF5"/>
    <w:rsid w:val="007C5D42"/>
    <w:rsid w:val="007C7F32"/>
    <w:rsid w:val="007D006F"/>
    <w:rsid w:val="007D00E0"/>
    <w:rsid w:val="007D10FE"/>
    <w:rsid w:val="007D1AAC"/>
    <w:rsid w:val="007D24DA"/>
    <w:rsid w:val="007D3BDE"/>
    <w:rsid w:val="007D427E"/>
    <w:rsid w:val="007D6A4A"/>
    <w:rsid w:val="007D6DC4"/>
    <w:rsid w:val="007D7508"/>
    <w:rsid w:val="007D7C50"/>
    <w:rsid w:val="007E0756"/>
    <w:rsid w:val="007E1976"/>
    <w:rsid w:val="007E1980"/>
    <w:rsid w:val="007E3210"/>
    <w:rsid w:val="007E33E4"/>
    <w:rsid w:val="007E382B"/>
    <w:rsid w:val="007E4515"/>
    <w:rsid w:val="007E4E7C"/>
    <w:rsid w:val="007E681F"/>
    <w:rsid w:val="007E685B"/>
    <w:rsid w:val="007E6ACA"/>
    <w:rsid w:val="007E7695"/>
    <w:rsid w:val="007F0283"/>
    <w:rsid w:val="007F08E3"/>
    <w:rsid w:val="007F1ED9"/>
    <w:rsid w:val="007F31DA"/>
    <w:rsid w:val="007F3BC0"/>
    <w:rsid w:val="007F3FE2"/>
    <w:rsid w:val="007F47F5"/>
    <w:rsid w:val="007F718D"/>
    <w:rsid w:val="007F7E38"/>
    <w:rsid w:val="00801731"/>
    <w:rsid w:val="0080248B"/>
    <w:rsid w:val="00802614"/>
    <w:rsid w:val="00803A70"/>
    <w:rsid w:val="00804518"/>
    <w:rsid w:val="0080487E"/>
    <w:rsid w:val="0080513F"/>
    <w:rsid w:val="0080593D"/>
    <w:rsid w:val="00806E1B"/>
    <w:rsid w:val="00810B35"/>
    <w:rsid w:val="00810C83"/>
    <w:rsid w:val="008110EB"/>
    <w:rsid w:val="008110F7"/>
    <w:rsid w:val="00811182"/>
    <w:rsid w:val="008117B2"/>
    <w:rsid w:val="00811833"/>
    <w:rsid w:val="0081188F"/>
    <w:rsid w:val="008121BE"/>
    <w:rsid w:val="0081264C"/>
    <w:rsid w:val="00813008"/>
    <w:rsid w:val="00813F25"/>
    <w:rsid w:val="00814D33"/>
    <w:rsid w:val="00814EDD"/>
    <w:rsid w:val="008151D1"/>
    <w:rsid w:val="00816029"/>
    <w:rsid w:val="0081614C"/>
    <w:rsid w:val="00816894"/>
    <w:rsid w:val="00816933"/>
    <w:rsid w:val="00817AC6"/>
    <w:rsid w:val="00817AE6"/>
    <w:rsid w:val="00817F11"/>
    <w:rsid w:val="00820060"/>
    <w:rsid w:val="0082071B"/>
    <w:rsid w:val="008207B5"/>
    <w:rsid w:val="00820B56"/>
    <w:rsid w:val="00820E5E"/>
    <w:rsid w:val="00820F12"/>
    <w:rsid w:val="0082126D"/>
    <w:rsid w:val="008216FE"/>
    <w:rsid w:val="00821D98"/>
    <w:rsid w:val="00822BB3"/>
    <w:rsid w:val="00823B2D"/>
    <w:rsid w:val="00824EE4"/>
    <w:rsid w:val="00825727"/>
    <w:rsid w:val="008258B5"/>
    <w:rsid w:val="00825903"/>
    <w:rsid w:val="00825D60"/>
    <w:rsid w:val="00825F29"/>
    <w:rsid w:val="00825FFE"/>
    <w:rsid w:val="00826EEB"/>
    <w:rsid w:val="00826F64"/>
    <w:rsid w:val="00827934"/>
    <w:rsid w:val="00830BDF"/>
    <w:rsid w:val="00830CA0"/>
    <w:rsid w:val="00832192"/>
    <w:rsid w:val="008324C9"/>
    <w:rsid w:val="00833ED1"/>
    <w:rsid w:val="0083582D"/>
    <w:rsid w:val="00836B00"/>
    <w:rsid w:val="00837170"/>
    <w:rsid w:val="00837499"/>
    <w:rsid w:val="00837D4C"/>
    <w:rsid w:val="00837F48"/>
    <w:rsid w:val="00840771"/>
    <w:rsid w:val="008409FA"/>
    <w:rsid w:val="00840DED"/>
    <w:rsid w:val="0084142C"/>
    <w:rsid w:val="00841BA1"/>
    <w:rsid w:val="00842297"/>
    <w:rsid w:val="008425D8"/>
    <w:rsid w:val="00842C0B"/>
    <w:rsid w:val="008437A8"/>
    <w:rsid w:val="00843ADC"/>
    <w:rsid w:val="00844463"/>
    <w:rsid w:val="0084483E"/>
    <w:rsid w:val="00844C99"/>
    <w:rsid w:val="008453ED"/>
    <w:rsid w:val="008455CF"/>
    <w:rsid w:val="00845EEE"/>
    <w:rsid w:val="008500C4"/>
    <w:rsid w:val="008501F9"/>
    <w:rsid w:val="00850DC1"/>
    <w:rsid w:val="00851217"/>
    <w:rsid w:val="008516EF"/>
    <w:rsid w:val="00852643"/>
    <w:rsid w:val="008534E4"/>
    <w:rsid w:val="0085415B"/>
    <w:rsid w:val="00854741"/>
    <w:rsid w:val="00854D3B"/>
    <w:rsid w:val="00855E50"/>
    <w:rsid w:val="00856AE5"/>
    <w:rsid w:val="00856D75"/>
    <w:rsid w:val="0085708B"/>
    <w:rsid w:val="008578CD"/>
    <w:rsid w:val="00857B15"/>
    <w:rsid w:val="00860DC3"/>
    <w:rsid w:val="00861C9F"/>
    <w:rsid w:val="008632A6"/>
    <w:rsid w:val="0086390D"/>
    <w:rsid w:val="00864DC3"/>
    <w:rsid w:val="00864ECB"/>
    <w:rsid w:val="008666C6"/>
    <w:rsid w:val="00867B06"/>
    <w:rsid w:val="008712C1"/>
    <w:rsid w:val="00871332"/>
    <w:rsid w:val="0087328F"/>
    <w:rsid w:val="00873436"/>
    <w:rsid w:val="0087444C"/>
    <w:rsid w:val="00874C86"/>
    <w:rsid w:val="00874EA8"/>
    <w:rsid w:val="00874F7B"/>
    <w:rsid w:val="00875253"/>
    <w:rsid w:val="008753ED"/>
    <w:rsid w:val="00875432"/>
    <w:rsid w:val="00876278"/>
    <w:rsid w:val="0087692D"/>
    <w:rsid w:val="008770CD"/>
    <w:rsid w:val="00877352"/>
    <w:rsid w:val="0087748D"/>
    <w:rsid w:val="008777F8"/>
    <w:rsid w:val="0087783C"/>
    <w:rsid w:val="008807FD"/>
    <w:rsid w:val="008809F3"/>
    <w:rsid w:val="00881899"/>
    <w:rsid w:val="00882518"/>
    <w:rsid w:val="00883F9B"/>
    <w:rsid w:val="0088486D"/>
    <w:rsid w:val="00885045"/>
    <w:rsid w:val="00885097"/>
    <w:rsid w:val="00885946"/>
    <w:rsid w:val="00885A29"/>
    <w:rsid w:val="00886699"/>
    <w:rsid w:val="00886EE9"/>
    <w:rsid w:val="0088709D"/>
    <w:rsid w:val="00890076"/>
    <w:rsid w:val="008905E0"/>
    <w:rsid w:val="008911E4"/>
    <w:rsid w:val="00893184"/>
    <w:rsid w:val="008931C9"/>
    <w:rsid w:val="00893379"/>
    <w:rsid w:val="00893535"/>
    <w:rsid w:val="00894660"/>
    <w:rsid w:val="00894886"/>
    <w:rsid w:val="0089568E"/>
    <w:rsid w:val="008958C0"/>
    <w:rsid w:val="00897B69"/>
    <w:rsid w:val="008A0110"/>
    <w:rsid w:val="008A049C"/>
    <w:rsid w:val="008A066D"/>
    <w:rsid w:val="008A0CC1"/>
    <w:rsid w:val="008A0FDD"/>
    <w:rsid w:val="008A1059"/>
    <w:rsid w:val="008A1C6F"/>
    <w:rsid w:val="008A2261"/>
    <w:rsid w:val="008A2427"/>
    <w:rsid w:val="008A318B"/>
    <w:rsid w:val="008A5649"/>
    <w:rsid w:val="008A6084"/>
    <w:rsid w:val="008A6C63"/>
    <w:rsid w:val="008A6D36"/>
    <w:rsid w:val="008A702A"/>
    <w:rsid w:val="008A7203"/>
    <w:rsid w:val="008B074B"/>
    <w:rsid w:val="008B085A"/>
    <w:rsid w:val="008B2EB8"/>
    <w:rsid w:val="008B3266"/>
    <w:rsid w:val="008B35D4"/>
    <w:rsid w:val="008B4684"/>
    <w:rsid w:val="008B503C"/>
    <w:rsid w:val="008B5262"/>
    <w:rsid w:val="008B54A0"/>
    <w:rsid w:val="008B55D7"/>
    <w:rsid w:val="008B611E"/>
    <w:rsid w:val="008B646A"/>
    <w:rsid w:val="008B72CB"/>
    <w:rsid w:val="008B7405"/>
    <w:rsid w:val="008C0580"/>
    <w:rsid w:val="008C0685"/>
    <w:rsid w:val="008C090E"/>
    <w:rsid w:val="008C1077"/>
    <w:rsid w:val="008C11F0"/>
    <w:rsid w:val="008C1D9F"/>
    <w:rsid w:val="008C2DDC"/>
    <w:rsid w:val="008C38B5"/>
    <w:rsid w:val="008C4E4E"/>
    <w:rsid w:val="008C4FA8"/>
    <w:rsid w:val="008C521F"/>
    <w:rsid w:val="008C55E2"/>
    <w:rsid w:val="008C5669"/>
    <w:rsid w:val="008C62D2"/>
    <w:rsid w:val="008C6332"/>
    <w:rsid w:val="008C665E"/>
    <w:rsid w:val="008C71A2"/>
    <w:rsid w:val="008C72EC"/>
    <w:rsid w:val="008D06D2"/>
    <w:rsid w:val="008D2496"/>
    <w:rsid w:val="008D2E5B"/>
    <w:rsid w:val="008D3C28"/>
    <w:rsid w:val="008D464C"/>
    <w:rsid w:val="008D4821"/>
    <w:rsid w:val="008D496B"/>
    <w:rsid w:val="008D505D"/>
    <w:rsid w:val="008D568F"/>
    <w:rsid w:val="008D628C"/>
    <w:rsid w:val="008D64F9"/>
    <w:rsid w:val="008E0901"/>
    <w:rsid w:val="008E1B8F"/>
    <w:rsid w:val="008E1EE5"/>
    <w:rsid w:val="008E2949"/>
    <w:rsid w:val="008E2BC9"/>
    <w:rsid w:val="008E2E99"/>
    <w:rsid w:val="008E4B95"/>
    <w:rsid w:val="008E5422"/>
    <w:rsid w:val="008E6536"/>
    <w:rsid w:val="008E71B4"/>
    <w:rsid w:val="008E7491"/>
    <w:rsid w:val="008E7A1E"/>
    <w:rsid w:val="008F0017"/>
    <w:rsid w:val="008F0DDE"/>
    <w:rsid w:val="008F1361"/>
    <w:rsid w:val="008F245A"/>
    <w:rsid w:val="008F25C8"/>
    <w:rsid w:val="008F2B10"/>
    <w:rsid w:val="008F2DEC"/>
    <w:rsid w:val="008F3676"/>
    <w:rsid w:val="008F3757"/>
    <w:rsid w:val="008F3794"/>
    <w:rsid w:val="008F3F86"/>
    <w:rsid w:val="008F4458"/>
    <w:rsid w:val="008F5167"/>
    <w:rsid w:val="008F6808"/>
    <w:rsid w:val="008F6B69"/>
    <w:rsid w:val="009004DB"/>
    <w:rsid w:val="0090060E"/>
    <w:rsid w:val="00900FA8"/>
    <w:rsid w:val="00901164"/>
    <w:rsid w:val="009013C1"/>
    <w:rsid w:val="00902843"/>
    <w:rsid w:val="0090325B"/>
    <w:rsid w:val="00903288"/>
    <w:rsid w:val="00903D12"/>
    <w:rsid w:val="0090533A"/>
    <w:rsid w:val="00905B1E"/>
    <w:rsid w:val="00905C0B"/>
    <w:rsid w:val="00906E55"/>
    <w:rsid w:val="0090746C"/>
    <w:rsid w:val="009078EF"/>
    <w:rsid w:val="0091051D"/>
    <w:rsid w:val="00910D55"/>
    <w:rsid w:val="009111DA"/>
    <w:rsid w:val="00911B42"/>
    <w:rsid w:val="00912D0D"/>
    <w:rsid w:val="00913104"/>
    <w:rsid w:val="009136EF"/>
    <w:rsid w:val="00913DA4"/>
    <w:rsid w:val="00914BF8"/>
    <w:rsid w:val="00915F86"/>
    <w:rsid w:val="0091678E"/>
    <w:rsid w:val="00917B99"/>
    <w:rsid w:val="00917C21"/>
    <w:rsid w:val="00917E99"/>
    <w:rsid w:val="00920574"/>
    <w:rsid w:val="0092090D"/>
    <w:rsid w:val="00920C5D"/>
    <w:rsid w:val="0092161B"/>
    <w:rsid w:val="00922431"/>
    <w:rsid w:val="00922983"/>
    <w:rsid w:val="00922C08"/>
    <w:rsid w:val="00922C87"/>
    <w:rsid w:val="00923283"/>
    <w:rsid w:val="0092344D"/>
    <w:rsid w:val="00924C13"/>
    <w:rsid w:val="00924EAF"/>
    <w:rsid w:val="00924ECB"/>
    <w:rsid w:val="00926207"/>
    <w:rsid w:val="009267D1"/>
    <w:rsid w:val="00926E74"/>
    <w:rsid w:val="00927207"/>
    <w:rsid w:val="00927D99"/>
    <w:rsid w:val="00927DD9"/>
    <w:rsid w:val="0093035C"/>
    <w:rsid w:val="00930613"/>
    <w:rsid w:val="009319C5"/>
    <w:rsid w:val="00931BD8"/>
    <w:rsid w:val="00933300"/>
    <w:rsid w:val="0093472F"/>
    <w:rsid w:val="00934FB4"/>
    <w:rsid w:val="00935502"/>
    <w:rsid w:val="009355AD"/>
    <w:rsid w:val="0094111C"/>
    <w:rsid w:val="009413DF"/>
    <w:rsid w:val="00941EA2"/>
    <w:rsid w:val="00942077"/>
    <w:rsid w:val="0094307C"/>
    <w:rsid w:val="00944526"/>
    <w:rsid w:val="00944ECF"/>
    <w:rsid w:val="00945AB1"/>
    <w:rsid w:val="00946BE2"/>
    <w:rsid w:val="00947006"/>
    <w:rsid w:val="00947143"/>
    <w:rsid w:val="009476B5"/>
    <w:rsid w:val="00947A5E"/>
    <w:rsid w:val="00950B5D"/>
    <w:rsid w:val="00951EAE"/>
    <w:rsid w:val="0095209D"/>
    <w:rsid w:val="0095213B"/>
    <w:rsid w:val="00952224"/>
    <w:rsid w:val="00952490"/>
    <w:rsid w:val="009527A5"/>
    <w:rsid w:val="00953D0A"/>
    <w:rsid w:val="0095401D"/>
    <w:rsid w:val="009540B0"/>
    <w:rsid w:val="009569A7"/>
    <w:rsid w:val="00956B22"/>
    <w:rsid w:val="0095777D"/>
    <w:rsid w:val="00960242"/>
    <w:rsid w:val="009612DD"/>
    <w:rsid w:val="009619F0"/>
    <w:rsid w:val="009619FE"/>
    <w:rsid w:val="009623B6"/>
    <w:rsid w:val="00963178"/>
    <w:rsid w:val="009633AA"/>
    <w:rsid w:val="009643EC"/>
    <w:rsid w:val="0096484B"/>
    <w:rsid w:val="00964FA6"/>
    <w:rsid w:val="0096718D"/>
    <w:rsid w:val="009672DC"/>
    <w:rsid w:val="009676A0"/>
    <w:rsid w:val="00970E3A"/>
    <w:rsid w:val="00971964"/>
    <w:rsid w:val="00971AF8"/>
    <w:rsid w:val="00971C25"/>
    <w:rsid w:val="0097250A"/>
    <w:rsid w:val="00972B03"/>
    <w:rsid w:val="00972E21"/>
    <w:rsid w:val="00972E84"/>
    <w:rsid w:val="00973081"/>
    <w:rsid w:val="009777CF"/>
    <w:rsid w:val="00977EDB"/>
    <w:rsid w:val="00977EE4"/>
    <w:rsid w:val="00977FBC"/>
    <w:rsid w:val="009801C9"/>
    <w:rsid w:val="009808CA"/>
    <w:rsid w:val="00982AF5"/>
    <w:rsid w:val="009832E5"/>
    <w:rsid w:val="00983786"/>
    <w:rsid w:val="009847DC"/>
    <w:rsid w:val="00984AC1"/>
    <w:rsid w:val="00986619"/>
    <w:rsid w:val="00986728"/>
    <w:rsid w:val="009868A7"/>
    <w:rsid w:val="0098792A"/>
    <w:rsid w:val="00990CA5"/>
    <w:rsid w:val="00990D6E"/>
    <w:rsid w:val="009910C0"/>
    <w:rsid w:val="00991331"/>
    <w:rsid w:val="009928A3"/>
    <w:rsid w:val="0099292A"/>
    <w:rsid w:val="00992EA9"/>
    <w:rsid w:val="0099546D"/>
    <w:rsid w:val="009959D3"/>
    <w:rsid w:val="00995C8D"/>
    <w:rsid w:val="00995E6A"/>
    <w:rsid w:val="00995F6C"/>
    <w:rsid w:val="00997866"/>
    <w:rsid w:val="009A00DD"/>
    <w:rsid w:val="009A06F7"/>
    <w:rsid w:val="009A1173"/>
    <w:rsid w:val="009A11D0"/>
    <w:rsid w:val="009A1212"/>
    <w:rsid w:val="009A12AE"/>
    <w:rsid w:val="009A2ACD"/>
    <w:rsid w:val="009A33DA"/>
    <w:rsid w:val="009A4A40"/>
    <w:rsid w:val="009A4F6D"/>
    <w:rsid w:val="009A54F1"/>
    <w:rsid w:val="009A557B"/>
    <w:rsid w:val="009A5821"/>
    <w:rsid w:val="009A5AA7"/>
    <w:rsid w:val="009A670E"/>
    <w:rsid w:val="009A794A"/>
    <w:rsid w:val="009B029C"/>
    <w:rsid w:val="009B1811"/>
    <w:rsid w:val="009B1A55"/>
    <w:rsid w:val="009B1FC5"/>
    <w:rsid w:val="009B2541"/>
    <w:rsid w:val="009B2A5D"/>
    <w:rsid w:val="009B4BE6"/>
    <w:rsid w:val="009B5407"/>
    <w:rsid w:val="009B5435"/>
    <w:rsid w:val="009B575C"/>
    <w:rsid w:val="009B6248"/>
    <w:rsid w:val="009B69D1"/>
    <w:rsid w:val="009B6DF3"/>
    <w:rsid w:val="009B7709"/>
    <w:rsid w:val="009B792B"/>
    <w:rsid w:val="009C0062"/>
    <w:rsid w:val="009C02D8"/>
    <w:rsid w:val="009C0D71"/>
    <w:rsid w:val="009C0DAD"/>
    <w:rsid w:val="009C1291"/>
    <w:rsid w:val="009C1D01"/>
    <w:rsid w:val="009C20CC"/>
    <w:rsid w:val="009C2BEC"/>
    <w:rsid w:val="009C368F"/>
    <w:rsid w:val="009C4096"/>
    <w:rsid w:val="009C4C95"/>
    <w:rsid w:val="009C4EE5"/>
    <w:rsid w:val="009C5448"/>
    <w:rsid w:val="009C6725"/>
    <w:rsid w:val="009C680D"/>
    <w:rsid w:val="009C6DDD"/>
    <w:rsid w:val="009C7D11"/>
    <w:rsid w:val="009D0503"/>
    <w:rsid w:val="009D0692"/>
    <w:rsid w:val="009D0B05"/>
    <w:rsid w:val="009D0F4C"/>
    <w:rsid w:val="009D13E9"/>
    <w:rsid w:val="009D14BC"/>
    <w:rsid w:val="009D17D3"/>
    <w:rsid w:val="009D1AE6"/>
    <w:rsid w:val="009D203E"/>
    <w:rsid w:val="009D292A"/>
    <w:rsid w:val="009D364B"/>
    <w:rsid w:val="009D3793"/>
    <w:rsid w:val="009D3E26"/>
    <w:rsid w:val="009D42AC"/>
    <w:rsid w:val="009D452F"/>
    <w:rsid w:val="009D4E80"/>
    <w:rsid w:val="009D52A0"/>
    <w:rsid w:val="009D5642"/>
    <w:rsid w:val="009D57D5"/>
    <w:rsid w:val="009D63E2"/>
    <w:rsid w:val="009D68FB"/>
    <w:rsid w:val="009D732B"/>
    <w:rsid w:val="009E1CB2"/>
    <w:rsid w:val="009E1F16"/>
    <w:rsid w:val="009E2450"/>
    <w:rsid w:val="009E24A5"/>
    <w:rsid w:val="009E31AA"/>
    <w:rsid w:val="009E412D"/>
    <w:rsid w:val="009E4181"/>
    <w:rsid w:val="009E444E"/>
    <w:rsid w:val="009E61EE"/>
    <w:rsid w:val="009E65E3"/>
    <w:rsid w:val="009E660A"/>
    <w:rsid w:val="009E71FE"/>
    <w:rsid w:val="009F0167"/>
    <w:rsid w:val="009F04BC"/>
    <w:rsid w:val="009F0BE1"/>
    <w:rsid w:val="009F1684"/>
    <w:rsid w:val="009F356F"/>
    <w:rsid w:val="009F36AD"/>
    <w:rsid w:val="009F3A73"/>
    <w:rsid w:val="009F3FFB"/>
    <w:rsid w:val="009F439A"/>
    <w:rsid w:val="009F4D8D"/>
    <w:rsid w:val="009F53BD"/>
    <w:rsid w:val="009F550C"/>
    <w:rsid w:val="009F57C8"/>
    <w:rsid w:val="009F63B2"/>
    <w:rsid w:val="009F6942"/>
    <w:rsid w:val="00A008E8"/>
    <w:rsid w:val="00A00905"/>
    <w:rsid w:val="00A01409"/>
    <w:rsid w:val="00A01CC1"/>
    <w:rsid w:val="00A03D23"/>
    <w:rsid w:val="00A04ABD"/>
    <w:rsid w:val="00A04EA5"/>
    <w:rsid w:val="00A051A6"/>
    <w:rsid w:val="00A05690"/>
    <w:rsid w:val="00A05DD3"/>
    <w:rsid w:val="00A06675"/>
    <w:rsid w:val="00A10C16"/>
    <w:rsid w:val="00A11898"/>
    <w:rsid w:val="00A120FB"/>
    <w:rsid w:val="00A13C71"/>
    <w:rsid w:val="00A142D1"/>
    <w:rsid w:val="00A148A0"/>
    <w:rsid w:val="00A14D9D"/>
    <w:rsid w:val="00A155BA"/>
    <w:rsid w:val="00A158CC"/>
    <w:rsid w:val="00A1592C"/>
    <w:rsid w:val="00A15A27"/>
    <w:rsid w:val="00A1675E"/>
    <w:rsid w:val="00A16920"/>
    <w:rsid w:val="00A16E48"/>
    <w:rsid w:val="00A171B6"/>
    <w:rsid w:val="00A17F05"/>
    <w:rsid w:val="00A201CB"/>
    <w:rsid w:val="00A204D8"/>
    <w:rsid w:val="00A207D5"/>
    <w:rsid w:val="00A21096"/>
    <w:rsid w:val="00A22242"/>
    <w:rsid w:val="00A22264"/>
    <w:rsid w:val="00A22570"/>
    <w:rsid w:val="00A22E51"/>
    <w:rsid w:val="00A23A00"/>
    <w:rsid w:val="00A23F99"/>
    <w:rsid w:val="00A24140"/>
    <w:rsid w:val="00A24C93"/>
    <w:rsid w:val="00A24DD4"/>
    <w:rsid w:val="00A2552E"/>
    <w:rsid w:val="00A25751"/>
    <w:rsid w:val="00A25E02"/>
    <w:rsid w:val="00A25FC5"/>
    <w:rsid w:val="00A27672"/>
    <w:rsid w:val="00A30584"/>
    <w:rsid w:val="00A30E44"/>
    <w:rsid w:val="00A314B2"/>
    <w:rsid w:val="00A3180D"/>
    <w:rsid w:val="00A32050"/>
    <w:rsid w:val="00A32209"/>
    <w:rsid w:val="00A3265F"/>
    <w:rsid w:val="00A32ADA"/>
    <w:rsid w:val="00A32AE1"/>
    <w:rsid w:val="00A339D3"/>
    <w:rsid w:val="00A342F9"/>
    <w:rsid w:val="00A34E2C"/>
    <w:rsid w:val="00A34F96"/>
    <w:rsid w:val="00A3547A"/>
    <w:rsid w:val="00A35D62"/>
    <w:rsid w:val="00A3616A"/>
    <w:rsid w:val="00A3653C"/>
    <w:rsid w:val="00A36950"/>
    <w:rsid w:val="00A37278"/>
    <w:rsid w:val="00A3741A"/>
    <w:rsid w:val="00A410FB"/>
    <w:rsid w:val="00A41A09"/>
    <w:rsid w:val="00A427F9"/>
    <w:rsid w:val="00A428D5"/>
    <w:rsid w:val="00A42B46"/>
    <w:rsid w:val="00A42EFA"/>
    <w:rsid w:val="00A4301B"/>
    <w:rsid w:val="00A43D61"/>
    <w:rsid w:val="00A45FB6"/>
    <w:rsid w:val="00A46081"/>
    <w:rsid w:val="00A4691B"/>
    <w:rsid w:val="00A47EBA"/>
    <w:rsid w:val="00A47FFA"/>
    <w:rsid w:val="00A51932"/>
    <w:rsid w:val="00A52229"/>
    <w:rsid w:val="00A524C8"/>
    <w:rsid w:val="00A53BD6"/>
    <w:rsid w:val="00A53D94"/>
    <w:rsid w:val="00A551AC"/>
    <w:rsid w:val="00A552E4"/>
    <w:rsid w:val="00A5596A"/>
    <w:rsid w:val="00A55A29"/>
    <w:rsid w:val="00A561CE"/>
    <w:rsid w:val="00A5633F"/>
    <w:rsid w:val="00A5641B"/>
    <w:rsid w:val="00A56775"/>
    <w:rsid w:val="00A56A18"/>
    <w:rsid w:val="00A6023B"/>
    <w:rsid w:val="00A60865"/>
    <w:rsid w:val="00A61A50"/>
    <w:rsid w:val="00A63108"/>
    <w:rsid w:val="00A6388A"/>
    <w:rsid w:val="00A63AD2"/>
    <w:rsid w:val="00A63CDA"/>
    <w:rsid w:val="00A63EB5"/>
    <w:rsid w:val="00A6456A"/>
    <w:rsid w:val="00A64DA5"/>
    <w:rsid w:val="00A674DD"/>
    <w:rsid w:val="00A67910"/>
    <w:rsid w:val="00A67A2B"/>
    <w:rsid w:val="00A67EAE"/>
    <w:rsid w:val="00A7009F"/>
    <w:rsid w:val="00A7024A"/>
    <w:rsid w:val="00A70277"/>
    <w:rsid w:val="00A70768"/>
    <w:rsid w:val="00A70D2A"/>
    <w:rsid w:val="00A7209C"/>
    <w:rsid w:val="00A729AF"/>
    <w:rsid w:val="00A729F7"/>
    <w:rsid w:val="00A73374"/>
    <w:rsid w:val="00A7403F"/>
    <w:rsid w:val="00A741F2"/>
    <w:rsid w:val="00A74B17"/>
    <w:rsid w:val="00A7525E"/>
    <w:rsid w:val="00A7607E"/>
    <w:rsid w:val="00A80ED8"/>
    <w:rsid w:val="00A81B3A"/>
    <w:rsid w:val="00A81C21"/>
    <w:rsid w:val="00A81D98"/>
    <w:rsid w:val="00A82174"/>
    <w:rsid w:val="00A82D0F"/>
    <w:rsid w:val="00A82FD2"/>
    <w:rsid w:val="00A8351D"/>
    <w:rsid w:val="00A836DB"/>
    <w:rsid w:val="00A842B7"/>
    <w:rsid w:val="00A853AB"/>
    <w:rsid w:val="00A85939"/>
    <w:rsid w:val="00A86DF7"/>
    <w:rsid w:val="00A870E9"/>
    <w:rsid w:val="00A87228"/>
    <w:rsid w:val="00A87AF6"/>
    <w:rsid w:val="00A87B32"/>
    <w:rsid w:val="00A9032C"/>
    <w:rsid w:val="00A90AA9"/>
    <w:rsid w:val="00A9126B"/>
    <w:rsid w:val="00A91550"/>
    <w:rsid w:val="00A91777"/>
    <w:rsid w:val="00A91BB7"/>
    <w:rsid w:val="00A92204"/>
    <w:rsid w:val="00A927F1"/>
    <w:rsid w:val="00A93399"/>
    <w:rsid w:val="00A95018"/>
    <w:rsid w:val="00A9515E"/>
    <w:rsid w:val="00A97480"/>
    <w:rsid w:val="00AA023A"/>
    <w:rsid w:val="00AA0639"/>
    <w:rsid w:val="00AA0D62"/>
    <w:rsid w:val="00AA12FB"/>
    <w:rsid w:val="00AA26D8"/>
    <w:rsid w:val="00AA2D89"/>
    <w:rsid w:val="00AA367F"/>
    <w:rsid w:val="00AA3695"/>
    <w:rsid w:val="00AA3A1A"/>
    <w:rsid w:val="00AA3B5D"/>
    <w:rsid w:val="00AA4033"/>
    <w:rsid w:val="00AA4402"/>
    <w:rsid w:val="00AA48ED"/>
    <w:rsid w:val="00AA5329"/>
    <w:rsid w:val="00AA5530"/>
    <w:rsid w:val="00AA5697"/>
    <w:rsid w:val="00AA5CC6"/>
    <w:rsid w:val="00AA7044"/>
    <w:rsid w:val="00AA7239"/>
    <w:rsid w:val="00AA7D06"/>
    <w:rsid w:val="00AA7D36"/>
    <w:rsid w:val="00AA7F82"/>
    <w:rsid w:val="00AB1F6A"/>
    <w:rsid w:val="00AB21D1"/>
    <w:rsid w:val="00AB2264"/>
    <w:rsid w:val="00AB25D0"/>
    <w:rsid w:val="00AB4D59"/>
    <w:rsid w:val="00AB55F9"/>
    <w:rsid w:val="00AB6614"/>
    <w:rsid w:val="00AB662B"/>
    <w:rsid w:val="00AB6A9C"/>
    <w:rsid w:val="00AB7D51"/>
    <w:rsid w:val="00AB7D98"/>
    <w:rsid w:val="00AC0A12"/>
    <w:rsid w:val="00AC0F4F"/>
    <w:rsid w:val="00AC1136"/>
    <w:rsid w:val="00AC161B"/>
    <w:rsid w:val="00AC16A4"/>
    <w:rsid w:val="00AC19AB"/>
    <w:rsid w:val="00AC2755"/>
    <w:rsid w:val="00AC2BC3"/>
    <w:rsid w:val="00AC3133"/>
    <w:rsid w:val="00AC32E7"/>
    <w:rsid w:val="00AC3338"/>
    <w:rsid w:val="00AC33D2"/>
    <w:rsid w:val="00AC3842"/>
    <w:rsid w:val="00AC4496"/>
    <w:rsid w:val="00AC45DF"/>
    <w:rsid w:val="00AC47F7"/>
    <w:rsid w:val="00AC48CE"/>
    <w:rsid w:val="00AC6184"/>
    <w:rsid w:val="00AC7AE9"/>
    <w:rsid w:val="00AC7E07"/>
    <w:rsid w:val="00AD25B0"/>
    <w:rsid w:val="00AD2E20"/>
    <w:rsid w:val="00AD3995"/>
    <w:rsid w:val="00AD39A2"/>
    <w:rsid w:val="00AD47DD"/>
    <w:rsid w:val="00AD4B4E"/>
    <w:rsid w:val="00AD4B83"/>
    <w:rsid w:val="00AD62A2"/>
    <w:rsid w:val="00AD6E24"/>
    <w:rsid w:val="00AE1799"/>
    <w:rsid w:val="00AE19E9"/>
    <w:rsid w:val="00AE2095"/>
    <w:rsid w:val="00AE26A2"/>
    <w:rsid w:val="00AE28B1"/>
    <w:rsid w:val="00AE28EB"/>
    <w:rsid w:val="00AE2F24"/>
    <w:rsid w:val="00AE3A56"/>
    <w:rsid w:val="00AE3C96"/>
    <w:rsid w:val="00AE5206"/>
    <w:rsid w:val="00AE5248"/>
    <w:rsid w:val="00AE5D74"/>
    <w:rsid w:val="00AE6432"/>
    <w:rsid w:val="00AE6818"/>
    <w:rsid w:val="00AE69DE"/>
    <w:rsid w:val="00AE6AE6"/>
    <w:rsid w:val="00AE7192"/>
    <w:rsid w:val="00AF040E"/>
    <w:rsid w:val="00AF042F"/>
    <w:rsid w:val="00AF05D4"/>
    <w:rsid w:val="00AF0D54"/>
    <w:rsid w:val="00AF1325"/>
    <w:rsid w:val="00AF1340"/>
    <w:rsid w:val="00AF1459"/>
    <w:rsid w:val="00AF1B7F"/>
    <w:rsid w:val="00AF22E3"/>
    <w:rsid w:val="00AF258E"/>
    <w:rsid w:val="00AF3197"/>
    <w:rsid w:val="00AF3280"/>
    <w:rsid w:val="00AF375C"/>
    <w:rsid w:val="00AF3B03"/>
    <w:rsid w:val="00AF4C84"/>
    <w:rsid w:val="00AF4C9B"/>
    <w:rsid w:val="00AF4DE8"/>
    <w:rsid w:val="00AF5033"/>
    <w:rsid w:val="00AF5169"/>
    <w:rsid w:val="00AF5CC7"/>
    <w:rsid w:val="00AF5D3E"/>
    <w:rsid w:val="00AF6858"/>
    <w:rsid w:val="00AF6CB6"/>
    <w:rsid w:val="00AF6CF7"/>
    <w:rsid w:val="00AF749B"/>
    <w:rsid w:val="00AF7B5D"/>
    <w:rsid w:val="00B00307"/>
    <w:rsid w:val="00B00891"/>
    <w:rsid w:val="00B00949"/>
    <w:rsid w:val="00B01014"/>
    <w:rsid w:val="00B0169E"/>
    <w:rsid w:val="00B01889"/>
    <w:rsid w:val="00B02275"/>
    <w:rsid w:val="00B02657"/>
    <w:rsid w:val="00B03363"/>
    <w:rsid w:val="00B03FD1"/>
    <w:rsid w:val="00B06538"/>
    <w:rsid w:val="00B07C9D"/>
    <w:rsid w:val="00B104F1"/>
    <w:rsid w:val="00B1070F"/>
    <w:rsid w:val="00B10E04"/>
    <w:rsid w:val="00B116F9"/>
    <w:rsid w:val="00B119DA"/>
    <w:rsid w:val="00B11C91"/>
    <w:rsid w:val="00B12444"/>
    <w:rsid w:val="00B1294A"/>
    <w:rsid w:val="00B129E8"/>
    <w:rsid w:val="00B13230"/>
    <w:rsid w:val="00B14069"/>
    <w:rsid w:val="00B143B3"/>
    <w:rsid w:val="00B145FC"/>
    <w:rsid w:val="00B1476B"/>
    <w:rsid w:val="00B15C49"/>
    <w:rsid w:val="00B1694C"/>
    <w:rsid w:val="00B1705E"/>
    <w:rsid w:val="00B17DD0"/>
    <w:rsid w:val="00B20265"/>
    <w:rsid w:val="00B20B8A"/>
    <w:rsid w:val="00B21368"/>
    <w:rsid w:val="00B21520"/>
    <w:rsid w:val="00B21ED4"/>
    <w:rsid w:val="00B21F67"/>
    <w:rsid w:val="00B22532"/>
    <w:rsid w:val="00B22B40"/>
    <w:rsid w:val="00B24319"/>
    <w:rsid w:val="00B24337"/>
    <w:rsid w:val="00B24BDD"/>
    <w:rsid w:val="00B25853"/>
    <w:rsid w:val="00B27432"/>
    <w:rsid w:val="00B27B29"/>
    <w:rsid w:val="00B27B2D"/>
    <w:rsid w:val="00B3011F"/>
    <w:rsid w:val="00B3037B"/>
    <w:rsid w:val="00B30CAC"/>
    <w:rsid w:val="00B31491"/>
    <w:rsid w:val="00B315AF"/>
    <w:rsid w:val="00B324BD"/>
    <w:rsid w:val="00B332A6"/>
    <w:rsid w:val="00B33386"/>
    <w:rsid w:val="00B3415C"/>
    <w:rsid w:val="00B34FED"/>
    <w:rsid w:val="00B356C1"/>
    <w:rsid w:val="00B35884"/>
    <w:rsid w:val="00B3604B"/>
    <w:rsid w:val="00B36517"/>
    <w:rsid w:val="00B36868"/>
    <w:rsid w:val="00B36F71"/>
    <w:rsid w:val="00B374DF"/>
    <w:rsid w:val="00B3766B"/>
    <w:rsid w:val="00B37A03"/>
    <w:rsid w:val="00B37E03"/>
    <w:rsid w:val="00B404FF"/>
    <w:rsid w:val="00B4097F"/>
    <w:rsid w:val="00B40CBB"/>
    <w:rsid w:val="00B41527"/>
    <w:rsid w:val="00B416F4"/>
    <w:rsid w:val="00B43C85"/>
    <w:rsid w:val="00B43DF6"/>
    <w:rsid w:val="00B43F83"/>
    <w:rsid w:val="00B442FD"/>
    <w:rsid w:val="00B44791"/>
    <w:rsid w:val="00B44B4E"/>
    <w:rsid w:val="00B44C6B"/>
    <w:rsid w:val="00B44F8C"/>
    <w:rsid w:val="00B450C6"/>
    <w:rsid w:val="00B46D2B"/>
    <w:rsid w:val="00B4766E"/>
    <w:rsid w:val="00B50D31"/>
    <w:rsid w:val="00B50D62"/>
    <w:rsid w:val="00B51775"/>
    <w:rsid w:val="00B51B3E"/>
    <w:rsid w:val="00B5464E"/>
    <w:rsid w:val="00B547E8"/>
    <w:rsid w:val="00B547F8"/>
    <w:rsid w:val="00B555D6"/>
    <w:rsid w:val="00B579C1"/>
    <w:rsid w:val="00B57F3E"/>
    <w:rsid w:val="00B6033F"/>
    <w:rsid w:val="00B60B57"/>
    <w:rsid w:val="00B60CEB"/>
    <w:rsid w:val="00B614E8"/>
    <w:rsid w:val="00B6268E"/>
    <w:rsid w:val="00B62D4B"/>
    <w:rsid w:val="00B637DD"/>
    <w:rsid w:val="00B638D6"/>
    <w:rsid w:val="00B639E6"/>
    <w:rsid w:val="00B63B13"/>
    <w:rsid w:val="00B63C59"/>
    <w:rsid w:val="00B6413C"/>
    <w:rsid w:val="00B6517F"/>
    <w:rsid w:val="00B65500"/>
    <w:rsid w:val="00B664DA"/>
    <w:rsid w:val="00B666B6"/>
    <w:rsid w:val="00B667E8"/>
    <w:rsid w:val="00B71185"/>
    <w:rsid w:val="00B71532"/>
    <w:rsid w:val="00B72579"/>
    <w:rsid w:val="00B734E8"/>
    <w:rsid w:val="00B73897"/>
    <w:rsid w:val="00B73E87"/>
    <w:rsid w:val="00B740A4"/>
    <w:rsid w:val="00B74221"/>
    <w:rsid w:val="00B746A9"/>
    <w:rsid w:val="00B74D55"/>
    <w:rsid w:val="00B7569D"/>
    <w:rsid w:val="00B75F16"/>
    <w:rsid w:val="00B809F8"/>
    <w:rsid w:val="00B81DEB"/>
    <w:rsid w:val="00B82C95"/>
    <w:rsid w:val="00B831A1"/>
    <w:rsid w:val="00B83771"/>
    <w:rsid w:val="00B83A62"/>
    <w:rsid w:val="00B84034"/>
    <w:rsid w:val="00B8504F"/>
    <w:rsid w:val="00B8667B"/>
    <w:rsid w:val="00B867F7"/>
    <w:rsid w:val="00B869DE"/>
    <w:rsid w:val="00B86F5C"/>
    <w:rsid w:val="00B874EA"/>
    <w:rsid w:val="00B90DB2"/>
    <w:rsid w:val="00B919F3"/>
    <w:rsid w:val="00B91A8A"/>
    <w:rsid w:val="00B94668"/>
    <w:rsid w:val="00B94B65"/>
    <w:rsid w:val="00B96307"/>
    <w:rsid w:val="00B965AE"/>
    <w:rsid w:val="00B96B55"/>
    <w:rsid w:val="00B977CF"/>
    <w:rsid w:val="00B97828"/>
    <w:rsid w:val="00B97EC5"/>
    <w:rsid w:val="00BA1E84"/>
    <w:rsid w:val="00BA1FCB"/>
    <w:rsid w:val="00BA2038"/>
    <w:rsid w:val="00BA25A7"/>
    <w:rsid w:val="00BA2696"/>
    <w:rsid w:val="00BA2948"/>
    <w:rsid w:val="00BA2CC3"/>
    <w:rsid w:val="00BA30CE"/>
    <w:rsid w:val="00BA4119"/>
    <w:rsid w:val="00BA449C"/>
    <w:rsid w:val="00BA6D57"/>
    <w:rsid w:val="00BA709C"/>
    <w:rsid w:val="00BA73E5"/>
    <w:rsid w:val="00BA79E1"/>
    <w:rsid w:val="00BA7A53"/>
    <w:rsid w:val="00BA7A55"/>
    <w:rsid w:val="00BA7A92"/>
    <w:rsid w:val="00BB006E"/>
    <w:rsid w:val="00BB0305"/>
    <w:rsid w:val="00BB054A"/>
    <w:rsid w:val="00BB0DB8"/>
    <w:rsid w:val="00BB16CF"/>
    <w:rsid w:val="00BB1E0D"/>
    <w:rsid w:val="00BB2409"/>
    <w:rsid w:val="00BB27AA"/>
    <w:rsid w:val="00BB2CF6"/>
    <w:rsid w:val="00BB3056"/>
    <w:rsid w:val="00BB396F"/>
    <w:rsid w:val="00BB423A"/>
    <w:rsid w:val="00BB5EA1"/>
    <w:rsid w:val="00BB674A"/>
    <w:rsid w:val="00BB6DBE"/>
    <w:rsid w:val="00BB72D2"/>
    <w:rsid w:val="00BB789F"/>
    <w:rsid w:val="00BC0A0C"/>
    <w:rsid w:val="00BC24EC"/>
    <w:rsid w:val="00BC296A"/>
    <w:rsid w:val="00BC3CD5"/>
    <w:rsid w:val="00BC3F4A"/>
    <w:rsid w:val="00BC407B"/>
    <w:rsid w:val="00BC49D1"/>
    <w:rsid w:val="00BC4F19"/>
    <w:rsid w:val="00BC585A"/>
    <w:rsid w:val="00BC5B22"/>
    <w:rsid w:val="00BC5BBB"/>
    <w:rsid w:val="00BC5BD1"/>
    <w:rsid w:val="00BC6A61"/>
    <w:rsid w:val="00BC6E7B"/>
    <w:rsid w:val="00BC75EC"/>
    <w:rsid w:val="00BC7805"/>
    <w:rsid w:val="00BD031F"/>
    <w:rsid w:val="00BD1315"/>
    <w:rsid w:val="00BD1470"/>
    <w:rsid w:val="00BD2316"/>
    <w:rsid w:val="00BD3289"/>
    <w:rsid w:val="00BD377C"/>
    <w:rsid w:val="00BD3C9A"/>
    <w:rsid w:val="00BD413F"/>
    <w:rsid w:val="00BD45CA"/>
    <w:rsid w:val="00BD4C23"/>
    <w:rsid w:val="00BD55CB"/>
    <w:rsid w:val="00BD5BDC"/>
    <w:rsid w:val="00BD5D56"/>
    <w:rsid w:val="00BD61AE"/>
    <w:rsid w:val="00BD630D"/>
    <w:rsid w:val="00BD66A1"/>
    <w:rsid w:val="00BD7124"/>
    <w:rsid w:val="00BD736B"/>
    <w:rsid w:val="00BD737D"/>
    <w:rsid w:val="00BD743C"/>
    <w:rsid w:val="00BE015B"/>
    <w:rsid w:val="00BE046B"/>
    <w:rsid w:val="00BE0E92"/>
    <w:rsid w:val="00BE1CD3"/>
    <w:rsid w:val="00BE217C"/>
    <w:rsid w:val="00BE25B9"/>
    <w:rsid w:val="00BE2612"/>
    <w:rsid w:val="00BE2954"/>
    <w:rsid w:val="00BE2AA4"/>
    <w:rsid w:val="00BE376A"/>
    <w:rsid w:val="00BE3799"/>
    <w:rsid w:val="00BE4E7E"/>
    <w:rsid w:val="00BE55C5"/>
    <w:rsid w:val="00BE617B"/>
    <w:rsid w:val="00BE6403"/>
    <w:rsid w:val="00BE656D"/>
    <w:rsid w:val="00BE676D"/>
    <w:rsid w:val="00BE67AB"/>
    <w:rsid w:val="00BE6998"/>
    <w:rsid w:val="00BE7C52"/>
    <w:rsid w:val="00BF031B"/>
    <w:rsid w:val="00BF05F3"/>
    <w:rsid w:val="00BF154E"/>
    <w:rsid w:val="00BF1CA4"/>
    <w:rsid w:val="00BF2FE2"/>
    <w:rsid w:val="00BF3DB8"/>
    <w:rsid w:val="00BF4996"/>
    <w:rsid w:val="00BF6099"/>
    <w:rsid w:val="00BF6129"/>
    <w:rsid w:val="00BF7E75"/>
    <w:rsid w:val="00C00405"/>
    <w:rsid w:val="00C02968"/>
    <w:rsid w:val="00C02B9A"/>
    <w:rsid w:val="00C04CDB"/>
    <w:rsid w:val="00C0546A"/>
    <w:rsid w:val="00C05BCF"/>
    <w:rsid w:val="00C05F41"/>
    <w:rsid w:val="00C066D8"/>
    <w:rsid w:val="00C10ECE"/>
    <w:rsid w:val="00C11055"/>
    <w:rsid w:val="00C1134F"/>
    <w:rsid w:val="00C12CB7"/>
    <w:rsid w:val="00C12F37"/>
    <w:rsid w:val="00C14FAF"/>
    <w:rsid w:val="00C151B7"/>
    <w:rsid w:val="00C152B8"/>
    <w:rsid w:val="00C1579C"/>
    <w:rsid w:val="00C16FF4"/>
    <w:rsid w:val="00C174A4"/>
    <w:rsid w:val="00C20BB3"/>
    <w:rsid w:val="00C21610"/>
    <w:rsid w:val="00C21781"/>
    <w:rsid w:val="00C226D7"/>
    <w:rsid w:val="00C22AC8"/>
    <w:rsid w:val="00C22BF9"/>
    <w:rsid w:val="00C23B4D"/>
    <w:rsid w:val="00C23E01"/>
    <w:rsid w:val="00C24D9B"/>
    <w:rsid w:val="00C25482"/>
    <w:rsid w:val="00C25556"/>
    <w:rsid w:val="00C26904"/>
    <w:rsid w:val="00C26F99"/>
    <w:rsid w:val="00C27078"/>
    <w:rsid w:val="00C270C6"/>
    <w:rsid w:val="00C2790C"/>
    <w:rsid w:val="00C27EA4"/>
    <w:rsid w:val="00C302C6"/>
    <w:rsid w:val="00C30B75"/>
    <w:rsid w:val="00C30FD5"/>
    <w:rsid w:val="00C310F9"/>
    <w:rsid w:val="00C318E5"/>
    <w:rsid w:val="00C31BBF"/>
    <w:rsid w:val="00C31D2E"/>
    <w:rsid w:val="00C31DF0"/>
    <w:rsid w:val="00C32C9F"/>
    <w:rsid w:val="00C332E7"/>
    <w:rsid w:val="00C33C54"/>
    <w:rsid w:val="00C33C67"/>
    <w:rsid w:val="00C345E4"/>
    <w:rsid w:val="00C34A52"/>
    <w:rsid w:val="00C3522D"/>
    <w:rsid w:val="00C359F0"/>
    <w:rsid w:val="00C35D93"/>
    <w:rsid w:val="00C36336"/>
    <w:rsid w:val="00C37159"/>
    <w:rsid w:val="00C37B67"/>
    <w:rsid w:val="00C400E9"/>
    <w:rsid w:val="00C41263"/>
    <w:rsid w:val="00C417AA"/>
    <w:rsid w:val="00C417AE"/>
    <w:rsid w:val="00C41D2F"/>
    <w:rsid w:val="00C420B7"/>
    <w:rsid w:val="00C4244C"/>
    <w:rsid w:val="00C42497"/>
    <w:rsid w:val="00C428C4"/>
    <w:rsid w:val="00C42A5D"/>
    <w:rsid w:val="00C42C95"/>
    <w:rsid w:val="00C430C9"/>
    <w:rsid w:val="00C43F54"/>
    <w:rsid w:val="00C44681"/>
    <w:rsid w:val="00C44978"/>
    <w:rsid w:val="00C455BF"/>
    <w:rsid w:val="00C45925"/>
    <w:rsid w:val="00C461FB"/>
    <w:rsid w:val="00C465F9"/>
    <w:rsid w:val="00C466ED"/>
    <w:rsid w:val="00C47091"/>
    <w:rsid w:val="00C470F0"/>
    <w:rsid w:val="00C47254"/>
    <w:rsid w:val="00C4774E"/>
    <w:rsid w:val="00C478A4"/>
    <w:rsid w:val="00C4794F"/>
    <w:rsid w:val="00C479A3"/>
    <w:rsid w:val="00C50670"/>
    <w:rsid w:val="00C50C26"/>
    <w:rsid w:val="00C52231"/>
    <w:rsid w:val="00C52569"/>
    <w:rsid w:val="00C52898"/>
    <w:rsid w:val="00C52F0D"/>
    <w:rsid w:val="00C5410C"/>
    <w:rsid w:val="00C5500D"/>
    <w:rsid w:val="00C5505E"/>
    <w:rsid w:val="00C5592C"/>
    <w:rsid w:val="00C55A92"/>
    <w:rsid w:val="00C55E70"/>
    <w:rsid w:val="00C56F36"/>
    <w:rsid w:val="00C5739C"/>
    <w:rsid w:val="00C57425"/>
    <w:rsid w:val="00C577FA"/>
    <w:rsid w:val="00C602FB"/>
    <w:rsid w:val="00C61166"/>
    <w:rsid w:val="00C6168C"/>
    <w:rsid w:val="00C62235"/>
    <w:rsid w:val="00C63352"/>
    <w:rsid w:val="00C63CA7"/>
    <w:rsid w:val="00C6469C"/>
    <w:rsid w:val="00C64C3A"/>
    <w:rsid w:val="00C64CB6"/>
    <w:rsid w:val="00C6513C"/>
    <w:rsid w:val="00C654ED"/>
    <w:rsid w:val="00C66028"/>
    <w:rsid w:val="00C66B7F"/>
    <w:rsid w:val="00C66F1F"/>
    <w:rsid w:val="00C66F6B"/>
    <w:rsid w:val="00C67A91"/>
    <w:rsid w:val="00C67BE1"/>
    <w:rsid w:val="00C70B3A"/>
    <w:rsid w:val="00C71265"/>
    <w:rsid w:val="00C71CD7"/>
    <w:rsid w:val="00C7201B"/>
    <w:rsid w:val="00C73F00"/>
    <w:rsid w:val="00C740B1"/>
    <w:rsid w:val="00C74C83"/>
    <w:rsid w:val="00C75C46"/>
    <w:rsid w:val="00C75FC0"/>
    <w:rsid w:val="00C76256"/>
    <w:rsid w:val="00C76537"/>
    <w:rsid w:val="00C76F9D"/>
    <w:rsid w:val="00C77661"/>
    <w:rsid w:val="00C7778D"/>
    <w:rsid w:val="00C77A99"/>
    <w:rsid w:val="00C77B0D"/>
    <w:rsid w:val="00C80F06"/>
    <w:rsid w:val="00C82495"/>
    <w:rsid w:val="00C82621"/>
    <w:rsid w:val="00C82F60"/>
    <w:rsid w:val="00C831B6"/>
    <w:rsid w:val="00C83966"/>
    <w:rsid w:val="00C83F96"/>
    <w:rsid w:val="00C85617"/>
    <w:rsid w:val="00C85ABF"/>
    <w:rsid w:val="00C85D9A"/>
    <w:rsid w:val="00C85FF3"/>
    <w:rsid w:val="00C8672F"/>
    <w:rsid w:val="00C86DEA"/>
    <w:rsid w:val="00C90227"/>
    <w:rsid w:val="00C91216"/>
    <w:rsid w:val="00C9126E"/>
    <w:rsid w:val="00C93533"/>
    <w:rsid w:val="00C93CE7"/>
    <w:rsid w:val="00C967D1"/>
    <w:rsid w:val="00C96A43"/>
    <w:rsid w:val="00C979D8"/>
    <w:rsid w:val="00CA00F8"/>
    <w:rsid w:val="00CA131D"/>
    <w:rsid w:val="00CA18AC"/>
    <w:rsid w:val="00CA2D27"/>
    <w:rsid w:val="00CA301C"/>
    <w:rsid w:val="00CA30D6"/>
    <w:rsid w:val="00CA3A21"/>
    <w:rsid w:val="00CA4CC3"/>
    <w:rsid w:val="00CA5C8F"/>
    <w:rsid w:val="00CA5E93"/>
    <w:rsid w:val="00CA5FD8"/>
    <w:rsid w:val="00CA60A2"/>
    <w:rsid w:val="00CA6518"/>
    <w:rsid w:val="00CA67FD"/>
    <w:rsid w:val="00CA6DB2"/>
    <w:rsid w:val="00CA73A4"/>
    <w:rsid w:val="00CA787B"/>
    <w:rsid w:val="00CB04B2"/>
    <w:rsid w:val="00CB061C"/>
    <w:rsid w:val="00CB2B98"/>
    <w:rsid w:val="00CB2D83"/>
    <w:rsid w:val="00CB31B2"/>
    <w:rsid w:val="00CB38CF"/>
    <w:rsid w:val="00CB4450"/>
    <w:rsid w:val="00CB4EE1"/>
    <w:rsid w:val="00CB514A"/>
    <w:rsid w:val="00CB55AF"/>
    <w:rsid w:val="00CB5BFA"/>
    <w:rsid w:val="00CB5E8A"/>
    <w:rsid w:val="00CB6902"/>
    <w:rsid w:val="00CB6F14"/>
    <w:rsid w:val="00CC17AE"/>
    <w:rsid w:val="00CC1D97"/>
    <w:rsid w:val="00CC2532"/>
    <w:rsid w:val="00CC4753"/>
    <w:rsid w:val="00CC479A"/>
    <w:rsid w:val="00CC4E1C"/>
    <w:rsid w:val="00CC59FB"/>
    <w:rsid w:val="00CC5F10"/>
    <w:rsid w:val="00CC6193"/>
    <w:rsid w:val="00CC6BC7"/>
    <w:rsid w:val="00CC6C16"/>
    <w:rsid w:val="00CC6C2B"/>
    <w:rsid w:val="00CC76A9"/>
    <w:rsid w:val="00CC7709"/>
    <w:rsid w:val="00CC7A76"/>
    <w:rsid w:val="00CC7A77"/>
    <w:rsid w:val="00CD0075"/>
    <w:rsid w:val="00CD0FDF"/>
    <w:rsid w:val="00CD1357"/>
    <w:rsid w:val="00CD163E"/>
    <w:rsid w:val="00CD17F8"/>
    <w:rsid w:val="00CD1D0A"/>
    <w:rsid w:val="00CD2295"/>
    <w:rsid w:val="00CD33C4"/>
    <w:rsid w:val="00CD38D3"/>
    <w:rsid w:val="00CD3938"/>
    <w:rsid w:val="00CD3B88"/>
    <w:rsid w:val="00CD4DB8"/>
    <w:rsid w:val="00CD5388"/>
    <w:rsid w:val="00CD5C6C"/>
    <w:rsid w:val="00CD60C0"/>
    <w:rsid w:val="00CD6700"/>
    <w:rsid w:val="00CD70A7"/>
    <w:rsid w:val="00CD787B"/>
    <w:rsid w:val="00CD7AE6"/>
    <w:rsid w:val="00CD7F4A"/>
    <w:rsid w:val="00CE0261"/>
    <w:rsid w:val="00CE1045"/>
    <w:rsid w:val="00CE1192"/>
    <w:rsid w:val="00CE1CB7"/>
    <w:rsid w:val="00CE3288"/>
    <w:rsid w:val="00CE3568"/>
    <w:rsid w:val="00CE3F00"/>
    <w:rsid w:val="00CE409D"/>
    <w:rsid w:val="00CE4955"/>
    <w:rsid w:val="00CE4F4A"/>
    <w:rsid w:val="00CE51C2"/>
    <w:rsid w:val="00CE615B"/>
    <w:rsid w:val="00CE6695"/>
    <w:rsid w:val="00CE764E"/>
    <w:rsid w:val="00CE7FCF"/>
    <w:rsid w:val="00CF0EE2"/>
    <w:rsid w:val="00CF11CF"/>
    <w:rsid w:val="00CF1289"/>
    <w:rsid w:val="00CF16CB"/>
    <w:rsid w:val="00CF1ACA"/>
    <w:rsid w:val="00CF44B3"/>
    <w:rsid w:val="00CF4560"/>
    <w:rsid w:val="00CF4930"/>
    <w:rsid w:val="00CF54EC"/>
    <w:rsid w:val="00CF5E40"/>
    <w:rsid w:val="00CF62CF"/>
    <w:rsid w:val="00CF6FB0"/>
    <w:rsid w:val="00CF72AE"/>
    <w:rsid w:val="00CF7D7A"/>
    <w:rsid w:val="00D00670"/>
    <w:rsid w:val="00D0132F"/>
    <w:rsid w:val="00D01C2E"/>
    <w:rsid w:val="00D01FE3"/>
    <w:rsid w:val="00D039F9"/>
    <w:rsid w:val="00D04971"/>
    <w:rsid w:val="00D0582E"/>
    <w:rsid w:val="00D05ADB"/>
    <w:rsid w:val="00D10AAD"/>
    <w:rsid w:val="00D10BDA"/>
    <w:rsid w:val="00D11351"/>
    <w:rsid w:val="00D1139F"/>
    <w:rsid w:val="00D115EB"/>
    <w:rsid w:val="00D124AF"/>
    <w:rsid w:val="00D127B4"/>
    <w:rsid w:val="00D12ECA"/>
    <w:rsid w:val="00D13C51"/>
    <w:rsid w:val="00D14196"/>
    <w:rsid w:val="00D14707"/>
    <w:rsid w:val="00D14FB8"/>
    <w:rsid w:val="00D15759"/>
    <w:rsid w:val="00D15835"/>
    <w:rsid w:val="00D16452"/>
    <w:rsid w:val="00D16A5D"/>
    <w:rsid w:val="00D16C09"/>
    <w:rsid w:val="00D175FA"/>
    <w:rsid w:val="00D17B20"/>
    <w:rsid w:val="00D17B52"/>
    <w:rsid w:val="00D200A9"/>
    <w:rsid w:val="00D20A68"/>
    <w:rsid w:val="00D20F99"/>
    <w:rsid w:val="00D22039"/>
    <w:rsid w:val="00D22F9B"/>
    <w:rsid w:val="00D23606"/>
    <w:rsid w:val="00D23B8B"/>
    <w:rsid w:val="00D242A2"/>
    <w:rsid w:val="00D24480"/>
    <w:rsid w:val="00D24938"/>
    <w:rsid w:val="00D24AC0"/>
    <w:rsid w:val="00D24CDC"/>
    <w:rsid w:val="00D250D0"/>
    <w:rsid w:val="00D25968"/>
    <w:rsid w:val="00D2608A"/>
    <w:rsid w:val="00D2651A"/>
    <w:rsid w:val="00D2697F"/>
    <w:rsid w:val="00D270EC"/>
    <w:rsid w:val="00D27B09"/>
    <w:rsid w:val="00D30A1A"/>
    <w:rsid w:val="00D3109E"/>
    <w:rsid w:val="00D31312"/>
    <w:rsid w:val="00D327E3"/>
    <w:rsid w:val="00D32ECF"/>
    <w:rsid w:val="00D33B6D"/>
    <w:rsid w:val="00D33F7F"/>
    <w:rsid w:val="00D344B2"/>
    <w:rsid w:val="00D35484"/>
    <w:rsid w:val="00D35AF7"/>
    <w:rsid w:val="00D36366"/>
    <w:rsid w:val="00D36547"/>
    <w:rsid w:val="00D36F5B"/>
    <w:rsid w:val="00D37ADD"/>
    <w:rsid w:val="00D37B0A"/>
    <w:rsid w:val="00D37C79"/>
    <w:rsid w:val="00D40E6B"/>
    <w:rsid w:val="00D41E85"/>
    <w:rsid w:val="00D422B0"/>
    <w:rsid w:val="00D425B9"/>
    <w:rsid w:val="00D425E9"/>
    <w:rsid w:val="00D42DDB"/>
    <w:rsid w:val="00D449FD"/>
    <w:rsid w:val="00D4548B"/>
    <w:rsid w:val="00D45997"/>
    <w:rsid w:val="00D46525"/>
    <w:rsid w:val="00D469C0"/>
    <w:rsid w:val="00D47645"/>
    <w:rsid w:val="00D50408"/>
    <w:rsid w:val="00D50902"/>
    <w:rsid w:val="00D50BDC"/>
    <w:rsid w:val="00D52251"/>
    <w:rsid w:val="00D5262C"/>
    <w:rsid w:val="00D52757"/>
    <w:rsid w:val="00D52F55"/>
    <w:rsid w:val="00D52FA1"/>
    <w:rsid w:val="00D5332E"/>
    <w:rsid w:val="00D535DB"/>
    <w:rsid w:val="00D53A27"/>
    <w:rsid w:val="00D54236"/>
    <w:rsid w:val="00D551CC"/>
    <w:rsid w:val="00D56265"/>
    <w:rsid w:val="00D57D86"/>
    <w:rsid w:val="00D57D9E"/>
    <w:rsid w:val="00D6070B"/>
    <w:rsid w:val="00D62779"/>
    <w:rsid w:val="00D629EA"/>
    <w:rsid w:val="00D641EB"/>
    <w:rsid w:val="00D642D5"/>
    <w:rsid w:val="00D64ECB"/>
    <w:rsid w:val="00D6567D"/>
    <w:rsid w:val="00D659A1"/>
    <w:rsid w:val="00D65EF1"/>
    <w:rsid w:val="00D66B1F"/>
    <w:rsid w:val="00D67E02"/>
    <w:rsid w:val="00D711D8"/>
    <w:rsid w:val="00D7173B"/>
    <w:rsid w:val="00D7204E"/>
    <w:rsid w:val="00D72257"/>
    <w:rsid w:val="00D728B8"/>
    <w:rsid w:val="00D729D5"/>
    <w:rsid w:val="00D73F03"/>
    <w:rsid w:val="00D741C2"/>
    <w:rsid w:val="00D759F1"/>
    <w:rsid w:val="00D761EE"/>
    <w:rsid w:val="00D76B4E"/>
    <w:rsid w:val="00D77226"/>
    <w:rsid w:val="00D8170D"/>
    <w:rsid w:val="00D81EC8"/>
    <w:rsid w:val="00D84514"/>
    <w:rsid w:val="00D847D0"/>
    <w:rsid w:val="00D84BFD"/>
    <w:rsid w:val="00D84E21"/>
    <w:rsid w:val="00D861CD"/>
    <w:rsid w:val="00D86C17"/>
    <w:rsid w:val="00D872D2"/>
    <w:rsid w:val="00D87357"/>
    <w:rsid w:val="00D90608"/>
    <w:rsid w:val="00D90A53"/>
    <w:rsid w:val="00D920FB"/>
    <w:rsid w:val="00D922F1"/>
    <w:rsid w:val="00D9248A"/>
    <w:rsid w:val="00D9353A"/>
    <w:rsid w:val="00D9375D"/>
    <w:rsid w:val="00D93A38"/>
    <w:rsid w:val="00D94131"/>
    <w:rsid w:val="00D95CF6"/>
    <w:rsid w:val="00D9622C"/>
    <w:rsid w:val="00D9629F"/>
    <w:rsid w:val="00D97542"/>
    <w:rsid w:val="00DA0328"/>
    <w:rsid w:val="00DA0443"/>
    <w:rsid w:val="00DA05B3"/>
    <w:rsid w:val="00DA23FC"/>
    <w:rsid w:val="00DA2589"/>
    <w:rsid w:val="00DA2782"/>
    <w:rsid w:val="00DA2BEF"/>
    <w:rsid w:val="00DA401C"/>
    <w:rsid w:val="00DA427E"/>
    <w:rsid w:val="00DA42A9"/>
    <w:rsid w:val="00DA461D"/>
    <w:rsid w:val="00DA51D8"/>
    <w:rsid w:val="00DA5232"/>
    <w:rsid w:val="00DA75DB"/>
    <w:rsid w:val="00DA780C"/>
    <w:rsid w:val="00DA7998"/>
    <w:rsid w:val="00DA7AF8"/>
    <w:rsid w:val="00DA7B97"/>
    <w:rsid w:val="00DB0142"/>
    <w:rsid w:val="00DB01EC"/>
    <w:rsid w:val="00DB0BBB"/>
    <w:rsid w:val="00DB1189"/>
    <w:rsid w:val="00DB1DB6"/>
    <w:rsid w:val="00DB23ED"/>
    <w:rsid w:val="00DB2515"/>
    <w:rsid w:val="00DB3727"/>
    <w:rsid w:val="00DB44A6"/>
    <w:rsid w:val="00DB528D"/>
    <w:rsid w:val="00DB5B26"/>
    <w:rsid w:val="00DB5E62"/>
    <w:rsid w:val="00DB6644"/>
    <w:rsid w:val="00DB66DB"/>
    <w:rsid w:val="00DB7327"/>
    <w:rsid w:val="00DB7F76"/>
    <w:rsid w:val="00DC0769"/>
    <w:rsid w:val="00DC0D8A"/>
    <w:rsid w:val="00DC0E52"/>
    <w:rsid w:val="00DC115F"/>
    <w:rsid w:val="00DC1775"/>
    <w:rsid w:val="00DC1DC8"/>
    <w:rsid w:val="00DC272B"/>
    <w:rsid w:val="00DC284A"/>
    <w:rsid w:val="00DC33A4"/>
    <w:rsid w:val="00DC3581"/>
    <w:rsid w:val="00DC3B4E"/>
    <w:rsid w:val="00DC47C7"/>
    <w:rsid w:val="00DC53AC"/>
    <w:rsid w:val="00DC53BA"/>
    <w:rsid w:val="00DC5D44"/>
    <w:rsid w:val="00DC6D51"/>
    <w:rsid w:val="00DC7C7A"/>
    <w:rsid w:val="00DC7DF7"/>
    <w:rsid w:val="00DD0129"/>
    <w:rsid w:val="00DD0992"/>
    <w:rsid w:val="00DD0EE2"/>
    <w:rsid w:val="00DD18C9"/>
    <w:rsid w:val="00DD1F0E"/>
    <w:rsid w:val="00DD2BE6"/>
    <w:rsid w:val="00DD31A7"/>
    <w:rsid w:val="00DD4C0D"/>
    <w:rsid w:val="00DD4C9B"/>
    <w:rsid w:val="00DD4D18"/>
    <w:rsid w:val="00DD563E"/>
    <w:rsid w:val="00DD5C29"/>
    <w:rsid w:val="00DD68F8"/>
    <w:rsid w:val="00DE1471"/>
    <w:rsid w:val="00DE189A"/>
    <w:rsid w:val="00DE1BB2"/>
    <w:rsid w:val="00DE2194"/>
    <w:rsid w:val="00DE2AB6"/>
    <w:rsid w:val="00DE400F"/>
    <w:rsid w:val="00DE44F7"/>
    <w:rsid w:val="00DE4962"/>
    <w:rsid w:val="00DE5B80"/>
    <w:rsid w:val="00DE6583"/>
    <w:rsid w:val="00DE709F"/>
    <w:rsid w:val="00DE7313"/>
    <w:rsid w:val="00DE774A"/>
    <w:rsid w:val="00DF0D66"/>
    <w:rsid w:val="00DF0E3D"/>
    <w:rsid w:val="00DF1A4B"/>
    <w:rsid w:val="00DF21A4"/>
    <w:rsid w:val="00DF23F1"/>
    <w:rsid w:val="00DF2922"/>
    <w:rsid w:val="00DF3B01"/>
    <w:rsid w:val="00DF458D"/>
    <w:rsid w:val="00DF4A4A"/>
    <w:rsid w:val="00DF519A"/>
    <w:rsid w:val="00DF5FBE"/>
    <w:rsid w:val="00DF61D0"/>
    <w:rsid w:val="00DF6C8A"/>
    <w:rsid w:val="00DF715D"/>
    <w:rsid w:val="00DF76D1"/>
    <w:rsid w:val="00DF7A18"/>
    <w:rsid w:val="00DF7DCC"/>
    <w:rsid w:val="00E0012D"/>
    <w:rsid w:val="00E00326"/>
    <w:rsid w:val="00E00B9C"/>
    <w:rsid w:val="00E014C0"/>
    <w:rsid w:val="00E0152A"/>
    <w:rsid w:val="00E0192D"/>
    <w:rsid w:val="00E038D0"/>
    <w:rsid w:val="00E03FB5"/>
    <w:rsid w:val="00E04842"/>
    <w:rsid w:val="00E0496B"/>
    <w:rsid w:val="00E0637B"/>
    <w:rsid w:val="00E06505"/>
    <w:rsid w:val="00E0680E"/>
    <w:rsid w:val="00E06933"/>
    <w:rsid w:val="00E06BC9"/>
    <w:rsid w:val="00E101AC"/>
    <w:rsid w:val="00E10EB5"/>
    <w:rsid w:val="00E1223C"/>
    <w:rsid w:val="00E14167"/>
    <w:rsid w:val="00E15335"/>
    <w:rsid w:val="00E1611B"/>
    <w:rsid w:val="00E16312"/>
    <w:rsid w:val="00E16B59"/>
    <w:rsid w:val="00E16FEC"/>
    <w:rsid w:val="00E17D38"/>
    <w:rsid w:val="00E20656"/>
    <w:rsid w:val="00E20780"/>
    <w:rsid w:val="00E218BA"/>
    <w:rsid w:val="00E21A9E"/>
    <w:rsid w:val="00E21DBE"/>
    <w:rsid w:val="00E22683"/>
    <w:rsid w:val="00E232AE"/>
    <w:rsid w:val="00E23372"/>
    <w:rsid w:val="00E238EC"/>
    <w:rsid w:val="00E24A16"/>
    <w:rsid w:val="00E24DEA"/>
    <w:rsid w:val="00E24EE7"/>
    <w:rsid w:val="00E252F0"/>
    <w:rsid w:val="00E25F2A"/>
    <w:rsid w:val="00E3003E"/>
    <w:rsid w:val="00E3022B"/>
    <w:rsid w:val="00E303BE"/>
    <w:rsid w:val="00E306DA"/>
    <w:rsid w:val="00E3124F"/>
    <w:rsid w:val="00E316D9"/>
    <w:rsid w:val="00E32E67"/>
    <w:rsid w:val="00E330C5"/>
    <w:rsid w:val="00E33560"/>
    <w:rsid w:val="00E3413B"/>
    <w:rsid w:val="00E347E7"/>
    <w:rsid w:val="00E353E9"/>
    <w:rsid w:val="00E3589F"/>
    <w:rsid w:val="00E35F3B"/>
    <w:rsid w:val="00E36EA9"/>
    <w:rsid w:val="00E40299"/>
    <w:rsid w:val="00E40F41"/>
    <w:rsid w:val="00E41393"/>
    <w:rsid w:val="00E43879"/>
    <w:rsid w:val="00E44044"/>
    <w:rsid w:val="00E441BF"/>
    <w:rsid w:val="00E4592C"/>
    <w:rsid w:val="00E47864"/>
    <w:rsid w:val="00E47BD0"/>
    <w:rsid w:val="00E47DAC"/>
    <w:rsid w:val="00E501A6"/>
    <w:rsid w:val="00E501EB"/>
    <w:rsid w:val="00E5076A"/>
    <w:rsid w:val="00E50DBB"/>
    <w:rsid w:val="00E50E83"/>
    <w:rsid w:val="00E52403"/>
    <w:rsid w:val="00E55777"/>
    <w:rsid w:val="00E56B33"/>
    <w:rsid w:val="00E56C37"/>
    <w:rsid w:val="00E60643"/>
    <w:rsid w:val="00E60CD7"/>
    <w:rsid w:val="00E61322"/>
    <w:rsid w:val="00E61F75"/>
    <w:rsid w:val="00E636AB"/>
    <w:rsid w:val="00E643C2"/>
    <w:rsid w:val="00E64C3E"/>
    <w:rsid w:val="00E64E56"/>
    <w:rsid w:val="00E6576C"/>
    <w:rsid w:val="00E65F0D"/>
    <w:rsid w:val="00E666D7"/>
    <w:rsid w:val="00E679D3"/>
    <w:rsid w:val="00E70AE1"/>
    <w:rsid w:val="00E70C20"/>
    <w:rsid w:val="00E70D73"/>
    <w:rsid w:val="00E71169"/>
    <w:rsid w:val="00E711F0"/>
    <w:rsid w:val="00E71D09"/>
    <w:rsid w:val="00E7374D"/>
    <w:rsid w:val="00E7377B"/>
    <w:rsid w:val="00E73D04"/>
    <w:rsid w:val="00E745B4"/>
    <w:rsid w:val="00E7461B"/>
    <w:rsid w:val="00E7484B"/>
    <w:rsid w:val="00E750A5"/>
    <w:rsid w:val="00E761A1"/>
    <w:rsid w:val="00E76BCC"/>
    <w:rsid w:val="00E7793F"/>
    <w:rsid w:val="00E77F8B"/>
    <w:rsid w:val="00E80EAC"/>
    <w:rsid w:val="00E811CA"/>
    <w:rsid w:val="00E81FD0"/>
    <w:rsid w:val="00E823CA"/>
    <w:rsid w:val="00E826FF"/>
    <w:rsid w:val="00E8284D"/>
    <w:rsid w:val="00E82BD9"/>
    <w:rsid w:val="00E83082"/>
    <w:rsid w:val="00E83F2D"/>
    <w:rsid w:val="00E83F55"/>
    <w:rsid w:val="00E841DA"/>
    <w:rsid w:val="00E846ED"/>
    <w:rsid w:val="00E84760"/>
    <w:rsid w:val="00E8476C"/>
    <w:rsid w:val="00E856C5"/>
    <w:rsid w:val="00E86030"/>
    <w:rsid w:val="00E86DD1"/>
    <w:rsid w:val="00E876E4"/>
    <w:rsid w:val="00E90DE0"/>
    <w:rsid w:val="00E928DA"/>
    <w:rsid w:val="00E93140"/>
    <w:rsid w:val="00E93F20"/>
    <w:rsid w:val="00E950BB"/>
    <w:rsid w:val="00E95263"/>
    <w:rsid w:val="00E95A51"/>
    <w:rsid w:val="00E96D01"/>
    <w:rsid w:val="00E973CA"/>
    <w:rsid w:val="00E97504"/>
    <w:rsid w:val="00EA04E4"/>
    <w:rsid w:val="00EA0A7C"/>
    <w:rsid w:val="00EA0C40"/>
    <w:rsid w:val="00EA1C34"/>
    <w:rsid w:val="00EA2978"/>
    <w:rsid w:val="00EA2F88"/>
    <w:rsid w:val="00EA3450"/>
    <w:rsid w:val="00EA437D"/>
    <w:rsid w:val="00EA4EE5"/>
    <w:rsid w:val="00EA5879"/>
    <w:rsid w:val="00EA5895"/>
    <w:rsid w:val="00EA5C4C"/>
    <w:rsid w:val="00EA6ABD"/>
    <w:rsid w:val="00EA7311"/>
    <w:rsid w:val="00EA7784"/>
    <w:rsid w:val="00EA7A80"/>
    <w:rsid w:val="00EB06C3"/>
    <w:rsid w:val="00EB0B3A"/>
    <w:rsid w:val="00EB102E"/>
    <w:rsid w:val="00EB126F"/>
    <w:rsid w:val="00EB29FE"/>
    <w:rsid w:val="00EB2F66"/>
    <w:rsid w:val="00EB3012"/>
    <w:rsid w:val="00EB3E72"/>
    <w:rsid w:val="00EB54FC"/>
    <w:rsid w:val="00EB643C"/>
    <w:rsid w:val="00EB6C92"/>
    <w:rsid w:val="00EB6E9A"/>
    <w:rsid w:val="00EB718C"/>
    <w:rsid w:val="00EB7472"/>
    <w:rsid w:val="00EB757A"/>
    <w:rsid w:val="00EB7667"/>
    <w:rsid w:val="00EC03AB"/>
    <w:rsid w:val="00EC0BF9"/>
    <w:rsid w:val="00EC12B7"/>
    <w:rsid w:val="00EC321D"/>
    <w:rsid w:val="00EC3531"/>
    <w:rsid w:val="00EC3FF3"/>
    <w:rsid w:val="00EC438F"/>
    <w:rsid w:val="00EC48D1"/>
    <w:rsid w:val="00EC5A39"/>
    <w:rsid w:val="00EC5E74"/>
    <w:rsid w:val="00EC5FD1"/>
    <w:rsid w:val="00EC6532"/>
    <w:rsid w:val="00EC6D5D"/>
    <w:rsid w:val="00EC71CC"/>
    <w:rsid w:val="00EC71E5"/>
    <w:rsid w:val="00EC7404"/>
    <w:rsid w:val="00EC7ECE"/>
    <w:rsid w:val="00ED0A9A"/>
    <w:rsid w:val="00ED13C7"/>
    <w:rsid w:val="00ED1871"/>
    <w:rsid w:val="00ED1A4B"/>
    <w:rsid w:val="00ED1C10"/>
    <w:rsid w:val="00ED1DAC"/>
    <w:rsid w:val="00ED2717"/>
    <w:rsid w:val="00ED2DAA"/>
    <w:rsid w:val="00ED3218"/>
    <w:rsid w:val="00ED32B8"/>
    <w:rsid w:val="00ED3581"/>
    <w:rsid w:val="00ED3A9B"/>
    <w:rsid w:val="00ED44B0"/>
    <w:rsid w:val="00ED4951"/>
    <w:rsid w:val="00ED6065"/>
    <w:rsid w:val="00ED63EC"/>
    <w:rsid w:val="00ED6A52"/>
    <w:rsid w:val="00ED701C"/>
    <w:rsid w:val="00ED7815"/>
    <w:rsid w:val="00EE05C0"/>
    <w:rsid w:val="00EE0737"/>
    <w:rsid w:val="00EE0CAD"/>
    <w:rsid w:val="00EE206D"/>
    <w:rsid w:val="00EE28AB"/>
    <w:rsid w:val="00EE300F"/>
    <w:rsid w:val="00EE3AAE"/>
    <w:rsid w:val="00EE5052"/>
    <w:rsid w:val="00EE590D"/>
    <w:rsid w:val="00EE5923"/>
    <w:rsid w:val="00EE5EFB"/>
    <w:rsid w:val="00EE62E5"/>
    <w:rsid w:val="00EE7084"/>
    <w:rsid w:val="00EE7633"/>
    <w:rsid w:val="00EF0149"/>
    <w:rsid w:val="00EF08AD"/>
    <w:rsid w:val="00EF23B6"/>
    <w:rsid w:val="00EF3356"/>
    <w:rsid w:val="00EF33BE"/>
    <w:rsid w:val="00EF37FB"/>
    <w:rsid w:val="00EF3FDC"/>
    <w:rsid w:val="00EF40A5"/>
    <w:rsid w:val="00EF4214"/>
    <w:rsid w:val="00EF4EE1"/>
    <w:rsid w:val="00EF57CE"/>
    <w:rsid w:val="00EF5AB2"/>
    <w:rsid w:val="00EF658A"/>
    <w:rsid w:val="00EF690E"/>
    <w:rsid w:val="00EF73D4"/>
    <w:rsid w:val="00EF791F"/>
    <w:rsid w:val="00EF7998"/>
    <w:rsid w:val="00EF7A22"/>
    <w:rsid w:val="00EF7CC1"/>
    <w:rsid w:val="00F0086F"/>
    <w:rsid w:val="00F0183A"/>
    <w:rsid w:val="00F01E16"/>
    <w:rsid w:val="00F02DD4"/>
    <w:rsid w:val="00F02DFD"/>
    <w:rsid w:val="00F02F78"/>
    <w:rsid w:val="00F03025"/>
    <w:rsid w:val="00F0307C"/>
    <w:rsid w:val="00F037E7"/>
    <w:rsid w:val="00F03A20"/>
    <w:rsid w:val="00F03BD3"/>
    <w:rsid w:val="00F0404B"/>
    <w:rsid w:val="00F045AD"/>
    <w:rsid w:val="00F04602"/>
    <w:rsid w:val="00F05BAB"/>
    <w:rsid w:val="00F060B8"/>
    <w:rsid w:val="00F062AB"/>
    <w:rsid w:val="00F0674E"/>
    <w:rsid w:val="00F07CBF"/>
    <w:rsid w:val="00F07E79"/>
    <w:rsid w:val="00F107C8"/>
    <w:rsid w:val="00F10B18"/>
    <w:rsid w:val="00F10C36"/>
    <w:rsid w:val="00F1226D"/>
    <w:rsid w:val="00F126A3"/>
    <w:rsid w:val="00F12763"/>
    <w:rsid w:val="00F13AFC"/>
    <w:rsid w:val="00F13EB3"/>
    <w:rsid w:val="00F13F08"/>
    <w:rsid w:val="00F14678"/>
    <w:rsid w:val="00F14CF1"/>
    <w:rsid w:val="00F14F12"/>
    <w:rsid w:val="00F1578B"/>
    <w:rsid w:val="00F15CBB"/>
    <w:rsid w:val="00F1755B"/>
    <w:rsid w:val="00F20438"/>
    <w:rsid w:val="00F20FEC"/>
    <w:rsid w:val="00F216C6"/>
    <w:rsid w:val="00F229AB"/>
    <w:rsid w:val="00F2334B"/>
    <w:rsid w:val="00F242C4"/>
    <w:rsid w:val="00F2491C"/>
    <w:rsid w:val="00F24E37"/>
    <w:rsid w:val="00F251A9"/>
    <w:rsid w:val="00F2523C"/>
    <w:rsid w:val="00F25282"/>
    <w:rsid w:val="00F2548A"/>
    <w:rsid w:val="00F26123"/>
    <w:rsid w:val="00F26336"/>
    <w:rsid w:val="00F26767"/>
    <w:rsid w:val="00F2698F"/>
    <w:rsid w:val="00F26D89"/>
    <w:rsid w:val="00F270F4"/>
    <w:rsid w:val="00F27730"/>
    <w:rsid w:val="00F31384"/>
    <w:rsid w:val="00F316EA"/>
    <w:rsid w:val="00F326E3"/>
    <w:rsid w:val="00F32855"/>
    <w:rsid w:val="00F32DA9"/>
    <w:rsid w:val="00F33658"/>
    <w:rsid w:val="00F33718"/>
    <w:rsid w:val="00F34AD3"/>
    <w:rsid w:val="00F3577A"/>
    <w:rsid w:val="00F36260"/>
    <w:rsid w:val="00F365CD"/>
    <w:rsid w:val="00F36743"/>
    <w:rsid w:val="00F37CF5"/>
    <w:rsid w:val="00F4058F"/>
    <w:rsid w:val="00F40725"/>
    <w:rsid w:val="00F4099A"/>
    <w:rsid w:val="00F41805"/>
    <w:rsid w:val="00F41923"/>
    <w:rsid w:val="00F41A88"/>
    <w:rsid w:val="00F42CAE"/>
    <w:rsid w:val="00F43763"/>
    <w:rsid w:val="00F441B7"/>
    <w:rsid w:val="00F45495"/>
    <w:rsid w:val="00F46AC8"/>
    <w:rsid w:val="00F46FA3"/>
    <w:rsid w:val="00F477AF"/>
    <w:rsid w:val="00F47B42"/>
    <w:rsid w:val="00F47F8D"/>
    <w:rsid w:val="00F50043"/>
    <w:rsid w:val="00F52A59"/>
    <w:rsid w:val="00F52B30"/>
    <w:rsid w:val="00F52D8B"/>
    <w:rsid w:val="00F53749"/>
    <w:rsid w:val="00F54B05"/>
    <w:rsid w:val="00F557C3"/>
    <w:rsid w:val="00F559D1"/>
    <w:rsid w:val="00F5630D"/>
    <w:rsid w:val="00F56708"/>
    <w:rsid w:val="00F56712"/>
    <w:rsid w:val="00F56EA2"/>
    <w:rsid w:val="00F56F50"/>
    <w:rsid w:val="00F57AFD"/>
    <w:rsid w:val="00F57CC9"/>
    <w:rsid w:val="00F57EC4"/>
    <w:rsid w:val="00F6029F"/>
    <w:rsid w:val="00F618C5"/>
    <w:rsid w:val="00F62F02"/>
    <w:rsid w:val="00F63232"/>
    <w:rsid w:val="00F63C24"/>
    <w:rsid w:val="00F63DFE"/>
    <w:rsid w:val="00F641BE"/>
    <w:rsid w:val="00F65334"/>
    <w:rsid w:val="00F65B68"/>
    <w:rsid w:val="00F65BAD"/>
    <w:rsid w:val="00F6615F"/>
    <w:rsid w:val="00F67157"/>
    <w:rsid w:val="00F6780B"/>
    <w:rsid w:val="00F67B77"/>
    <w:rsid w:val="00F710A0"/>
    <w:rsid w:val="00F71216"/>
    <w:rsid w:val="00F71757"/>
    <w:rsid w:val="00F71ABB"/>
    <w:rsid w:val="00F72B96"/>
    <w:rsid w:val="00F72BB7"/>
    <w:rsid w:val="00F72CD7"/>
    <w:rsid w:val="00F72E25"/>
    <w:rsid w:val="00F734B3"/>
    <w:rsid w:val="00F737AD"/>
    <w:rsid w:val="00F738AA"/>
    <w:rsid w:val="00F73C18"/>
    <w:rsid w:val="00F73C38"/>
    <w:rsid w:val="00F745B5"/>
    <w:rsid w:val="00F7481E"/>
    <w:rsid w:val="00F748D8"/>
    <w:rsid w:val="00F74B37"/>
    <w:rsid w:val="00F7508B"/>
    <w:rsid w:val="00F750CE"/>
    <w:rsid w:val="00F7586D"/>
    <w:rsid w:val="00F762FA"/>
    <w:rsid w:val="00F771D5"/>
    <w:rsid w:val="00F7725C"/>
    <w:rsid w:val="00F77D60"/>
    <w:rsid w:val="00F803C0"/>
    <w:rsid w:val="00F80489"/>
    <w:rsid w:val="00F817A0"/>
    <w:rsid w:val="00F82A8E"/>
    <w:rsid w:val="00F82E95"/>
    <w:rsid w:val="00F83456"/>
    <w:rsid w:val="00F83628"/>
    <w:rsid w:val="00F83875"/>
    <w:rsid w:val="00F83D7F"/>
    <w:rsid w:val="00F843D3"/>
    <w:rsid w:val="00F847A5"/>
    <w:rsid w:val="00F84D77"/>
    <w:rsid w:val="00F85291"/>
    <w:rsid w:val="00F866AD"/>
    <w:rsid w:val="00F87171"/>
    <w:rsid w:val="00F87DAF"/>
    <w:rsid w:val="00F87E05"/>
    <w:rsid w:val="00F91080"/>
    <w:rsid w:val="00F929C3"/>
    <w:rsid w:val="00F92AAF"/>
    <w:rsid w:val="00F92D19"/>
    <w:rsid w:val="00F930B6"/>
    <w:rsid w:val="00F9384D"/>
    <w:rsid w:val="00F94A2A"/>
    <w:rsid w:val="00F956E6"/>
    <w:rsid w:val="00F96407"/>
    <w:rsid w:val="00F966DF"/>
    <w:rsid w:val="00F96874"/>
    <w:rsid w:val="00F9704E"/>
    <w:rsid w:val="00F97721"/>
    <w:rsid w:val="00F97CD4"/>
    <w:rsid w:val="00FA023A"/>
    <w:rsid w:val="00FA0DE0"/>
    <w:rsid w:val="00FA15FD"/>
    <w:rsid w:val="00FA34D5"/>
    <w:rsid w:val="00FA3896"/>
    <w:rsid w:val="00FA4994"/>
    <w:rsid w:val="00FA5199"/>
    <w:rsid w:val="00FA5E8A"/>
    <w:rsid w:val="00FA6BB1"/>
    <w:rsid w:val="00FA6FD7"/>
    <w:rsid w:val="00FA7508"/>
    <w:rsid w:val="00FA7EDB"/>
    <w:rsid w:val="00FB0E34"/>
    <w:rsid w:val="00FB0EAF"/>
    <w:rsid w:val="00FB2DE2"/>
    <w:rsid w:val="00FB4389"/>
    <w:rsid w:val="00FB50FD"/>
    <w:rsid w:val="00FB524C"/>
    <w:rsid w:val="00FB5316"/>
    <w:rsid w:val="00FB59EA"/>
    <w:rsid w:val="00FB633A"/>
    <w:rsid w:val="00FB6B8B"/>
    <w:rsid w:val="00FB6C55"/>
    <w:rsid w:val="00FB706D"/>
    <w:rsid w:val="00FB70B5"/>
    <w:rsid w:val="00FB74D5"/>
    <w:rsid w:val="00FB7993"/>
    <w:rsid w:val="00FC0F42"/>
    <w:rsid w:val="00FC3EDF"/>
    <w:rsid w:val="00FC4453"/>
    <w:rsid w:val="00FC4981"/>
    <w:rsid w:val="00FC6653"/>
    <w:rsid w:val="00FD008B"/>
    <w:rsid w:val="00FD0C3C"/>
    <w:rsid w:val="00FD0E12"/>
    <w:rsid w:val="00FD140C"/>
    <w:rsid w:val="00FD1762"/>
    <w:rsid w:val="00FD215A"/>
    <w:rsid w:val="00FD2665"/>
    <w:rsid w:val="00FD39BE"/>
    <w:rsid w:val="00FD3D98"/>
    <w:rsid w:val="00FD40D8"/>
    <w:rsid w:val="00FD447D"/>
    <w:rsid w:val="00FD461F"/>
    <w:rsid w:val="00FD50A4"/>
    <w:rsid w:val="00FD520B"/>
    <w:rsid w:val="00FD5B60"/>
    <w:rsid w:val="00FD5F3A"/>
    <w:rsid w:val="00FD6D5F"/>
    <w:rsid w:val="00FD7198"/>
    <w:rsid w:val="00FD74A7"/>
    <w:rsid w:val="00FE015D"/>
    <w:rsid w:val="00FE0E7A"/>
    <w:rsid w:val="00FE190B"/>
    <w:rsid w:val="00FE218F"/>
    <w:rsid w:val="00FE268C"/>
    <w:rsid w:val="00FE2DDD"/>
    <w:rsid w:val="00FE3C3F"/>
    <w:rsid w:val="00FE3D8E"/>
    <w:rsid w:val="00FE3F3A"/>
    <w:rsid w:val="00FE4629"/>
    <w:rsid w:val="00FE490F"/>
    <w:rsid w:val="00FE5F1E"/>
    <w:rsid w:val="00FE6954"/>
    <w:rsid w:val="00FE6A6E"/>
    <w:rsid w:val="00FE6B87"/>
    <w:rsid w:val="00FF2154"/>
    <w:rsid w:val="00FF2716"/>
    <w:rsid w:val="00FF32F9"/>
    <w:rsid w:val="00FF340F"/>
    <w:rsid w:val="00FF344D"/>
    <w:rsid w:val="00FF3E46"/>
    <w:rsid w:val="00FF4FC4"/>
    <w:rsid w:val="00FF554B"/>
    <w:rsid w:val="00FF5DE6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semiHidden/>
    <w:rsid w:val="00373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semiHidden/>
    <w:rsid w:val="00373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ECC965-64E9-4B73-9A9A-3013FE036C5B}"/>
</file>

<file path=customXml/itemProps2.xml><?xml version="1.0" encoding="utf-8"?>
<ds:datastoreItem xmlns:ds="http://schemas.openxmlformats.org/officeDocument/2006/customXml" ds:itemID="{FE378D0C-0533-473F-A540-89D04991EECF}"/>
</file>

<file path=customXml/itemProps3.xml><?xml version="1.0" encoding="utf-8"?>
<ds:datastoreItem xmlns:ds="http://schemas.openxmlformats.org/officeDocument/2006/customXml" ds:itemID="{C92AD74F-BF00-46B2-860E-89A7AEC16F2D}"/>
</file>

<file path=customXml/itemProps4.xml><?xml version="1.0" encoding="utf-8"?>
<ds:datastoreItem xmlns:ds="http://schemas.openxmlformats.org/officeDocument/2006/customXml" ds:itemID="{F4900CBB-7A04-4172-A964-20FDA282FD9B}"/>
</file>

<file path=customXml/itemProps5.xml><?xml version="1.0" encoding="utf-8"?>
<ds:datastoreItem xmlns:ds="http://schemas.openxmlformats.org/officeDocument/2006/customXml" ds:itemID="{EE9AE658-16AD-4A91-815A-45218330E2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7903</Words>
  <Characters>46630</Characters>
  <Application>Microsoft Office Word</Application>
  <DocSecurity>0</DocSecurity>
  <Lines>388</Lines>
  <Paragraphs>108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Nejvyšší kontrolní úřad</Company>
  <LinksUpToDate>false</LinksUpToDate>
  <CharactersWithSpaces>54425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12/18</dc:title>
  <dc:creator>HLUSICKOVA</dc:creator>
  <cp:lastModifiedBy>POKORNÁ Jana</cp:lastModifiedBy>
  <cp:revision>7</cp:revision>
  <cp:lastPrinted>2013-07-01T07:30:00Z</cp:lastPrinted>
  <dcterms:created xsi:type="dcterms:W3CDTF">2013-07-01T07:22:00Z</dcterms:created>
  <dcterms:modified xsi:type="dcterms:W3CDTF">2013-07-01T07:56:00Z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08/14-30/318/08</vt:lpwstr>
  </property>
  <property fmtid="{D5CDD505-2E9C-101B-9397-08002B2CF9AE}" pid="3" name="SZ_Spis_Pisemnost">
    <vt:lpwstr>08/14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*B000054401*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08-12715</vt:lpwstr>
  </property>
  <property fmtid="{D5CDD505-2E9C-101B-9397-08002B2CF9AE}" pid="9" name="Odkaz">
    <vt:lpwstr>odkaz</vt:lpwstr>
  </property>
  <property fmtid="{D5CDD505-2E9C-101B-9397-08002B2CF9AE}" pid="10" name="SkartacniZnakLhuta_PisemnostZnak">
    <vt:lpwstr>/0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</Properties>
</file>