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AF9" w14:textId="77777777" w:rsidR="00E47DAC" w:rsidRPr="00734C2E" w:rsidRDefault="007436EF" w:rsidP="0001442A">
      <w:bookmarkStart w:id="0" w:name="_GoBack"/>
      <w:bookmarkEnd w:id="0"/>
      <w:r>
        <w:rPr>
          <w:noProof/>
        </w:rPr>
        <w:drawing>
          <wp:anchor distT="0" distB="0" distL="114300" distR="114300" simplePos="0" relativeHeight="251657728" behindDoc="0" locked="0" layoutInCell="1" allowOverlap="1" wp14:anchorId="3F25ACD0" wp14:editId="22921FF9">
            <wp:simplePos x="0" y="0"/>
            <wp:positionH relativeFrom="column">
              <wp:align>center</wp:align>
            </wp:positionH>
            <wp:positionV relativeFrom="paragraph">
              <wp:posOffset>-162560</wp:posOffset>
            </wp:positionV>
            <wp:extent cx="791210" cy="559435"/>
            <wp:effectExtent l="0" t="0" r="8890" b="0"/>
            <wp:wrapSquare wrapText="bothSides"/>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pic:spPr>
                </pic:pic>
              </a:graphicData>
            </a:graphic>
            <wp14:sizeRelH relativeFrom="page">
              <wp14:pctWidth>0</wp14:pctWidth>
            </wp14:sizeRelH>
            <wp14:sizeRelV relativeFrom="page">
              <wp14:pctHeight>0</wp14:pctHeight>
            </wp14:sizeRelV>
          </wp:anchor>
        </w:drawing>
      </w:r>
    </w:p>
    <w:p w14:paraId="3F25AAFA" w14:textId="77777777" w:rsidR="00E47DAC" w:rsidRPr="00734C2E" w:rsidRDefault="00E47DAC" w:rsidP="0001442A"/>
    <w:p w14:paraId="3F25AAFB" w14:textId="77777777" w:rsidR="00E47DAC" w:rsidRPr="00734C2E" w:rsidRDefault="00E47DAC" w:rsidP="0001442A"/>
    <w:p w14:paraId="3F25AAFC" w14:textId="77777777" w:rsidR="00E47DAC" w:rsidRPr="00D007E2" w:rsidRDefault="00E47DAC" w:rsidP="0001442A">
      <w:pPr>
        <w:pStyle w:val="Nadpis1"/>
        <w:spacing w:after="0"/>
        <w:jc w:val="center"/>
        <w:rPr>
          <w:szCs w:val="28"/>
        </w:rPr>
      </w:pPr>
      <w:r w:rsidRPr="00D007E2">
        <w:rPr>
          <w:szCs w:val="28"/>
        </w:rPr>
        <w:t>Kontrolní závěr z kontrolní akce</w:t>
      </w:r>
    </w:p>
    <w:p w14:paraId="3F25AAFD" w14:textId="77777777" w:rsidR="007C5432" w:rsidRPr="00D007E2" w:rsidRDefault="007C5432" w:rsidP="003B2700">
      <w:pPr>
        <w:jc w:val="center"/>
        <w:rPr>
          <w:sz w:val="28"/>
          <w:szCs w:val="28"/>
        </w:rPr>
      </w:pPr>
    </w:p>
    <w:p w14:paraId="3F25AAFE" w14:textId="77777777" w:rsidR="00E47DAC" w:rsidRPr="00D007E2" w:rsidRDefault="004379AD" w:rsidP="0001442A">
      <w:pPr>
        <w:ind w:right="68"/>
        <w:jc w:val="center"/>
        <w:rPr>
          <w:rFonts w:cs="Arial"/>
          <w:b/>
          <w:bCs/>
          <w:sz w:val="28"/>
          <w:szCs w:val="28"/>
        </w:rPr>
      </w:pPr>
      <w:r w:rsidRPr="00D007E2">
        <w:rPr>
          <w:rFonts w:cs="Arial"/>
          <w:b/>
          <w:bCs/>
          <w:sz w:val="28"/>
          <w:szCs w:val="28"/>
        </w:rPr>
        <w:t>1</w:t>
      </w:r>
      <w:r w:rsidR="00CB570C" w:rsidRPr="00D007E2">
        <w:rPr>
          <w:rFonts w:cs="Arial"/>
          <w:b/>
          <w:bCs/>
          <w:sz w:val="28"/>
          <w:szCs w:val="28"/>
        </w:rPr>
        <w:t>2</w:t>
      </w:r>
      <w:r w:rsidR="00553974" w:rsidRPr="00D007E2">
        <w:rPr>
          <w:rFonts w:cs="Arial"/>
          <w:b/>
          <w:bCs/>
          <w:sz w:val="28"/>
          <w:szCs w:val="28"/>
        </w:rPr>
        <w:t>/</w:t>
      </w:r>
      <w:r w:rsidR="00CB570C" w:rsidRPr="00D007E2">
        <w:rPr>
          <w:rFonts w:cs="Arial"/>
          <w:b/>
          <w:bCs/>
          <w:sz w:val="28"/>
          <w:szCs w:val="28"/>
        </w:rPr>
        <w:t>08</w:t>
      </w:r>
    </w:p>
    <w:p w14:paraId="3F25AAFF" w14:textId="77777777" w:rsidR="007C5432" w:rsidRPr="003B2700" w:rsidRDefault="007C5432" w:rsidP="0001442A">
      <w:pPr>
        <w:ind w:right="68"/>
        <w:jc w:val="center"/>
        <w:rPr>
          <w:rFonts w:cs="Arial"/>
          <w:b/>
          <w:bCs/>
          <w:sz w:val="28"/>
          <w:szCs w:val="28"/>
        </w:rPr>
      </w:pPr>
    </w:p>
    <w:p w14:paraId="3F25AB01" w14:textId="4B68EEA2" w:rsidR="00E47DAC" w:rsidRPr="00D007E2" w:rsidRDefault="0030360C" w:rsidP="0001442A">
      <w:pPr>
        <w:jc w:val="center"/>
        <w:rPr>
          <w:rFonts w:cs="Arial"/>
          <w:sz w:val="28"/>
          <w:szCs w:val="28"/>
        </w:rPr>
      </w:pPr>
      <w:r w:rsidRPr="00D007E2">
        <w:rPr>
          <w:rFonts w:cs="Arial"/>
          <w:b/>
          <w:noProof/>
          <w:sz w:val="28"/>
          <w:szCs w:val="28"/>
        </w:rPr>
        <w:t>Programy průmyslové spolupráce (offsety) jako nástroj ekonomické kompenzace výdajů státu</w:t>
      </w:r>
      <w:r w:rsidR="003B2700">
        <w:rPr>
          <w:rFonts w:cs="Arial"/>
          <w:b/>
          <w:noProof/>
          <w:sz w:val="28"/>
          <w:szCs w:val="28"/>
        </w:rPr>
        <w:t xml:space="preserve"> </w:t>
      </w:r>
      <w:r w:rsidRPr="00D007E2">
        <w:rPr>
          <w:rFonts w:cs="Arial"/>
          <w:b/>
          <w:noProof/>
          <w:sz w:val="28"/>
          <w:szCs w:val="28"/>
        </w:rPr>
        <w:t>v souvislosti s plněním podmínek vybraných veřejných zakázek, včetně správy daní daňových subjektů zúčastněných na předmětných kontrolovaných programech</w:t>
      </w:r>
    </w:p>
    <w:p w14:paraId="3F25AB02" w14:textId="77777777" w:rsidR="00E47DAC" w:rsidRDefault="00E47DAC" w:rsidP="0001442A">
      <w:pPr>
        <w:rPr>
          <w:rFonts w:cs="Arial"/>
          <w:sz w:val="22"/>
          <w:szCs w:val="22"/>
        </w:rPr>
      </w:pPr>
    </w:p>
    <w:p w14:paraId="3F25AB03" w14:textId="77777777" w:rsidR="0001442A" w:rsidRPr="00734C2E" w:rsidRDefault="0001442A" w:rsidP="0001442A">
      <w:pPr>
        <w:rPr>
          <w:rFonts w:cs="Arial"/>
          <w:sz w:val="22"/>
          <w:szCs w:val="22"/>
        </w:rPr>
      </w:pPr>
    </w:p>
    <w:p w14:paraId="3F25AB04" w14:textId="77777777" w:rsidR="00E47DAC" w:rsidRDefault="00E47DAC" w:rsidP="0001442A">
      <w:pPr>
        <w:pStyle w:val="Zkladn"/>
        <w:spacing w:before="0"/>
        <w:rPr>
          <w:rFonts w:cs="Arial"/>
          <w:sz w:val="22"/>
          <w:szCs w:val="22"/>
        </w:rPr>
      </w:pPr>
      <w:r w:rsidRPr="00B94012">
        <w:rPr>
          <w:rFonts w:cs="Arial"/>
          <w:sz w:val="22"/>
          <w:szCs w:val="22"/>
        </w:rPr>
        <w:t>Kontrolní akce byla zařazena do plánu kontrolní činnosti Nejvyššího kontrolního úřadu (dále jen „NKÚ“) na rok 20</w:t>
      </w:r>
      <w:r w:rsidR="004379AD" w:rsidRPr="00B94012">
        <w:rPr>
          <w:rFonts w:cs="Arial"/>
          <w:sz w:val="22"/>
          <w:szCs w:val="22"/>
        </w:rPr>
        <w:t>1</w:t>
      </w:r>
      <w:r w:rsidR="0030360C" w:rsidRPr="00B94012">
        <w:rPr>
          <w:rFonts w:cs="Arial"/>
          <w:sz w:val="22"/>
          <w:szCs w:val="22"/>
        </w:rPr>
        <w:t>2</w:t>
      </w:r>
      <w:r w:rsidRPr="00B94012">
        <w:rPr>
          <w:rFonts w:cs="Arial"/>
          <w:sz w:val="22"/>
          <w:szCs w:val="22"/>
        </w:rPr>
        <w:t xml:space="preserve"> pod číslem </w:t>
      </w:r>
      <w:r w:rsidR="004379AD" w:rsidRPr="00B94012">
        <w:rPr>
          <w:rFonts w:cs="Arial"/>
          <w:sz w:val="22"/>
          <w:szCs w:val="22"/>
        </w:rPr>
        <w:t>1</w:t>
      </w:r>
      <w:r w:rsidR="0030360C" w:rsidRPr="00B94012">
        <w:rPr>
          <w:rFonts w:cs="Arial"/>
          <w:sz w:val="22"/>
          <w:szCs w:val="22"/>
        </w:rPr>
        <w:t>2</w:t>
      </w:r>
      <w:r w:rsidRPr="00B94012">
        <w:rPr>
          <w:rFonts w:cs="Arial"/>
          <w:sz w:val="22"/>
          <w:szCs w:val="22"/>
        </w:rPr>
        <w:t>/</w:t>
      </w:r>
      <w:r w:rsidR="0030360C" w:rsidRPr="00B94012">
        <w:rPr>
          <w:rFonts w:cs="Arial"/>
          <w:sz w:val="22"/>
          <w:szCs w:val="22"/>
        </w:rPr>
        <w:t>08</w:t>
      </w:r>
      <w:r w:rsidRPr="00B94012">
        <w:rPr>
          <w:rFonts w:cs="Arial"/>
          <w:sz w:val="22"/>
          <w:szCs w:val="22"/>
        </w:rPr>
        <w:t xml:space="preserve">. Kontrolní akci řídil a kontrolní závěr vypracoval člen NKÚ Ing. </w:t>
      </w:r>
      <w:r w:rsidR="0030360C" w:rsidRPr="00B94012">
        <w:rPr>
          <w:rFonts w:cs="Arial"/>
          <w:sz w:val="22"/>
          <w:szCs w:val="22"/>
        </w:rPr>
        <w:t>Karel Sehoř</w:t>
      </w:r>
      <w:r w:rsidRPr="00B94012">
        <w:rPr>
          <w:rFonts w:cs="Arial"/>
          <w:sz w:val="22"/>
          <w:szCs w:val="22"/>
        </w:rPr>
        <w:t xml:space="preserve">. </w:t>
      </w:r>
    </w:p>
    <w:p w14:paraId="647CB32A" w14:textId="77777777" w:rsidR="007526FD" w:rsidRPr="00B94012" w:rsidRDefault="007526FD" w:rsidP="0001442A">
      <w:pPr>
        <w:pStyle w:val="Zkladn"/>
        <w:spacing w:before="0"/>
        <w:rPr>
          <w:rFonts w:cs="Arial"/>
          <w:sz w:val="22"/>
          <w:szCs w:val="22"/>
        </w:rPr>
      </w:pPr>
    </w:p>
    <w:p w14:paraId="3F25AB05" w14:textId="77777777" w:rsidR="00993F45" w:rsidRDefault="00E47DAC" w:rsidP="00D007E2">
      <w:pPr>
        <w:jc w:val="both"/>
        <w:rPr>
          <w:rFonts w:eastAsia="Calibri" w:cs="Arial"/>
          <w:sz w:val="22"/>
          <w:szCs w:val="22"/>
        </w:rPr>
      </w:pPr>
      <w:r w:rsidRPr="00B94012">
        <w:rPr>
          <w:rFonts w:cs="Arial"/>
          <w:sz w:val="22"/>
          <w:szCs w:val="22"/>
        </w:rPr>
        <w:t>Cílem kontroly bylo prověřit</w:t>
      </w:r>
      <w:r w:rsidR="00DD1F0E" w:rsidRPr="00B94012">
        <w:rPr>
          <w:rFonts w:cs="Arial"/>
          <w:sz w:val="22"/>
          <w:szCs w:val="22"/>
        </w:rPr>
        <w:t xml:space="preserve"> </w:t>
      </w:r>
      <w:r w:rsidR="00993F45" w:rsidRPr="00B94012">
        <w:rPr>
          <w:rFonts w:eastAsia="Calibri" w:cs="Arial"/>
          <w:sz w:val="22"/>
          <w:szCs w:val="22"/>
        </w:rPr>
        <w:t>plnění podmínek offsetů a ekonomické výsledky vybraných offsetových transakcí</w:t>
      </w:r>
      <w:r w:rsidR="00F7611E">
        <w:rPr>
          <w:rFonts w:eastAsia="Calibri" w:cs="Arial"/>
          <w:sz w:val="22"/>
          <w:szCs w:val="22"/>
        </w:rPr>
        <w:t>.</w:t>
      </w:r>
    </w:p>
    <w:p w14:paraId="1EF23431" w14:textId="77777777" w:rsidR="007526FD" w:rsidRPr="00B94012" w:rsidRDefault="007526FD" w:rsidP="00D007E2">
      <w:pPr>
        <w:jc w:val="both"/>
        <w:rPr>
          <w:rFonts w:eastAsia="Calibri" w:cs="Arial"/>
          <w:sz w:val="22"/>
          <w:szCs w:val="22"/>
        </w:rPr>
      </w:pPr>
    </w:p>
    <w:p w14:paraId="3F25AB06" w14:textId="77777777" w:rsidR="00DD1F0E" w:rsidRPr="00B94012" w:rsidRDefault="00637B66" w:rsidP="00D007E2">
      <w:pPr>
        <w:pStyle w:val="Zkladntextodsazen"/>
        <w:spacing w:after="0"/>
        <w:ind w:left="0"/>
        <w:jc w:val="both"/>
        <w:rPr>
          <w:rFonts w:cs="Arial"/>
          <w:sz w:val="22"/>
          <w:szCs w:val="22"/>
        </w:rPr>
      </w:pPr>
      <w:r w:rsidRPr="00B94012">
        <w:rPr>
          <w:rFonts w:cs="Arial"/>
          <w:sz w:val="22"/>
          <w:szCs w:val="22"/>
        </w:rPr>
        <w:t xml:space="preserve">Kontrolovaným </w:t>
      </w:r>
      <w:r w:rsidR="00E47DAC" w:rsidRPr="00B94012">
        <w:rPr>
          <w:rFonts w:cs="Arial"/>
          <w:sz w:val="22"/>
          <w:szCs w:val="22"/>
        </w:rPr>
        <w:t>období</w:t>
      </w:r>
      <w:r w:rsidRPr="00B94012">
        <w:rPr>
          <w:rFonts w:cs="Arial"/>
          <w:sz w:val="22"/>
          <w:szCs w:val="22"/>
        </w:rPr>
        <w:t xml:space="preserve">m </w:t>
      </w:r>
      <w:r w:rsidR="000075AF" w:rsidRPr="00B94012">
        <w:rPr>
          <w:rFonts w:cs="Arial"/>
          <w:sz w:val="22"/>
          <w:szCs w:val="22"/>
        </w:rPr>
        <w:t xml:space="preserve">byly roky </w:t>
      </w:r>
      <w:r w:rsidR="000075AF" w:rsidRPr="00B94012">
        <w:rPr>
          <w:rFonts w:cs="Arial"/>
          <w:bCs/>
          <w:sz w:val="22"/>
          <w:szCs w:val="22"/>
        </w:rPr>
        <w:t>1999–2011, v případě věcných souvislostí i období předcházející a období do ukončení kontroly.</w:t>
      </w:r>
      <w:r w:rsidR="00DD1F0E" w:rsidRPr="00B94012">
        <w:rPr>
          <w:rFonts w:cs="Arial"/>
          <w:sz w:val="22"/>
          <w:szCs w:val="22"/>
        </w:rPr>
        <w:t xml:space="preserve"> </w:t>
      </w:r>
      <w:r w:rsidR="00E47DAC" w:rsidRPr="00B94012">
        <w:rPr>
          <w:rFonts w:cs="Arial"/>
          <w:sz w:val="22"/>
          <w:szCs w:val="22"/>
        </w:rPr>
        <w:t>Kontrola byla prov</w:t>
      </w:r>
      <w:r w:rsidR="005C2A50" w:rsidRPr="00B94012">
        <w:rPr>
          <w:rFonts w:cs="Arial"/>
          <w:sz w:val="22"/>
          <w:szCs w:val="22"/>
        </w:rPr>
        <w:t>á</w:t>
      </w:r>
      <w:r w:rsidR="00E47DAC" w:rsidRPr="00B94012">
        <w:rPr>
          <w:rFonts w:cs="Arial"/>
          <w:sz w:val="22"/>
          <w:szCs w:val="22"/>
        </w:rPr>
        <w:t>d</w:t>
      </w:r>
      <w:r w:rsidR="005C2A50" w:rsidRPr="00B94012">
        <w:rPr>
          <w:rFonts w:cs="Arial"/>
          <w:sz w:val="22"/>
          <w:szCs w:val="22"/>
        </w:rPr>
        <w:t>ě</w:t>
      </w:r>
      <w:r w:rsidR="00E47DAC" w:rsidRPr="00B94012">
        <w:rPr>
          <w:rFonts w:cs="Arial"/>
          <w:sz w:val="22"/>
          <w:szCs w:val="22"/>
        </w:rPr>
        <w:t xml:space="preserve">na od </w:t>
      </w:r>
      <w:r w:rsidR="00DB4ED4">
        <w:rPr>
          <w:rFonts w:cs="Arial"/>
          <w:sz w:val="22"/>
          <w:szCs w:val="22"/>
        </w:rPr>
        <w:t>března</w:t>
      </w:r>
      <w:r w:rsidR="00DD1F0E" w:rsidRPr="00B94012">
        <w:rPr>
          <w:rFonts w:cs="Arial"/>
          <w:sz w:val="22"/>
          <w:szCs w:val="22"/>
        </w:rPr>
        <w:t xml:space="preserve"> </w:t>
      </w:r>
      <w:r w:rsidR="000B5AC3" w:rsidRPr="00B94012">
        <w:rPr>
          <w:rFonts w:cs="Arial"/>
          <w:sz w:val="22"/>
          <w:szCs w:val="22"/>
        </w:rPr>
        <w:t>201</w:t>
      </w:r>
      <w:r w:rsidR="000B5AC3">
        <w:rPr>
          <w:rFonts w:cs="Arial"/>
          <w:sz w:val="22"/>
          <w:szCs w:val="22"/>
        </w:rPr>
        <w:t>2</w:t>
      </w:r>
      <w:r w:rsidR="000B5AC3" w:rsidRPr="00B94012">
        <w:rPr>
          <w:rFonts w:cs="Arial"/>
          <w:sz w:val="22"/>
          <w:szCs w:val="22"/>
        </w:rPr>
        <w:t xml:space="preserve"> </w:t>
      </w:r>
      <w:r w:rsidR="00E47DAC" w:rsidRPr="00B94012">
        <w:rPr>
          <w:rFonts w:cs="Arial"/>
          <w:sz w:val="22"/>
          <w:szCs w:val="22"/>
        </w:rPr>
        <w:t>do</w:t>
      </w:r>
      <w:r w:rsidR="00300835">
        <w:rPr>
          <w:rFonts w:cs="Arial"/>
          <w:sz w:val="22"/>
          <w:szCs w:val="22"/>
        </w:rPr>
        <w:t> </w:t>
      </w:r>
      <w:r w:rsidR="00965379">
        <w:rPr>
          <w:rFonts w:cs="Arial"/>
          <w:sz w:val="22"/>
          <w:szCs w:val="22"/>
        </w:rPr>
        <w:t xml:space="preserve">října </w:t>
      </w:r>
      <w:r w:rsidR="00E47DAC" w:rsidRPr="00B94012">
        <w:rPr>
          <w:rFonts w:cs="Arial"/>
          <w:sz w:val="22"/>
          <w:szCs w:val="22"/>
        </w:rPr>
        <w:t>20</w:t>
      </w:r>
      <w:r w:rsidR="00B27B29" w:rsidRPr="00B94012">
        <w:rPr>
          <w:rFonts w:cs="Arial"/>
          <w:sz w:val="22"/>
          <w:szCs w:val="22"/>
        </w:rPr>
        <w:t>1</w:t>
      </w:r>
      <w:r w:rsidR="00E04842" w:rsidRPr="00B94012">
        <w:rPr>
          <w:rFonts w:cs="Arial"/>
          <w:sz w:val="22"/>
          <w:szCs w:val="22"/>
        </w:rPr>
        <w:t>2</w:t>
      </w:r>
      <w:r w:rsidR="00DD1F0E" w:rsidRPr="00B94012">
        <w:rPr>
          <w:rFonts w:cs="Arial"/>
          <w:sz w:val="22"/>
          <w:szCs w:val="22"/>
        </w:rPr>
        <w:t>.</w:t>
      </w:r>
    </w:p>
    <w:p w14:paraId="3F25AB07" w14:textId="77777777" w:rsidR="00DD1F0E" w:rsidRPr="00B94012" w:rsidRDefault="00DD1F0E" w:rsidP="0001442A">
      <w:pPr>
        <w:pStyle w:val="Zkladn"/>
        <w:spacing w:before="0"/>
        <w:rPr>
          <w:rFonts w:cs="Arial"/>
          <w:sz w:val="22"/>
          <w:szCs w:val="22"/>
        </w:rPr>
      </w:pPr>
    </w:p>
    <w:p w14:paraId="3F25AB08" w14:textId="77777777" w:rsidR="00E47DAC" w:rsidRPr="00B94012" w:rsidRDefault="00637B66" w:rsidP="0001442A">
      <w:pPr>
        <w:pStyle w:val="Zkladn"/>
        <w:spacing w:before="0"/>
        <w:rPr>
          <w:rFonts w:cs="Arial"/>
          <w:sz w:val="22"/>
          <w:szCs w:val="22"/>
        </w:rPr>
      </w:pPr>
      <w:r w:rsidRPr="00B94012">
        <w:rPr>
          <w:rFonts w:cs="Arial"/>
          <w:sz w:val="22"/>
          <w:szCs w:val="22"/>
        </w:rPr>
        <w:t>Kontrolovan</w:t>
      </w:r>
      <w:r w:rsidR="00710E26" w:rsidRPr="00B94012">
        <w:rPr>
          <w:rFonts w:cs="Arial"/>
          <w:sz w:val="22"/>
          <w:szCs w:val="22"/>
        </w:rPr>
        <w:t>é</w:t>
      </w:r>
      <w:r w:rsidRPr="00B94012">
        <w:rPr>
          <w:rFonts w:cs="Arial"/>
          <w:sz w:val="22"/>
          <w:szCs w:val="22"/>
        </w:rPr>
        <w:t xml:space="preserve"> osob</w:t>
      </w:r>
      <w:r w:rsidR="00710E26" w:rsidRPr="00B94012">
        <w:rPr>
          <w:rFonts w:cs="Arial"/>
          <w:sz w:val="22"/>
          <w:szCs w:val="22"/>
        </w:rPr>
        <w:t>y</w:t>
      </w:r>
      <w:r w:rsidR="00DD1F0E" w:rsidRPr="00B94012">
        <w:rPr>
          <w:rFonts w:cs="Arial"/>
          <w:sz w:val="22"/>
          <w:szCs w:val="22"/>
        </w:rPr>
        <w:t>:</w:t>
      </w:r>
    </w:p>
    <w:p w14:paraId="3F25AB09" w14:textId="77777777" w:rsidR="0001442A" w:rsidRDefault="006C50D6" w:rsidP="00A77368">
      <w:pPr>
        <w:rPr>
          <w:rFonts w:cs="Arial"/>
          <w:sz w:val="22"/>
          <w:szCs w:val="22"/>
        </w:rPr>
      </w:pPr>
      <w:r w:rsidRPr="00B94012">
        <w:rPr>
          <w:rFonts w:cs="Arial"/>
          <w:sz w:val="22"/>
          <w:szCs w:val="22"/>
        </w:rPr>
        <w:t>Ministerstvo průmyslu a obchodu (dále jen „MPO“)</w:t>
      </w:r>
      <w:r w:rsidR="00A77368">
        <w:rPr>
          <w:rFonts w:cs="Arial"/>
          <w:sz w:val="22"/>
          <w:szCs w:val="22"/>
        </w:rPr>
        <w:t>,</w:t>
      </w:r>
    </w:p>
    <w:p w14:paraId="3F25AB0A" w14:textId="77777777" w:rsidR="00710E26" w:rsidRPr="00B94012" w:rsidRDefault="00710E26" w:rsidP="0001442A">
      <w:pPr>
        <w:rPr>
          <w:rFonts w:cs="Arial"/>
          <w:sz w:val="22"/>
          <w:szCs w:val="22"/>
        </w:rPr>
      </w:pPr>
      <w:r w:rsidRPr="00B94012">
        <w:rPr>
          <w:rFonts w:cs="Arial"/>
          <w:sz w:val="22"/>
          <w:szCs w:val="22"/>
        </w:rPr>
        <w:t>Ministerstvo obrany (dále jen „MO“)</w:t>
      </w:r>
      <w:r w:rsidR="00A77368">
        <w:rPr>
          <w:rFonts w:cs="Arial"/>
          <w:sz w:val="22"/>
          <w:szCs w:val="22"/>
        </w:rPr>
        <w:t>,</w:t>
      </w:r>
      <w:r w:rsidRPr="00B94012">
        <w:rPr>
          <w:rFonts w:cs="Arial"/>
          <w:sz w:val="22"/>
          <w:szCs w:val="22"/>
        </w:rPr>
        <w:t xml:space="preserve"> </w:t>
      </w:r>
    </w:p>
    <w:p w14:paraId="3F25AB0B" w14:textId="77777777" w:rsidR="00710E26" w:rsidRPr="00B94012" w:rsidRDefault="00710E26" w:rsidP="0001442A">
      <w:pPr>
        <w:rPr>
          <w:rFonts w:cs="Arial"/>
          <w:sz w:val="22"/>
          <w:szCs w:val="22"/>
        </w:rPr>
      </w:pPr>
      <w:r w:rsidRPr="00B94012">
        <w:rPr>
          <w:rFonts w:cs="Arial"/>
          <w:sz w:val="22"/>
          <w:szCs w:val="22"/>
        </w:rPr>
        <w:t>Ministerstvo vnitra (dále jen „MV“)</w:t>
      </w:r>
      <w:r w:rsidR="00A77368">
        <w:rPr>
          <w:rFonts w:cs="Arial"/>
          <w:sz w:val="22"/>
          <w:szCs w:val="22"/>
        </w:rPr>
        <w:t>,</w:t>
      </w:r>
    </w:p>
    <w:p w14:paraId="3F25AB0C" w14:textId="77777777" w:rsidR="00710E26" w:rsidRPr="00B94012" w:rsidRDefault="00710E26" w:rsidP="0001442A">
      <w:pPr>
        <w:rPr>
          <w:rFonts w:cs="Arial"/>
          <w:sz w:val="22"/>
          <w:szCs w:val="22"/>
        </w:rPr>
      </w:pPr>
      <w:r w:rsidRPr="00B94012">
        <w:rPr>
          <w:rFonts w:cs="Arial"/>
          <w:sz w:val="22"/>
          <w:szCs w:val="22"/>
        </w:rPr>
        <w:t>Generální finanční ředitelství (dále jen „GFŘ“)</w:t>
      </w:r>
      <w:r w:rsidR="00A77368">
        <w:rPr>
          <w:rFonts w:cs="Arial"/>
          <w:sz w:val="22"/>
          <w:szCs w:val="22"/>
        </w:rPr>
        <w:t>,</w:t>
      </w:r>
    </w:p>
    <w:p w14:paraId="3F25AB0D" w14:textId="77777777" w:rsidR="00710E26" w:rsidRPr="00B94012" w:rsidRDefault="00710E26" w:rsidP="0001442A">
      <w:pPr>
        <w:jc w:val="both"/>
        <w:rPr>
          <w:rFonts w:cs="Arial"/>
          <w:sz w:val="22"/>
          <w:szCs w:val="22"/>
        </w:rPr>
      </w:pPr>
      <w:r w:rsidRPr="00B94012">
        <w:rPr>
          <w:rFonts w:cs="Arial"/>
          <w:sz w:val="22"/>
          <w:szCs w:val="22"/>
        </w:rPr>
        <w:t>Generální ředitelství cel (dále jen „GŘC“)</w:t>
      </w:r>
      <w:r w:rsidR="00A77368">
        <w:rPr>
          <w:rFonts w:cs="Arial"/>
          <w:sz w:val="22"/>
          <w:szCs w:val="22"/>
        </w:rPr>
        <w:t>.</w:t>
      </w:r>
    </w:p>
    <w:p w14:paraId="3F25AB0E" w14:textId="77777777" w:rsidR="00710E26" w:rsidRPr="00B94012" w:rsidRDefault="00710E26" w:rsidP="0001442A">
      <w:pPr>
        <w:pStyle w:val="Zkladn"/>
        <w:spacing w:before="0"/>
        <w:rPr>
          <w:rFonts w:cs="Arial"/>
          <w:sz w:val="22"/>
          <w:szCs w:val="22"/>
        </w:rPr>
      </w:pPr>
    </w:p>
    <w:p w14:paraId="3F25AB0F" w14:textId="77777777" w:rsidR="00E47DAC" w:rsidRPr="00B94012" w:rsidRDefault="00E47DAC" w:rsidP="0001442A">
      <w:pPr>
        <w:autoSpaceDE w:val="0"/>
        <w:autoSpaceDN w:val="0"/>
        <w:adjustRightInd w:val="0"/>
        <w:jc w:val="both"/>
        <w:rPr>
          <w:rFonts w:cs="Arial"/>
          <w:sz w:val="22"/>
          <w:szCs w:val="22"/>
        </w:rPr>
      </w:pPr>
      <w:r w:rsidRPr="00B94012">
        <w:rPr>
          <w:rFonts w:cs="Arial"/>
          <w:sz w:val="22"/>
          <w:szCs w:val="22"/>
        </w:rPr>
        <w:t>Námitky proti kontroln</w:t>
      </w:r>
      <w:r w:rsidR="00DD1F0E" w:rsidRPr="00B94012">
        <w:rPr>
          <w:rFonts w:cs="Arial"/>
          <w:sz w:val="22"/>
          <w:szCs w:val="22"/>
        </w:rPr>
        <w:t>ímu protokolu, které podaly</w:t>
      </w:r>
      <w:r w:rsidR="00BB6DBE" w:rsidRPr="00B94012">
        <w:rPr>
          <w:rFonts w:cs="Arial"/>
          <w:sz w:val="22"/>
          <w:szCs w:val="22"/>
        </w:rPr>
        <w:t xml:space="preserve"> </w:t>
      </w:r>
      <w:r w:rsidR="006C50D6" w:rsidRPr="00B94012">
        <w:rPr>
          <w:rFonts w:cs="Arial"/>
          <w:sz w:val="22"/>
          <w:szCs w:val="22"/>
        </w:rPr>
        <w:t>MPO</w:t>
      </w:r>
      <w:r w:rsidR="00BD2316" w:rsidRPr="00B94012">
        <w:rPr>
          <w:rFonts w:cs="Arial"/>
          <w:sz w:val="22"/>
          <w:szCs w:val="22"/>
        </w:rPr>
        <w:t>,</w:t>
      </w:r>
      <w:r w:rsidR="006C50D6" w:rsidRPr="00B94012">
        <w:rPr>
          <w:rFonts w:cs="Arial"/>
          <w:sz w:val="22"/>
          <w:szCs w:val="22"/>
        </w:rPr>
        <w:t xml:space="preserve"> MO a MV</w:t>
      </w:r>
      <w:r w:rsidR="00A77368">
        <w:rPr>
          <w:rFonts w:cs="Arial"/>
          <w:sz w:val="22"/>
          <w:szCs w:val="22"/>
        </w:rPr>
        <w:t>,</w:t>
      </w:r>
      <w:r w:rsidR="00E750A5" w:rsidRPr="00B94012">
        <w:rPr>
          <w:rFonts w:cs="Arial"/>
          <w:sz w:val="22"/>
          <w:szCs w:val="22"/>
        </w:rPr>
        <w:t xml:space="preserve"> </w:t>
      </w:r>
      <w:r w:rsidR="00DD1F0E" w:rsidRPr="00B94012">
        <w:rPr>
          <w:rFonts w:cs="Arial"/>
          <w:sz w:val="22"/>
          <w:szCs w:val="22"/>
        </w:rPr>
        <w:t>byly</w:t>
      </w:r>
      <w:r w:rsidR="00C151B7" w:rsidRPr="00B94012">
        <w:rPr>
          <w:rFonts w:cs="Arial"/>
          <w:sz w:val="22"/>
          <w:szCs w:val="22"/>
        </w:rPr>
        <w:t xml:space="preserve"> vypořádány vedoucími skupi</w:t>
      </w:r>
      <w:r w:rsidR="000706B4" w:rsidRPr="00B94012">
        <w:rPr>
          <w:rFonts w:cs="Arial"/>
          <w:sz w:val="22"/>
          <w:szCs w:val="22"/>
        </w:rPr>
        <w:t>n kontrolujících rozhodnutími o</w:t>
      </w:r>
      <w:r w:rsidR="009B5435" w:rsidRPr="00B94012">
        <w:rPr>
          <w:rFonts w:cs="Arial"/>
          <w:sz w:val="22"/>
          <w:szCs w:val="22"/>
        </w:rPr>
        <w:t> </w:t>
      </w:r>
      <w:r w:rsidR="00C151B7" w:rsidRPr="00B94012">
        <w:rPr>
          <w:rFonts w:cs="Arial"/>
          <w:sz w:val="22"/>
          <w:szCs w:val="22"/>
        </w:rPr>
        <w:t>námitkách.</w:t>
      </w:r>
      <w:r w:rsidR="00042D81" w:rsidRPr="00B94012">
        <w:rPr>
          <w:rFonts w:cs="Arial"/>
          <w:sz w:val="22"/>
          <w:szCs w:val="22"/>
        </w:rPr>
        <w:t xml:space="preserve"> </w:t>
      </w:r>
      <w:r w:rsidR="0068575C" w:rsidRPr="0068575C">
        <w:rPr>
          <w:rFonts w:cs="Arial"/>
          <w:sz w:val="22"/>
          <w:szCs w:val="22"/>
        </w:rPr>
        <w:t>Proti rozhodnutí o námitkách podalo M</w:t>
      </w:r>
      <w:r w:rsidR="0068575C">
        <w:rPr>
          <w:rFonts w:cs="Arial"/>
          <w:sz w:val="22"/>
          <w:szCs w:val="22"/>
        </w:rPr>
        <w:t>V</w:t>
      </w:r>
      <w:r w:rsidR="0068575C" w:rsidRPr="0068575C">
        <w:rPr>
          <w:rFonts w:cs="Arial"/>
          <w:sz w:val="22"/>
          <w:szCs w:val="22"/>
        </w:rPr>
        <w:t xml:space="preserve"> odvolání, které </w:t>
      </w:r>
      <w:r w:rsidR="0068575C" w:rsidRPr="00B71862">
        <w:rPr>
          <w:rFonts w:cs="Arial"/>
          <w:sz w:val="22"/>
          <w:szCs w:val="22"/>
        </w:rPr>
        <w:t>bylo vypořádáno</w:t>
      </w:r>
      <w:r w:rsidR="0068575C" w:rsidRPr="0068575C">
        <w:rPr>
          <w:rFonts w:cs="Arial"/>
          <w:sz w:val="22"/>
          <w:szCs w:val="22"/>
        </w:rPr>
        <w:t xml:space="preserve"> usnesením Kolegia NKÚ.</w:t>
      </w:r>
      <w:r w:rsidR="00542554" w:rsidRPr="00B94012">
        <w:rPr>
          <w:rFonts w:cs="Arial"/>
          <w:sz w:val="22"/>
          <w:szCs w:val="22"/>
        </w:rPr>
        <w:t xml:space="preserve"> </w:t>
      </w:r>
    </w:p>
    <w:p w14:paraId="3F25AB10" w14:textId="77777777" w:rsidR="003F75C8" w:rsidRPr="00B94012" w:rsidRDefault="003F75C8" w:rsidP="0001442A">
      <w:pPr>
        <w:ind w:right="70"/>
        <w:jc w:val="both"/>
        <w:rPr>
          <w:rFonts w:cs="Arial"/>
          <w:sz w:val="22"/>
          <w:szCs w:val="22"/>
        </w:rPr>
      </w:pPr>
    </w:p>
    <w:p w14:paraId="3F25AB11" w14:textId="77777777" w:rsidR="00BD2316" w:rsidRPr="00B94012" w:rsidRDefault="00BD2316" w:rsidP="0001442A">
      <w:pPr>
        <w:ind w:right="70"/>
        <w:jc w:val="both"/>
        <w:rPr>
          <w:rFonts w:cs="Arial"/>
          <w:sz w:val="22"/>
          <w:szCs w:val="22"/>
        </w:rPr>
      </w:pPr>
    </w:p>
    <w:p w14:paraId="3F25AB12" w14:textId="17E66439" w:rsidR="00E47DAC" w:rsidRPr="00635A29" w:rsidRDefault="00E47DAC" w:rsidP="0001442A">
      <w:pPr>
        <w:ind w:right="70"/>
        <w:jc w:val="both"/>
        <w:rPr>
          <w:rFonts w:cs="Arial"/>
          <w:sz w:val="22"/>
          <w:szCs w:val="22"/>
        </w:rPr>
      </w:pPr>
      <w:r w:rsidRPr="00635A29">
        <w:rPr>
          <w:rFonts w:cs="Arial"/>
          <w:b/>
          <w:bCs/>
          <w:i/>
          <w:iCs/>
          <w:sz w:val="22"/>
          <w:szCs w:val="22"/>
        </w:rPr>
        <w:t>K o l e g i u m</w:t>
      </w:r>
      <w:r w:rsidRPr="00635A29">
        <w:rPr>
          <w:rFonts w:cs="Arial"/>
          <w:sz w:val="22"/>
          <w:szCs w:val="22"/>
        </w:rPr>
        <w:t xml:space="preserve">   </w:t>
      </w:r>
      <w:r w:rsidRPr="00635A29">
        <w:rPr>
          <w:rFonts w:cs="Arial"/>
          <w:b/>
          <w:bCs/>
          <w:i/>
          <w:iCs/>
          <w:sz w:val="22"/>
          <w:szCs w:val="22"/>
        </w:rPr>
        <w:t>N</w:t>
      </w:r>
      <w:r w:rsidR="008D64F9" w:rsidRPr="00635A29">
        <w:rPr>
          <w:rFonts w:cs="Arial"/>
          <w:b/>
          <w:bCs/>
          <w:i/>
          <w:iCs/>
          <w:sz w:val="22"/>
          <w:szCs w:val="22"/>
        </w:rPr>
        <w:t xml:space="preserve"> </w:t>
      </w:r>
      <w:r w:rsidRPr="00635A29">
        <w:rPr>
          <w:rFonts w:cs="Arial"/>
          <w:b/>
          <w:bCs/>
          <w:i/>
          <w:iCs/>
          <w:sz w:val="22"/>
          <w:szCs w:val="22"/>
        </w:rPr>
        <w:t>K</w:t>
      </w:r>
      <w:r w:rsidR="005E2660" w:rsidRPr="00635A29">
        <w:rPr>
          <w:rFonts w:cs="Arial"/>
          <w:b/>
          <w:bCs/>
          <w:i/>
          <w:iCs/>
          <w:sz w:val="22"/>
          <w:szCs w:val="22"/>
        </w:rPr>
        <w:t xml:space="preserve"> </w:t>
      </w:r>
      <w:r w:rsidRPr="00635A29">
        <w:rPr>
          <w:rFonts w:cs="Arial"/>
          <w:b/>
          <w:bCs/>
          <w:i/>
          <w:iCs/>
          <w:sz w:val="22"/>
          <w:szCs w:val="22"/>
        </w:rPr>
        <w:t>Ú</w:t>
      </w:r>
      <w:r w:rsidR="002313A4" w:rsidRPr="00635A29">
        <w:rPr>
          <w:rFonts w:cs="Arial"/>
          <w:b/>
          <w:bCs/>
          <w:i/>
          <w:iCs/>
          <w:sz w:val="22"/>
          <w:szCs w:val="22"/>
        </w:rPr>
        <w:t xml:space="preserve">  </w:t>
      </w:r>
      <w:r w:rsidR="00F738AA" w:rsidRPr="00635A29">
        <w:rPr>
          <w:rFonts w:cs="Arial"/>
          <w:b/>
          <w:bCs/>
          <w:iCs/>
          <w:sz w:val="22"/>
          <w:szCs w:val="22"/>
        </w:rPr>
        <w:t xml:space="preserve"> </w:t>
      </w:r>
      <w:r w:rsidRPr="00635A29">
        <w:rPr>
          <w:rFonts w:cs="Arial"/>
          <w:sz w:val="22"/>
          <w:szCs w:val="22"/>
        </w:rPr>
        <w:t>na</w:t>
      </w:r>
      <w:r w:rsidR="00F57CC9" w:rsidRPr="00635A29">
        <w:rPr>
          <w:rFonts w:cs="Arial"/>
          <w:sz w:val="22"/>
          <w:szCs w:val="22"/>
        </w:rPr>
        <w:t xml:space="preserve"> </w:t>
      </w:r>
      <w:r w:rsidR="00F34AD3" w:rsidRPr="00635A29">
        <w:rPr>
          <w:rFonts w:cs="Arial"/>
          <w:sz w:val="22"/>
          <w:szCs w:val="22"/>
        </w:rPr>
        <w:t>svém</w:t>
      </w:r>
      <w:r w:rsidR="00635A29">
        <w:rPr>
          <w:rFonts w:cs="Arial"/>
          <w:sz w:val="22"/>
          <w:szCs w:val="22"/>
        </w:rPr>
        <w:t xml:space="preserve"> </w:t>
      </w:r>
      <w:r w:rsidR="005978E4">
        <w:rPr>
          <w:rFonts w:cs="Arial"/>
          <w:sz w:val="22"/>
          <w:szCs w:val="22"/>
        </w:rPr>
        <w:t xml:space="preserve">II. </w:t>
      </w:r>
      <w:r w:rsidRPr="00635A29">
        <w:rPr>
          <w:rFonts w:cs="Arial"/>
          <w:sz w:val="22"/>
          <w:szCs w:val="22"/>
        </w:rPr>
        <w:t>zasedání, konaném dne</w:t>
      </w:r>
      <w:r w:rsidR="009A12AE" w:rsidRPr="00635A29">
        <w:rPr>
          <w:rFonts w:cs="Arial"/>
          <w:sz w:val="22"/>
          <w:szCs w:val="22"/>
        </w:rPr>
        <w:t xml:space="preserve"> </w:t>
      </w:r>
      <w:r w:rsidR="005978E4">
        <w:rPr>
          <w:rFonts w:cs="Arial"/>
          <w:sz w:val="22"/>
          <w:szCs w:val="22"/>
        </w:rPr>
        <w:t xml:space="preserve">28. ledna </w:t>
      </w:r>
      <w:r w:rsidR="00635A29">
        <w:rPr>
          <w:rFonts w:cs="Arial"/>
          <w:sz w:val="22"/>
          <w:szCs w:val="22"/>
        </w:rPr>
        <w:t>2013</w:t>
      </w:r>
      <w:r w:rsidRPr="00635A29">
        <w:rPr>
          <w:rFonts w:cs="Arial"/>
          <w:sz w:val="22"/>
          <w:szCs w:val="22"/>
        </w:rPr>
        <w:t xml:space="preserve">, </w:t>
      </w:r>
    </w:p>
    <w:p w14:paraId="3F25AB13" w14:textId="3D3CB9BA" w:rsidR="00E47DAC" w:rsidRPr="00635A29" w:rsidRDefault="00A427F9" w:rsidP="0001442A">
      <w:pPr>
        <w:ind w:right="68"/>
        <w:jc w:val="both"/>
        <w:rPr>
          <w:rFonts w:cs="Arial"/>
          <w:sz w:val="22"/>
          <w:szCs w:val="22"/>
        </w:rPr>
      </w:pPr>
      <w:r w:rsidRPr="00635A29">
        <w:rPr>
          <w:rFonts w:cs="Arial"/>
          <w:b/>
          <w:bCs/>
          <w:i/>
          <w:iCs/>
          <w:sz w:val="22"/>
          <w:szCs w:val="22"/>
        </w:rPr>
        <w:t>s</w:t>
      </w:r>
      <w:r w:rsidR="003E0C7C" w:rsidRPr="00635A29">
        <w:rPr>
          <w:rFonts w:cs="Arial"/>
          <w:b/>
          <w:bCs/>
          <w:i/>
          <w:iCs/>
          <w:sz w:val="22"/>
          <w:szCs w:val="22"/>
        </w:rPr>
        <w:t xml:space="preserve"> </w:t>
      </w:r>
      <w:r w:rsidRPr="00635A29">
        <w:rPr>
          <w:rFonts w:cs="Arial"/>
          <w:b/>
          <w:bCs/>
          <w:i/>
          <w:iCs/>
          <w:sz w:val="22"/>
          <w:szCs w:val="22"/>
        </w:rPr>
        <w:t>c</w:t>
      </w:r>
      <w:r w:rsidR="003E0C7C" w:rsidRPr="00635A29">
        <w:rPr>
          <w:rFonts w:cs="Arial"/>
          <w:b/>
          <w:bCs/>
          <w:i/>
          <w:iCs/>
          <w:sz w:val="22"/>
          <w:szCs w:val="22"/>
        </w:rPr>
        <w:t xml:space="preserve"> </w:t>
      </w:r>
      <w:r w:rsidRPr="00635A29">
        <w:rPr>
          <w:rFonts w:cs="Arial"/>
          <w:b/>
          <w:bCs/>
          <w:i/>
          <w:iCs/>
          <w:sz w:val="22"/>
          <w:szCs w:val="22"/>
        </w:rPr>
        <w:t>h</w:t>
      </w:r>
      <w:r w:rsidR="003E0C7C" w:rsidRPr="00635A29">
        <w:rPr>
          <w:rFonts w:cs="Arial"/>
          <w:b/>
          <w:bCs/>
          <w:i/>
          <w:iCs/>
          <w:sz w:val="22"/>
          <w:szCs w:val="22"/>
        </w:rPr>
        <w:t xml:space="preserve"> </w:t>
      </w:r>
      <w:r w:rsidRPr="00635A29">
        <w:rPr>
          <w:rFonts w:cs="Arial"/>
          <w:b/>
          <w:bCs/>
          <w:i/>
          <w:iCs/>
          <w:sz w:val="22"/>
          <w:szCs w:val="22"/>
        </w:rPr>
        <w:t>v</w:t>
      </w:r>
      <w:r w:rsidR="003E0C7C" w:rsidRPr="00635A29">
        <w:rPr>
          <w:rFonts w:cs="Arial"/>
          <w:b/>
          <w:bCs/>
          <w:i/>
          <w:iCs/>
          <w:sz w:val="22"/>
          <w:szCs w:val="22"/>
        </w:rPr>
        <w:t xml:space="preserve"> </w:t>
      </w:r>
      <w:r w:rsidRPr="00635A29">
        <w:rPr>
          <w:rFonts w:cs="Arial"/>
          <w:b/>
          <w:bCs/>
          <w:i/>
          <w:iCs/>
          <w:sz w:val="22"/>
          <w:szCs w:val="22"/>
        </w:rPr>
        <w:t>á</w:t>
      </w:r>
      <w:r w:rsidR="003E0C7C" w:rsidRPr="00635A29">
        <w:rPr>
          <w:rFonts w:cs="Arial"/>
          <w:b/>
          <w:bCs/>
          <w:i/>
          <w:iCs/>
          <w:sz w:val="22"/>
          <w:szCs w:val="22"/>
        </w:rPr>
        <w:t xml:space="preserve"> </w:t>
      </w:r>
      <w:r w:rsidRPr="00635A29">
        <w:rPr>
          <w:rFonts w:cs="Arial"/>
          <w:b/>
          <w:bCs/>
          <w:i/>
          <w:iCs/>
          <w:sz w:val="22"/>
          <w:szCs w:val="22"/>
        </w:rPr>
        <w:t>l</w:t>
      </w:r>
      <w:r w:rsidR="003E0C7C" w:rsidRPr="00635A29">
        <w:rPr>
          <w:rFonts w:cs="Arial"/>
          <w:b/>
          <w:bCs/>
          <w:i/>
          <w:iCs/>
          <w:sz w:val="22"/>
          <w:szCs w:val="22"/>
        </w:rPr>
        <w:t xml:space="preserve"> </w:t>
      </w:r>
      <w:r w:rsidRPr="00635A29">
        <w:rPr>
          <w:rFonts w:cs="Arial"/>
          <w:b/>
          <w:bCs/>
          <w:i/>
          <w:iCs/>
          <w:sz w:val="22"/>
          <w:szCs w:val="22"/>
        </w:rPr>
        <w:t>i</w:t>
      </w:r>
      <w:r w:rsidR="003E0C7C" w:rsidRPr="00635A29">
        <w:rPr>
          <w:rFonts w:cs="Arial"/>
          <w:b/>
          <w:bCs/>
          <w:i/>
          <w:iCs/>
          <w:sz w:val="22"/>
          <w:szCs w:val="22"/>
        </w:rPr>
        <w:t xml:space="preserve"> </w:t>
      </w:r>
      <w:r w:rsidRPr="00635A29">
        <w:rPr>
          <w:rFonts w:cs="Arial"/>
          <w:b/>
          <w:bCs/>
          <w:i/>
          <w:iCs/>
          <w:sz w:val="22"/>
          <w:szCs w:val="22"/>
        </w:rPr>
        <w:t>l</w:t>
      </w:r>
      <w:r w:rsidR="003E0C7C" w:rsidRPr="00635A29">
        <w:rPr>
          <w:rFonts w:cs="Arial"/>
          <w:b/>
          <w:bCs/>
          <w:i/>
          <w:iCs/>
          <w:sz w:val="22"/>
          <w:szCs w:val="22"/>
        </w:rPr>
        <w:t xml:space="preserve"> </w:t>
      </w:r>
      <w:r w:rsidRPr="00635A29">
        <w:rPr>
          <w:rFonts w:cs="Arial"/>
          <w:b/>
          <w:bCs/>
          <w:i/>
          <w:iCs/>
          <w:sz w:val="22"/>
          <w:szCs w:val="22"/>
        </w:rPr>
        <w:t>o</w:t>
      </w:r>
      <w:r w:rsidR="00E47DAC" w:rsidRPr="00635A29">
        <w:rPr>
          <w:rFonts w:cs="Arial"/>
          <w:sz w:val="22"/>
          <w:szCs w:val="22"/>
        </w:rPr>
        <w:t xml:space="preserve"> </w:t>
      </w:r>
      <w:r w:rsidR="002313A4" w:rsidRPr="00635A29">
        <w:rPr>
          <w:rFonts w:cs="Arial"/>
          <w:sz w:val="22"/>
          <w:szCs w:val="22"/>
        </w:rPr>
        <w:t xml:space="preserve">  </w:t>
      </w:r>
      <w:r w:rsidR="00E47DAC" w:rsidRPr="00635A29">
        <w:rPr>
          <w:rFonts w:cs="Arial"/>
          <w:sz w:val="22"/>
          <w:szCs w:val="22"/>
        </w:rPr>
        <w:t>usnesením č.</w:t>
      </w:r>
      <w:r w:rsidR="00635A29">
        <w:rPr>
          <w:rFonts w:cs="Arial"/>
          <w:sz w:val="22"/>
          <w:szCs w:val="22"/>
        </w:rPr>
        <w:t xml:space="preserve"> </w:t>
      </w:r>
      <w:r w:rsidR="00CD58D3">
        <w:rPr>
          <w:rFonts w:cs="Arial"/>
          <w:sz w:val="22"/>
          <w:szCs w:val="22"/>
        </w:rPr>
        <w:t>6</w:t>
      </w:r>
      <w:r w:rsidR="00635A29">
        <w:rPr>
          <w:rFonts w:cs="Arial"/>
          <w:sz w:val="22"/>
          <w:szCs w:val="22"/>
        </w:rPr>
        <w:t>/</w:t>
      </w:r>
      <w:r w:rsidR="00CD58D3">
        <w:rPr>
          <w:rFonts w:cs="Arial"/>
          <w:sz w:val="22"/>
          <w:szCs w:val="22"/>
        </w:rPr>
        <w:t>II</w:t>
      </w:r>
      <w:r w:rsidR="00635A29">
        <w:rPr>
          <w:rFonts w:cs="Arial"/>
          <w:sz w:val="22"/>
          <w:szCs w:val="22"/>
        </w:rPr>
        <w:t>/2013</w:t>
      </w:r>
      <w:r w:rsidR="00E47DAC" w:rsidRPr="00635A29">
        <w:rPr>
          <w:rFonts w:cs="Arial"/>
          <w:sz w:val="22"/>
          <w:szCs w:val="22"/>
        </w:rPr>
        <w:t xml:space="preserve"> </w:t>
      </w:r>
    </w:p>
    <w:p w14:paraId="3F25AB14" w14:textId="77777777" w:rsidR="00E47DAC" w:rsidRDefault="00A427F9" w:rsidP="0001442A">
      <w:pPr>
        <w:ind w:right="70"/>
        <w:jc w:val="both"/>
        <w:rPr>
          <w:rFonts w:cs="Arial"/>
          <w:sz w:val="22"/>
          <w:szCs w:val="22"/>
        </w:rPr>
      </w:pPr>
      <w:r w:rsidRPr="00B94012">
        <w:rPr>
          <w:rFonts w:cs="Arial"/>
          <w:b/>
          <w:bCs/>
          <w:i/>
          <w:iCs/>
          <w:sz w:val="22"/>
          <w:szCs w:val="22"/>
        </w:rPr>
        <w:t>k</w:t>
      </w:r>
      <w:r w:rsidR="003E0C7C" w:rsidRPr="00B94012">
        <w:rPr>
          <w:rFonts w:cs="Arial"/>
          <w:b/>
          <w:bCs/>
          <w:i/>
          <w:iCs/>
          <w:sz w:val="22"/>
          <w:szCs w:val="22"/>
        </w:rPr>
        <w:t xml:space="preserve"> </w:t>
      </w:r>
      <w:r w:rsidRPr="00B94012">
        <w:rPr>
          <w:rFonts w:cs="Arial"/>
          <w:b/>
          <w:bCs/>
          <w:i/>
          <w:iCs/>
          <w:sz w:val="22"/>
          <w:szCs w:val="22"/>
        </w:rPr>
        <w:t>o</w:t>
      </w:r>
      <w:r w:rsidR="003E0C7C" w:rsidRPr="00B94012">
        <w:rPr>
          <w:rFonts w:cs="Arial"/>
          <w:b/>
          <w:bCs/>
          <w:i/>
          <w:iCs/>
          <w:sz w:val="22"/>
          <w:szCs w:val="22"/>
        </w:rPr>
        <w:t xml:space="preserve"> </w:t>
      </w:r>
      <w:r w:rsidRPr="00B94012">
        <w:rPr>
          <w:rFonts w:cs="Arial"/>
          <w:b/>
          <w:bCs/>
          <w:i/>
          <w:iCs/>
          <w:sz w:val="22"/>
          <w:szCs w:val="22"/>
        </w:rPr>
        <w:t>n</w:t>
      </w:r>
      <w:r w:rsidR="003E0C7C" w:rsidRPr="00B94012">
        <w:rPr>
          <w:rFonts w:cs="Arial"/>
          <w:b/>
          <w:bCs/>
          <w:i/>
          <w:iCs/>
          <w:sz w:val="22"/>
          <w:szCs w:val="22"/>
        </w:rPr>
        <w:t xml:space="preserve"> </w:t>
      </w:r>
      <w:r w:rsidRPr="00B94012">
        <w:rPr>
          <w:rFonts w:cs="Arial"/>
          <w:b/>
          <w:bCs/>
          <w:i/>
          <w:iCs/>
          <w:sz w:val="22"/>
          <w:szCs w:val="22"/>
        </w:rPr>
        <w:t>t</w:t>
      </w:r>
      <w:r w:rsidR="003E0C7C" w:rsidRPr="00B94012">
        <w:rPr>
          <w:rFonts w:cs="Arial"/>
          <w:b/>
          <w:bCs/>
          <w:i/>
          <w:iCs/>
          <w:sz w:val="22"/>
          <w:szCs w:val="22"/>
        </w:rPr>
        <w:t xml:space="preserve"> </w:t>
      </w:r>
      <w:r w:rsidRPr="00B94012">
        <w:rPr>
          <w:rFonts w:cs="Arial"/>
          <w:b/>
          <w:bCs/>
          <w:i/>
          <w:iCs/>
          <w:sz w:val="22"/>
          <w:szCs w:val="22"/>
        </w:rPr>
        <w:t>r</w:t>
      </w:r>
      <w:r w:rsidR="003E0C7C" w:rsidRPr="00B94012">
        <w:rPr>
          <w:rFonts w:cs="Arial"/>
          <w:b/>
          <w:bCs/>
          <w:i/>
          <w:iCs/>
          <w:sz w:val="22"/>
          <w:szCs w:val="22"/>
        </w:rPr>
        <w:t xml:space="preserve"> </w:t>
      </w:r>
      <w:r w:rsidRPr="00B94012">
        <w:rPr>
          <w:rFonts w:cs="Arial"/>
          <w:b/>
          <w:bCs/>
          <w:i/>
          <w:iCs/>
          <w:sz w:val="22"/>
          <w:szCs w:val="22"/>
        </w:rPr>
        <w:t>o</w:t>
      </w:r>
      <w:r w:rsidR="003E0C7C" w:rsidRPr="00B94012">
        <w:rPr>
          <w:rFonts w:cs="Arial"/>
          <w:b/>
          <w:bCs/>
          <w:i/>
          <w:iCs/>
          <w:sz w:val="22"/>
          <w:szCs w:val="22"/>
        </w:rPr>
        <w:t xml:space="preserve"> </w:t>
      </w:r>
      <w:r w:rsidRPr="00B94012">
        <w:rPr>
          <w:rFonts w:cs="Arial"/>
          <w:b/>
          <w:bCs/>
          <w:i/>
          <w:iCs/>
          <w:sz w:val="22"/>
          <w:szCs w:val="22"/>
        </w:rPr>
        <w:t>l</w:t>
      </w:r>
      <w:r w:rsidR="003E0C7C" w:rsidRPr="00B94012">
        <w:rPr>
          <w:rFonts w:cs="Arial"/>
          <w:b/>
          <w:bCs/>
          <w:i/>
          <w:iCs/>
          <w:sz w:val="22"/>
          <w:szCs w:val="22"/>
        </w:rPr>
        <w:t xml:space="preserve"> </w:t>
      </w:r>
      <w:r w:rsidRPr="00B94012">
        <w:rPr>
          <w:rFonts w:cs="Arial"/>
          <w:b/>
          <w:bCs/>
          <w:i/>
          <w:iCs/>
          <w:sz w:val="22"/>
          <w:szCs w:val="22"/>
        </w:rPr>
        <w:t>n</w:t>
      </w:r>
      <w:r w:rsidR="003E0C7C" w:rsidRPr="00B94012">
        <w:rPr>
          <w:rFonts w:cs="Arial"/>
          <w:b/>
          <w:bCs/>
          <w:i/>
          <w:iCs/>
          <w:sz w:val="22"/>
          <w:szCs w:val="22"/>
        </w:rPr>
        <w:t xml:space="preserve"> </w:t>
      </w:r>
      <w:r w:rsidRPr="00B94012">
        <w:rPr>
          <w:rFonts w:cs="Arial"/>
          <w:b/>
          <w:bCs/>
          <w:i/>
          <w:iCs/>
          <w:sz w:val="22"/>
          <w:szCs w:val="22"/>
        </w:rPr>
        <w:t xml:space="preserve">í </w:t>
      </w:r>
      <w:r w:rsidR="003E0C7C" w:rsidRPr="00B94012">
        <w:rPr>
          <w:rFonts w:cs="Arial"/>
          <w:b/>
          <w:bCs/>
          <w:i/>
          <w:iCs/>
          <w:sz w:val="22"/>
          <w:szCs w:val="22"/>
        </w:rPr>
        <w:t xml:space="preserve">  </w:t>
      </w:r>
      <w:r w:rsidRPr="00B94012">
        <w:rPr>
          <w:rFonts w:cs="Arial"/>
          <w:b/>
          <w:bCs/>
          <w:i/>
          <w:iCs/>
          <w:sz w:val="22"/>
          <w:szCs w:val="22"/>
        </w:rPr>
        <w:t>z</w:t>
      </w:r>
      <w:r w:rsidR="003E0C7C" w:rsidRPr="00B94012">
        <w:rPr>
          <w:rFonts w:cs="Arial"/>
          <w:b/>
          <w:bCs/>
          <w:i/>
          <w:iCs/>
          <w:sz w:val="22"/>
          <w:szCs w:val="22"/>
        </w:rPr>
        <w:t xml:space="preserve"> </w:t>
      </w:r>
      <w:r w:rsidRPr="00B94012">
        <w:rPr>
          <w:rFonts w:cs="Arial"/>
          <w:b/>
          <w:bCs/>
          <w:i/>
          <w:iCs/>
          <w:sz w:val="22"/>
          <w:szCs w:val="22"/>
        </w:rPr>
        <w:t>á</w:t>
      </w:r>
      <w:r w:rsidR="003E0C7C" w:rsidRPr="00B94012">
        <w:rPr>
          <w:rFonts w:cs="Arial"/>
          <w:b/>
          <w:bCs/>
          <w:i/>
          <w:iCs/>
          <w:sz w:val="22"/>
          <w:szCs w:val="22"/>
        </w:rPr>
        <w:t xml:space="preserve"> </w:t>
      </w:r>
      <w:r w:rsidRPr="00B94012">
        <w:rPr>
          <w:rFonts w:cs="Arial"/>
          <w:b/>
          <w:bCs/>
          <w:i/>
          <w:iCs/>
          <w:sz w:val="22"/>
          <w:szCs w:val="22"/>
        </w:rPr>
        <w:t>v</w:t>
      </w:r>
      <w:r w:rsidR="003E0C7C" w:rsidRPr="00B94012">
        <w:rPr>
          <w:rFonts w:cs="Arial"/>
          <w:b/>
          <w:bCs/>
          <w:i/>
          <w:iCs/>
          <w:sz w:val="22"/>
          <w:szCs w:val="22"/>
        </w:rPr>
        <w:t xml:space="preserve"> </w:t>
      </w:r>
      <w:r w:rsidRPr="00B94012">
        <w:rPr>
          <w:rFonts w:cs="Arial"/>
          <w:b/>
          <w:bCs/>
          <w:i/>
          <w:iCs/>
          <w:sz w:val="22"/>
          <w:szCs w:val="22"/>
        </w:rPr>
        <w:t>ě</w:t>
      </w:r>
      <w:r w:rsidR="003E0C7C" w:rsidRPr="00B94012">
        <w:rPr>
          <w:rFonts w:cs="Arial"/>
          <w:b/>
          <w:bCs/>
          <w:i/>
          <w:iCs/>
          <w:sz w:val="22"/>
          <w:szCs w:val="22"/>
        </w:rPr>
        <w:t xml:space="preserve"> </w:t>
      </w:r>
      <w:r w:rsidRPr="00B94012">
        <w:rPr>
          <w:rFonts w:cs="Arial"/>
          <w:b/>
          <w:bCs/>
          <w:i/>
          <w:iCs/>
          <w:sz w:val="22"/>
          <w:szCs w:val="22"/>
        </w:rPr>
        <w:t>r</w:t>
      </w:r>
      <w:r w:rsidR="00E47DAC" w:rsidRPr="00B94012">
        <w:rPr>
          <w:rFonts w:cs="Arial"/>
          <w:sz w:val="22"/>
          <w:szCs w:val="22"/>
        </w:rPr>
        <w:t xml:space="preserve"> </w:t>
      </w:r>
      <w:r w:rsidR="002313A4" w:rsidRPr="00B94012">
        <w:rPr>
          <w:rFonts w:cs="Arial"/>
          <w:sz w:val="22"/>
          <w:szCs w:val="22"/>
        </w:rPr>
        <w:t xml:space="preserve">  </w:t>
      </w:r>
      <w:r w:rsidR="0013397D" w:rsidRPr="00B94012">
        <w:rPr>
          <w:rFonts w:cs="Arial"/>
          <w:sz w:val="22"/>
          <w:szCs w:val="22"/>
        </w:rPr>
        <w:t>v</w:t>
      </w:r>
      <w:r w:rsidR="006101EC" w:rsidRPr="00B94012">
        <w:rPr>
          <w:rFonts w:cs="Arial"/>
          <w:sz w:val="22"/>
          <w:szCs w:val="22"/>
        </w:rPr>
        <w:t xml:space="preserve"> </w:t>
      </w:r>
      <w:r w:rsidR="00E47DAC" w:rsidRPr="00B94012">
        <w:rPr>
          <w:rFonts w:cs="Arial"/>
          <w:sz w:val="22"/>
          <w:szCs w:val="22"/>
        </w:rPr>
        <w:t>tomto znění:</w:t>
      </w:r>
    </w:p>
    <w:p w14:paraId="7C6E5EC3" w14:textId="77777777" w:rsidR="006704F9" w:rsidRDefault="006704F9" w:rsidP="0001442A">
      <w:pPr>
        <w:ind w:right="70"/>
        <w:jc w:val="both"/>
        <w:rPr>
          <w:rFonts w:cs="Arial"/>
          <w:sz w:val="22"/>
          <w:szCs w:val="22"/>
        </w:rPr>
      </w:pPr>
    </w:p>
    <w:p w14:paraId="31365467" w14:textId="77777777" w:rsidR="006704F9" w:rsidRPr="00B94012" w:rsidRDefault="006704F9" w:rsidP="0001442A">
      <w:pPr>
        <w:ind w:right="70"/>
        <w:jc w:val="both"/>
        <w:rPr>
          <w:rFonts w:cs="Arial"/>
          <w:sz w:val="22"/>
          <w:szCs w:val="22"/>
        </w:rPr>
      </w:pPr>
    </w:p>
    <w:p w14:paraId="3F25AB15" w14:textId="12D96EE9" w:rsidR="00E47DAC" w:rsidRPr="00D007E2" w:rsidRDefault="0001442A" w:rsidP="00D007E2">
      <w:pPr>
        <w:pStyle w:val="Nadpis1"/>
        <w:spacing w:before="0" w:after="0"/>
        <w:ind w:left="360"/>
        <w:jc w:val="center"/>
        <w:rPr>
          <w:sz w:val="24"/>
          <w:szCs w:val="24"/>
        </w:rPr>
      </w:pPr>
      <w:r w:rsidRPr="00D007E2">
        <w:rPr>
          <w:sz w:val="24"/>
          <w:szCs w:val="24"/>
        </w:rPr>
        <w:t xml:space="preserve">I. </w:t>
      </w:r>
      <w:r w:rsidR="00E47DAC" w:rsidRPr="00D007E2">
        <w:rPr>
          <w:sz w:val="24"/>
          <w:szCs w:val="24"/>
        </w:rPr>
        <w:t>Úvod</w:t>
      </w:r>
    </w:p>
    <w:p w14:paraId="0C50CD1C" w14:textId="77777777" w:rsidR="006704F9" w:rsidRPr="00D007E2" w:rsidRDefault="006704F9" w:rsidP="00D007E2"/>
    <w:p w14:paraId="3F25AB16" w14:textId="1397878F" w:rsidR="00FB1C90" w:rsidRDefault="00FB1C90" w:rsidP="0001442A">
      <w:pPr>
        <w:jc w:val="both"/>
        <w:rPr>
          <w:rFonts w:cs="Arial"/>
          <w:sz w:val="22"/>
          <w:szCs w:val="22"/>
        </w:rPr>
      </w:pPr>
      <w:r w:rsidRPr="00B94012">
        <w:rPr>
          <w:rFonts w:cs="Arial"/>
          <w:sz w:val="22"/>
          <w:szCs w:val="22"/>
        </w:rPr>
        <w:t>Programy průmyslové spolupráce (dále také „PPS“</w:t>
      </w:r>
      <w:r w:rsidR="009B6CB8">
        <w:rPr>
          <w:rFonts w:cs="Arial"/>
          <w:sz w:val="22"/>
          <w:szCs w:val="22"/>
        </w:rPr>
        <w:t xml:space="preserve"> nebo </w:t>
      </w:r>
      <w:r w:rsidRPr="00B94012">
        <w:rPr>
          <w:rFonts w:cs="Arial"/>
          <w:sz w:val="22"/>
          <w:szCs w:val="22"/>
        </w:rPr>
        <w:t>„offset</w:t>
      </w:r>
      <w:r w:rsidR="001620B5" w:rsidRPr="00B94012">
        <w:rPr>
          <w:rFonts w:cs="Arial"/>
          <w:sz w:val="22"/>
          <w:szCs w:val="22"/>
        </w:rPr>
        <w:t>y</w:t>
      </w:r>
      <w:r w:rsidR="00773C7A">
        <w:rPr>
          <w:rFonts w:cs="Arial"/>
          <w:sz w:val="22"/>
          <w:szCs w:val="22"/>
        </w:rPr>
        <w:t>“</w:t>
      </w:r>
      <w:r w:rsidRPr="00B94012">
        <w:rPr>
          <w:rFonts w:cs="Arial"/>
          <w:sz w:val="22"/>
          <w:szCs w:val="22"/>
        </w:rPr>
        <w:t>) představují nástroj ekonomické kompenzace výdajů stát</w:t>
      </w:r>
      <w:r w:rsidR="007469E8">
        <w:rPr>
          <w:rFonts w:cs="Arial"/>
          <w:sz w:val="22"/>
          <w:szCs w:val="22"/>
        </w:rPr>
        <w:t xml:space="preserve">ního rozpočtu </w:t>
      </w:r>
      <w:r w:rsidRPr="00B94012">
        <w:rPr>
          <w:rFonts w:cs="Arial"/>
          <w:sz w:val="22"/>
          <w:szCs w:val="22"/>
        </w:rPr>
        <w:t xml:space="preserve">spojených </w:t>
      </w:r>
      <w:r w:rsidR="00D920E5">
        <w:rPr>
          <w:rFonts w:cs="Arial"/>
          <w:sz w:val="22"/>
          <w:szCs w:val="22"/>
        </w:rPr>
        <w:t>s </w:t>
      </w:r>
      <w:r w:rsidRPr="00B94012">
        <w:rPr>
          <w:rFonts w:cs="Arial"/>
          <w:sz w:val="22"/>
          <w:szCs w:val="22"/>
        </w:rPr>
        <w:t>pořízením techniky, materiálu a služeb, zejména pro obranné a bezpečnostní účely</w:t>
      </w:r>
      <w:r w:rsidR="007469E8">
        <w:rPr>
          <w:rFonts w:cs="Arial"/>
          <w:sz w:val="22"/>
          <w:szCs w:val="22"/>
        </w:rPr>
        <w:t xml:space="preserve"> České republiky.</w:t>
      </w:r>
      <w:r w:rsidRPr="00B94012">
        <w:rPr>
          <w:rFonts w:cs="Arial"/>
          <w:sz w:val="22"/>
          <w:szCs w:val="22"/>
        </w:rPr>
        <w:t xml:space="preserve"> </w:t>
      </w:r>
      <w:r w:rsidR="0068575C">
        <w:rPr>
          <w:rFonts w:cs="Arial"/>
          <w:sz w:val="22"/>
          <w:szCs w:val="22"/>
        </w:rPr>
        <w:t>J</w:t>
      </w:r>
      <w:r w:rsidRPr="00B94012">
        <w:rPr>
          <w:rFonts w:cs="Arial"/>
          <w:sz w:val="22"/>
          <w:szCs w:val="22"/>
        </w:rPr>
        <w:t>sou založeny na systému dohod, podle kterých zahraniční dodavatel uskutečňuje dohodnuté</w:t>
      </w:r>
      <w:r w:rsidR="0068575C">
        <w:rPr>
          <w:rFonts w:cs="Arial"/>
          <w:sz w:val="22"/>
          <w:szCs w:val="22"/>
        </w:rPr>
        <w:t xml:space="preserve"> projekty</w:t>
      </w:r>
      <w:r w:rsidRPr="00B94012">
        <w:rPr>
          <w:rFonts w:cs="Arial"/>
          <w:sz w:val="22"/>
          <w:szCs w:val="22"/>
        </w:rPr>
        <w:t xml:space="preserve">. Zahraniční dodavatel realizuje nebo zprostředkuje offsetovou transakci na základě </w:t>
      </w:r>
      <w:r w:rsidRPr="00B94012">
        <w:rPr>
          <w:rFonts w:cs="Arial"/>
          <w:sz w:val="22"/>
          <w:szCs w:val="22"/>
        </w:rPr>
        <w:lastRenderedPageBreak/>
        <w:t xml:space="preserve">obchodního vztahu se subjektem (fyzická osoba, právnická osoba, organizace, státní organizace) </w:t>
      </w:r>
      <w:r w:rsidR="00D920E5">
        <w:rPr>
          <w:rFonts w:cs="Arial"/>
          <w:sz w:val="22"/>
          <w:szCs w:val="22"/>
        </w:rPr>
        <w:t>s </w:t>
      </w:r>
      <w:r w:rsidRPr="00B94012">
        <w:rPr>
          <w:rFonts w:cs="Arial"/>
          <w:sz w:val="22"/>
          <w:szCs w:val="22"/>
        </w:rPr>
        <w:t>místem podnikání v</w:t>
      </w:r>
      <w:r w:rsidR="00422860" w:rsidRPr="00B94012">
        <w:rPr>
          <w:rFonts w:cs="Arial"/>
          <w:sz w:val="22"/>
          <w:szCs w:val="22"/>
        </w:rPr>
        <w:t> České republice</w:t>
      </w:r>
      <w:r w:rsidRPr="00B94012">
        <w:rPr>
          <w:rFonts w:cs="Arial"/>
          <w:sz w:val="22"/>
          <w:szCs w:val="22"/>
        </w:rPr>
        <w:t>.</w:t>
      </w:r>
      <w:r w:rsidR="00422860" w:rsidRPr="00B94012">
        <w:rPr>
          <w:rFonts w:cs="Arial"/>
          <w:sz w:val="22"/>
          <w:szCs w:val="22"/>
        </w:rPr>
        <w:t xml:space="preserve"> </w:t>
      </w:r>
    </w:p>
    <w:p w14:paraId="2289CE87" w14:textId="77777777" w:rsidR="005978E4" w:rsidRPr="00B94012" w:rsidRDefault="005978E4" w:rsidP="0001442A">
      <w:pPr>
        <w:jc w:val="both"/>
        <w:rPr>
          <w:rFonts w:cs="Arial"/>
          <w:sz w:val="22"/>
          <w:szCs w:val="22"/>
        </w:rPr>
      </w:pPr>
    </w:p>
    <w:p w14:paraId="3F25AB17" w14:textId="77777777" w:rsidR="00422860" w:rsidRDefault="00422860" w:rsidP="003B2700">
      <w:pPr>
        <w:jc w:val="both"/>
        <w:rPr>
          <w:sz w:val="22"/>
          <w:szCs w:val="22"/>
        </w:rPr>
      </w:pPr>
      <w:r w:rsidRPr="00B94012">
        <w:rPr>
          <w:rFonts w:cs="Arial"/>
          <w:sz w:val="22"/>
          <w:szCs w:val="22"/>
        </w:rPr>
        <w:t xml:space="preserve">Specifické pojmy související s uplatňováním české offsetové politiky jsou vymezeny </w:t>
      </w:r>
      <w:r w:rsidR="005D1A44" w:rsidRPr="00B94012">
        <w:rPr>
          <w:rFonts w:cs="Arial"/>
          <w:sz w:val="22"/>
          <w:szCs w:val="22"/>
        </w:rPr>
        <w:t>v</w:t>
      </w:r>
      <w:r w:rsidRPr="00B94012">
        <w:rPr>
          <w:rFonts w:cs="Arial"/>
          <w:sz w:val="22"/>
          <w:szCs w:val="22"/>
        </w:rPr>
        <w:t> </w:t>
      </w:r>
      <w:r w:rsidRPr="00A77368">
        <w:rPr>
          <w:rFonts w:cs="Arial"/>
          <w:sz w:val="22"/>
          <w:szCs w:val="22"/>
        </w:rPr>
        <w:t>příloze č. 1.</w:t>
      </w:r>
      <w:r w:rsidRPr="00B94012">
        <w:rPr>
          <w:rFonts w:cs="Arial"/>
          <w:sz w:val="22"/>
          <w:szCs w:val="22"/>
        </w:rPr>
        <w:t xml:space="preserve"> </w:t>
      </w:r>
      <w:r w:rsidR="005D1A44" w:rsidRPr="00B94012">
        <w:rPr>
          <w:sz w:val="22"/>
          <w:szCs w:val="22"/>
        </w:rPr>
        <w:t>Pro význam a obsah jednotlivých pojmů je určující znění konkrétní smlouvy o</w:t>
      </w:r>
      <w:r w:rsidR="00D9516C">
        <w:rPr>
          <w:sz w:val="22"/>
          <w:szCs w:val="22"/>
        </w:rPr>
        <w:t> </w:t>
      </w:r>
      <w:r w:rsidR="005D1A44" w:rsidRPr="00B94012">
        <w:rPr>
          <w:sz w:val="22"/>
          <w:szCs w:val="22"/>
        </w:rPr>
        <w:t>realizaci programu průmyslové spolupráce (dále také „offsetová dohoda“)</w:t>
      </w:r>
      <w:r w:rsidR="00D9516C" w:rsidRPr="00B94012">
        <w:rPr>
          <w:rStyle w:val="Znakapoznpodarou"/>
          <w:sz w:val="22"/>
          <w:szCs w:val="22"/>
        </w:rPr>
        <w:footnoteReference w:id="1"/>
      </w:r>
      <w:r w:rsidR="005D1A44" w:rsidRPr="00B94012">
        <w:rPr>
          <w:sz w:val="22"/>
          <w:szCs w:val="22"/>
        </w:rPr>
        <w:t xml:space="preserve">, případně smlouvy týkající </w:t>
      </w:r>
      <w:r w:rsidR="007469E8">
        <w:rPr>
          <w:sz w:val="22"/>
          <w:szCs w:val="22"/>
        </w:rPr>
        <w:t xml:space="preserve">se </w:t>
      </w:r>
      <w:r w:rsidR="005D1A44" w:rsidRPr="00B94012">
        <w:rPr>
          <w:sz w:val="22"/>
          <w:szCs w:val="22"/>
        </w:rPr>
        <w:t>plnění veřejné zakázky, která zpravidla offsetové dohodě předchází.</w:t>
      </w:r>
      <w:r w:rsidR="0001442A">
        <w:rPr>
          <w:sz w:val="22"/>
          <w:szCs w:val="22"/>
        </w:rPr>
        <w:t xml:space="preserve"> </w:t>
      </w:r>
    </w:p>
    <w:p w14:paraId="63851D62" w14:textId="77777777" w:rsidR="006B5FBB" w:rsidRPr="00B94012" w:rsidRDefault="006B5FBB" w:rsidP="005D0647">
      <w:pPr>
        <w:jc w:val="both"/>
        <w:rPr>
          <w:rFonts w:cs="Arial"/>
          <w:sz w:val="22"/>
          <w:szCs w:val="22"/>
        </w:rPr>
      </w:pPr>
    </w:p>
    <w:p w14:paraId="3F25AB18" w14:textId="77777777" w:rsidR="005D1A44" w:rsidRDefault="005D1A44" w:rsidP="005D0647">
      <w:pPr>
        <w:ind w:left="624" w:hanging="624"/>
        <w:jc w:val="both"/>
        <w:rPr>
          <w:rFonts w:cs="Arial"/>
          <w:sz w:val="18"/>
          <w:szCs w:val="18"/>
        </w:rPr>
      </w:pPr>
      <w:r w:rsidRPr="00EE300F">
        <w:rPr>
          <w:rFonts w:cs="Arial"/>
          <w:b/>
          <w:sz w:val="18"/>
          <w:szCs w:val="18"/>
        </w:rPr>
        <w:t>Pozn.:</w:t>
      </w:r>
      <w:r w:rsidRPr="009A12AE">
        <w:rPr>
          <w:rFonts w:cs="Arial"/>
          <w:sz w:val="18"/>
          <w:szCs w:val="18"/>
        </w:rPr>
        <w:tab/>
        <w:t xml:space="preserve">Právní předpisy uvedené </w:t>
      </w:r>
      <w:r>
        <w:rPr>
          <w:rFonts w:cs="Arial"/>
          <w:sz w:val="18"/>
          <w:szCs w:val="18"/>
        </w:rPr>
        <w:t>v </w:t>
      </w:r>
      <w:r w:rsidRPr="009A12AE">
        <w:rPr>
          <w:rFonts w:cs="Arial"/>
          <w:sz w:val="18"/>
          <w:szCs w:val="18"/>
        </w:rPr>
        <w:t>tomto kontrolním závěru jsou aplikovány ve znění účinném pro kontrolované období.</w:t>
      </w:r>
    </w:p>
    <w:p w14:paraId="1BC4D24F" w14:textId="77777777" w:rsidR="005978E4" w:rsidRDefault="005978E4" w:rsidP="0001442A">
      <w:pPr>
        <w:spacing w:before="120"/>
        <w:ind w:left="624" w:hanging="624"/>
        <w:jc w:val="both"/>
        <w:rPr>
          <w:rFonts w:cs="Arial"/>
          <w:sz w:val="18"/>
          <w:szCs w:val="18"/>
        </w:rPr>
      </w:pPr>
    </w:p>
    <w:p w14:paraId="3F25AB19" w14:textId="77777777" w:rsidR="003344E1" w:rsidRDefault="003344E1" w:rsidP="0001442A">
      <w:pPr>
        <w:ind w:left="624" w:hanging="624"/>
        <w:jc w:val="both"/>
        <w:rPr>
          <w:rFonts w:cs="Arial"/>
          <w:sz w:val="18"/>
          <w:szCs w:val="18"/>
        </w:rPr>
      </w:pPr>
    </w:p>
    <w:p w14:paraId="3F25AB1A" w14:textId="4F333EB1" w:rsidR="003344E1" w:rsidRPr="00B94012" w:rsidRDefault="00773C7A" w:rsidP="000F7C14">
      <w:pPr>
        <w:pStyle w:val="Nadpis2"/>
        <w:spacing w:before="0"/>
        <w:rPr>
          <w:sz w:val="22"/>
          <w:szCs w:val="22"/>
        </w:rPr>
      </w:pPr>
      <w:r>
        <w:rPr>
          <w:sz w:val="22"/>
          <w:szCs w:val="22"/>
        </w:rPr>
        <w:t xml:space="preserve">1. </w:t>
      </w:r>
      <w:r w:rsidR="00BB5A44" w:rsidRPr="00B94012">
        <w:rPr>
          <w:sz w:val="22"/>
          <w:szCs w:val="22"/>
        </w:rPr>
        <w:t>Rozsah kontroly</w:t>
      </w:r>
    </w:p>
    <w:p w14:paraId="3F25AB1B" w14:textId="724DA7F0" w:rsidR="009E4D6B" w:rsidRDefault="003344E1" w:rsidP="000F7C14">
      <w:pPr>
        <w:pStyle w:val="Odstavecseseznamem"/>
        <w:ind w:left="0"/>
        <w:jc w:val="both"/>
        <w:rPr>
          <w:rFonts w:cs="Arial"/>
          <w:sz w:val="22"/>
          <w:szCs w:val="22"/>
        </w:rPr>
      </w:pPr>
      <w:r w:rsidRPr="00B94012">
        <w:rPr>
          <w:sz w:val="22"/>
          <w:szCs w:val="22"/>
        </w:rPr>
        <w:t>Kontrola se zaměřila na činnosti a klíčové fáze procesu uplatňování offsetů (</w:t>
      </w:r>
      <w:r w:rsidR="0083117D" w:rsidRPr="00A77368">
        <w:rPr>
          <w:sz w:val="22"/>
          <w:szCs w:val="22"/>
        </w:rPr>
        <w:t>p</w:t>
      </w:r>
      <w:r w:rsidRPr="00A77368">
        <w:rPr>
          <w:sz w:val="22"/>
          <w:szCs w:val="22"/>
        </w:rPr>
        <w:t>říloha č. 2),</w:t>
      </w:r>
      <w:r w:rsidRPr="00B94012">
        <w:rPr>
          <w:sz w:val="22"/>
          <w:szCs w:val="22"/>
        </w:rPr>
        <w:t xml:space="preserve"> které byly v odpovědnosti </w:t>
      </w:r>
      <w:r w:rsidR="00C443A7">
        <w:rPr>
          <w:sz w:val="22"/>
          <w:szCs w:val="22"/>
        </w:rPr>
        <w:t xml:space="preserve">MPO, MO a MV nebo </w:t>
      </w:r>
      <w:r w:rsidR="00773C7A">
        <w:rPr>
          <w:sz w:val="22"/>
          <w:szCs w:val="22"/>
        </w:rPr>
        <w:t xml:space="preserve">na kterých </w:t>
      </w:r>
      <w:r w:rsidR="00C443A7">
        <w:rPr>
          <w:sz w:val="22"/>
          <w:szCs w:val="22"/>
        </w:rPr>
        <w:t xml:space="preserve">se </w:t>
      </w:r>
      <w:r w:rsidR="00773C7A">
        <w:rPr>
          <w:sz w:val="22"/>
          <w:szCs w:val="22"/>
        </w:rPr>
        <w:t xml:space="preserve">tato ministerstva </w:t>
      </w:r>
      <w:r w:rsidR="00C443A7">
        <w:rPr>
          <w:sz w:val="22"/>
          <w:szCs w:val="22"/>
        </w:rPr>
        <w:t>podílela</w:t>
      </w:r>
      <w:r w:rsidRPr="00B94012">
        <w:rPr>
          <w:sz w:val="22"/>
          <w:szCs w:val="22"/>
        </w:rPr>
        <w:t>.</w:t>
      </w:r>
      <w:r w:rsidR="00BB5A44" w:rsidRPr="00B94012">
        <w:rPr>
          <w:sz w:val="22"/>
          <w:szCs w:val="22"/>
        </w:rPr>
        <w:t xml:space="preserve"> Kontrole byly podrobeny všechny PPS kromě PPS realizovaného tehdejší státní organizací České </w:t>
      </w:r>
      <w:r w:rsidR="009E4D6B" w:rsidRPr="00B94012">
        <w:rPr>
          <w:sz w:val="22"/>
          <w:szCs w:val="22"/>
        </w:rPr>
        <w:t>d</w:t>
      </w:r>
      <w:r w:rsidR="00BB5A44" w:rsidRPr="00B94012">
        <w:rPr>
          <w:sz w:val="22"/>
          <w:szCs w:val="22"/>
        </w:rPr>
        <w:t>ráhy.</w:t>
      </w:r>
      <w:r w:rsidR="00C07F0D">
        <w:rPr>
          <w:rStyle w:val="Znakapoznpodarou"/>
          <w:sz w:val="22"/>
          <w:szCs w:val="22"/>
        </w:rPr>
        <w:footnoteReference w:id="2"/>
      </w:r>
      <w:r w:rsidR="00BB5A44" w:rsidRPr="00B94012">
        <w:rPr>
          <w:sz w:val="22"/>
          <w:szCs w:val="22"/>
        </w:rPr>
        <w:t xml:space="preserve"> </w:t>
      </w:r>
      <w:r w:rsidR="00965379" w:rsidRPr="00965379">
        <w:rPr>
          <w:sz w:val="22"/>
          <w:szCs w:val="22"/>
        </w:rPr>
        <w:t>P</w:t>
      </w:r>
      <w:r w:rsidR="00965379" w:rsidRPr="00965379">
        <w:rPr>
          <w:rFonts w:cs="Arial"/>
          <w:sz w:val="22"/>
          <w:szCs w:val="22"/>
        </w:rPr>
        <w:t>roces výběru dodavatele z hlediska souladu s právními předpisy</w:t>
      </w:r>
      <w:r w:rsidR="00965379">
        <w:rPr>
          <w:rFonts w:cs="Arial"/>
          <w:sz w:val="22"/>
          <w:szCs w:val="22"/>
        </w:rPr>
        <w:t xml:space="preserve"> upravujícími zadávání veřejných zakázek</w:t>
      </w:r>
      <w:r w:rsidR="00965379">
        <w:rPr>
          <w:rStyle w:val="Znakapoznpodarou"/>
          <w:rFonts w:cs="Arial"/>
          <w:sz w:val="22"/>
          <w:szCs w:val="22"/>
        </w:rPr>
        <w:footnoteReference w:id="3"/>
      </w:r>
      <w:r w:rsidR="0001442A">
        <w:rPr>
          <w:rFonts w:cs="Arial"/>
          <w:sz w:val="22"/>
          <w:szCs w:val="22"/>
        </w:rPr>
        <w:t xml:space="preserve"> </w:t>
      </w:r>
      <w:r w:rsidR="00965379" w:rsidRPr="00965379">
        <w:rPr>
          <w:rFonts w:cs="Arial"/>
          <w:sz w:val="22"/>
          <w:szCs w:val="22"/>
        </w:rPr>
        <w:t>nebyl předmětem této kontroly.</w:t>
      </w:r>
    </w:p>
    <w:p w14:paraId="04C529BF" w14:textId="77777777" w:rsidR="006B5FBB" w:rsidRPr="00B94012" w:rsidRDefault="006B5FBB" w:rsidP="000F7C14">
      <w:pPr>
        <w:pStyle w:val="Odstavecseseznamem"/>
        <w:ind w:left="0"/>
        <w:jc w:val="both"/>
        <w:rPr>
          <w:sz w:val="22"/>
          <w:szCs w:val="22"/>
        </w:rPr>
      </w:pPr>
    </w:p>
    <w:p w14:paraId="3F25AB1C" w14:textId="28D720EC" w:rsidR="00BB5A44" w:rsidRDefault="00BB5A44" w:rsidP="000F7C14">
      <w:pPr>
        <w:pStyle w:val="Odstavecseseznamem"/>
        <w:ind w:left="0"/>
        <w:jc w:val="both"/>
        <w:rPr>
          <w:rFonts w:cs="Arial"/>
          <w:sz w:val="22"/>
          <w:szCs w:val="22"/>
        </w:rPr>
      </w:pPr>
      <w:r w:rsidRPr="00B94012">
        <w:rPr>
          <w:rFonts w:cs="Arial"/>
          <w:color w:val="000000"/>
          <w:sz w:val="22"/>
          <w:szCs w:val="22"/>
        </w:rPr>
        <w:t xml:space="preserve">Kontrolou u GŘC byly ověřovány vybrané parametry vzorku offsetových transakcí realizovaných českými partnery před vstupem ČR do </w:t>
      </w:r>
      <w:r w:rsidR="00773C7A">
        <w:rPr>
          <w:rFonts w:cs="Arial"/>
          <w:color w:val="000000"/>
          <w:sz w:val="22"/>
          <w:szCs w:val="22"/>
        </w:rPr>
        <w:t>Evropské unie (dále též „</w:t>
      </w:r>
      <w:r w:rsidRPr="00B94012">
        <w:rPr>
          <w:rFonts w:cs="Arial"/>
          <w:color w:val="000000"/>
          <w:sz w:val="22"/>
          <w:szCs w:val="22"/>
        </w:rPr>
        <w:t>EU</w:t>
      </w:r>
      <w:r w:rsidR="00773C7A">
        <w:rPr>
          <w:rFonts w:cs="Arial"/>
          <w:color w:val="000000"/>
          <w:sz w:val="22"/>
          <w:szCs w:val="22"/>
        </w:rPr>
        <w:t>“)</w:t>
      </w:r>
      <w:r w:rsidRPr="00B94012">
        <w:rPr>
          <w:rFonts w:cs="Arial"/>
          <w:color w:val="000000"/>
          <w:sz w:val="22"/>
          <w:szCs w:val="22"/>
        </w:rPr>
        <w:t xml:space="preserve"> </w:t>
      </w:r>
      <w:r w:rsidR="00D920E5">
        <w:rPr>
          <w:rFonts w:cs="Arial"/>
          <w:color w:val="000000"/>
          <w:sz w:val="22"/>
          <w:szCs w:val="22"/>
        </w:rPr>
        <w:t>v </w:t>
      </w:r>
      <w:r w:rsidR="007F46DD" w:rsidRPr="00B94012">
        <w:rPr>
          <w:rFonts w:cs="Arial"/>
          <w:color w:val="000000"/>
          <w:sz w:val="22"/>
          <w:szCs w:val="22"/>
        </w:rPr>
        <w:t xml:space="preserve">režimu </w:t>
      </w:r>
      <w:r w:rsidR="00773C7A">
        <w:rPr>
          <w:rFonts w:cs="Arial"/>
          <w:color w:val="000000"/>
          <w:sz w:val="22"/>
          <w:szCs w:val="22"/>
        </w:rPr>
        <w:t>„</w:t>
      </w:r>
      <w:r w:rsidR="00AE1E43" w:rsidRPr="00B94012">
        <w:rPr>
          <w:rFonts w:cs="Arial"/>
          <w:color w:val="000000"/>
          <w:sz w:val="22"/>
          <w:szCs w:val="22"/>
        </w:rPr>
        <w:t>vývoz</w:t>
      </w:r>
      <w:r w:rsidR="00773C7A">
        <w:rPr>
          <w:rFonts w:cs="Arial"/>
          <w:color w:val="000000"/>
          <w:sz w:val="22"/>
          <w:szCs w:val="22"/>
        </w:rPr>
        <w:t>“</w:t>
      </w:r>
      <w:r w:rsidR="00AE1E43" w:rsidRPr="00B94012">
        <w:rPr>
          <w:rFonts w:cs="Arial"/>
          <w:color w:val="000000"/>
          <w:sz w:val="22"/>
          <w:szCs w:val="22"/>
        </w:rPr>
        <w:t xml:space="preserve"> </w:t>
      </w:r>
      <w:r w:rsidRPr="00B94012">
        <w:rPr>
          <w:rFonts w:cs="Arial"/>
          <w:color w:val="000000"/>
          <w:sz w:val="22"/>
          <w:szCs w:val="22"/>
        </w:rPr>
        <w:t>a po vstupu ČR do EU</w:t>
      </w:r>
      <w:r w:rsidR="00B80C7A" w:rsidRPr="00B94012">
        <w:rPr>
          <w:rFonts w:cs="Arial"/>
          <w:color w:val="000000"/>
          <w:sz w:val="22"/>
          <w:szCs w:val="22"/>
        </w:rPr>
        <w:t>, pokud byly offsety realizovány</w:t>
      </w:r>
      <w:r w:rsidRPr="00B94012">
        <w:rPr>
          <w:rFonts w:cs="Arial"/>
          <w:color w:val="000000"/>
          <w:sz w:val="22"/>
          <w:szCs w:val="22"/>
        </w:rPr>
        <w:t xml:space="preserve"> </w:t>
      </w:r>
      <w:r w:rsidR="00D920E5">
        <w:rPr>
          <w:rFonts w:cs="Arial"/>
          <w:color w:val="000000"/>
          <w:sz w:val="22"/>
          <w:szCs w:val="22"/>
        </w:rPr>
        <w:t>v </w:t>
      </w:r>
      <w:r w:rsidR="007F46DD" w:rsidRPr="00B94012">
        <w:rPr>
          <w:rFonts w:cs="Arial"/>
          <w:color w:val="000000"/>
          <w:sz w:val="22"/>
          <w:szCs w:val="22"/>
        </w:rPr>
        <w:t xml:space="preserve">režimu </w:t>
      </w:r>
      <w:r w:rsidR="00773C7A">
        <w:rPr>
          <w:rFonts w:cs="Arial"/>
          <w:color w:val="000000"/>
          <w:sz w:val="22"/>
          <w:szCs w:val="22"/>
        </w:rPr>
        <w:t>„</w:t>
      </w:r>
      <w:r w:rsidR="007F46DD" w:rsidRPr="00B94012">
        <w:rPr>
          <w:rFonts w:cs="Arial"/>
          <w:color w:val="000000"/>
          <w:sz w:val="22"/>
          <w:szCs w:val="22"/>
        </w:rPr>
        <w:t>vývoz z celního území</w:t>
      </w:r>
      <w:r w:rsidRPr="00B94012">
        <w:rPr>
          <w:rFonts w:cs="Arial"/>
          <w:color w:val="000000"/>
          <w:sz w:val="22"/>
          <w:szCs w:val="22"/>
        </w:rPr>
        <w:t xml:space="preserve"> EU</w:t>
      </w:r>
      <w:r w:rsidR="00773C7A">
        <w:rPr>
          <w:rFonts w:cs="Arial"/>
          <w:color w:val="000000"/>
          <w:sz w:val="22"/>
          <w:szCs w:val="22"/>
        </w:rPr>
        <w:t>“</w:t>
      </w:r>
      <w:r w:rsidRPr="00B94012">
        <w:rPr>
          <w:rFonts w:cs="Arial"/>
          <w:color w:val="000000"/>
          <w:sz w:val="22"/>
          <w:szCs w:val="22"/>
        </w:rPr>
        <w:t>.</w:t>
      </w:r>
      <w:r w:rsidR="00E277EB" w:rsidRPr="00E277EB">
        <w:rPr>
          <w:sz w:val="22"/>
          <w:szCs w:val="22"/>
        </w:rPr>
        <w:t xml:space="preserve"> </w:t>
      </w:r>
      <w:r w:rsidR="00E277EB" w:rsidRPr="00B94012">
        <w:rPr>
          <w:sz w:val="22"/>
          <w:szCs w:val="22"/>
        </w:rPr>
        <w:t xml:space="preserve">Kontrola u GFŘ byla </w:t>
      </w:r>
      <w:r w:rsidR="00E277EB" w:rsidRPr="00B94012">
        <w:rPr>
          <w:rFonts w:cs="Arial"/>
          <w:sz w:val="22"/>
          <w:szCs w:val="22"/>
        </w:rPr>
        <w:t xml:space="preserve">prováděna za účelem ověření vybraných parametrů vzorku offsetových transakcí realizovaných českými partnery po vstupu ČR do EU </w:t>
      </w:r>
      <w:r w:rsidR="00D920E5">
        <w:rPr>
          <w:rFonts w:cs="Arial"/>
          <w:sz w:val="22"/>
          <w:szCs w:val="22"/>
        </w:rPr>
        <w:t>v </w:t>
      </w:r>
      <w:r w:rsidR="00E277EB" w:rsidRPr="00B94012">
        <w:rPr>
          <w:rFonts w:cs="Arial"/>
          <w:sz w:val="22"/>
          <w:szCs w:val="22"/>
        </w:rPr>
        <w:t>rámci dodání zboží do jiného členského státu.</w:t>
      </w:r>
    </w:p>
    <w:p w14:paraId="1ADF4281" w14:textId="77777777" w:rsidR="006B5FBB" w:rsidRPr="00B94012" w:rsidRDefault="006B5FBB" w:rsidP="000F7C14">
      <w:pPr>
        <w:pStyle w:val="Odstavecseseznamem"/>
        <w:ind w:left="0"/>
        <w:jc w:val="both"/>
        <w:rPr>
          <w:rFonts w:cs="Arial"/>
          <w:color w:val="000000"/>
          <w:sz w:val="22"/>
          <w:szCs w:val="22"/>
        </w:rPr>
      </w:pPr>
    </w:p>
    <w:p w14:paraId="3F25AB1D" w14:textId="69831A12" w:rsidR="00EB7E1A" w:rsidRDefault="00B80C7A" w:rsidP="000F7C14">
      <w:pPr>
        <w:jc w:val="both"/>
        <w:rPr>
          <w:rFonts w:cs="Arial"/>
          <w:sz w:val="22"/>
          <w:szCs w:val="22"/>
        </w:rPr>
      </w:pPr>
      <w:r w:rsidRPr="000144B2">
        <w:rPr>
          <w:rFonts w:cs="Arial"/>
          <w:sz w:val="22"/>
          <w:szCs w:val="22"/>
        </w:rPr>
        <w:t>Odchylky</w:t>
      </w:r>
      <w:r w:rsidR="007D198C">
        <w:rPr>
          <w:rFonts w:cs="Arial"/>
          <w:sz w:val="22"/>
          <w:szCs w:val="22"/>
        </w:rPr>
        <w:t xml:space="preserve"> byly zjištěny </w:t>
      </w:r>
      <w:r w:rsidRPr="000144B2">
        <w:rPr>
          <w:rFonts w:cs="Arial"/>
          <w:sz w:val="22"/>
          <w:szCs w:val="22"/>
        </w:rPr>
        <w:t>mezi evidencí kontrolovaných osob MPO, MV a MO z</w:t>
      </w:r>
      <w:r w:rsidR="000144B2" w:rsidRPr="000144B2">
        <w:rPr>
          <w:rFonts w:cs="Arial"/>
          <w:sz w:val="22"/>
          <w:szCs w:val="22"/>
        </w:rPr>
        <w:t> </w:t>
      </w:r>
      <w:r w:rsidRPr="000144B2">
        <w:rPr>
          <w:rFonts w:cs="Arial"/>
          <w:sz w:val="22"/>
          <w:szCs w:val="22"/>
        </w:rPr>
        <w:t>dokladů</w:t>
      </w:r>
      <w:r w:rsidR="000144B2" w:rsidRPr="000144B2">
        <w:rPr>
          <w:rFonts w:cs="Arial"/>
          <w:sz w:val="22"/>
          <w:szCs w:val="22"/>
        </w:rPr>
        <w:t xml:space="preserve"> a</w:t>
      </w:r>
      <w:r w:rsidR="0001442A">
        <w:rPr>
          <w:rFonts w:cs="Arial"/>
          <w:sz w:val="22"/>
          <w:szCs w:val="22"/>
        </w:rPr>
        <w:t> </w:t>
      </w:r>
      <w:r w:rsidR="000144B2" w:rsidRPr="000144B2">
        <w:rPr>
          <w:rFonts w:cs="Arial"/>
          <w:sz w:val="22"/>
          <w:szCs w:val="22"/>
        </w:rPr>
        <w:t>informací</w:t>
      </w:r>
      <w:r w:rsidRPr="000144B2">
        <w:rPr>
          <w:rFonts w:cs="Arial"/>
          <w:sz w:val="22"/>
          <w:szCs w:val="22"/>
        </w:rPr>
        <w:t xml:space="preserve">, které tyto kontrolované osoby </w:t>
      </w:r>
      <w:r w:rsidR="00EB7E1A" w:rsidRPr="000144B2">
        <w:rPr>
          <w:rFonts w:cs="Arial"/>
          <w:sz w:val="22"/>
          <w:szCs w:val="22"/>
        </w:rPr>
        <w:t xml:space="preserve">k PPS </w:t>
      </w:r>
      <w:r w:rsidRPr="000144B2">
        <w:rPr>
          <w:rFonts w:cs="Arial"/>
          <w:sz w:val="22"/>
          <w:szCs w:val="22"/>
        </w:rPr>
        <w:t>předložily</w:t>
      </w:r>
      <w:r w:rsidR="000144B2" w:rsidRPr="000144B2">
        <w:rPr>
          <w:rFonts w:cs="Arial"/>
          <w:sz w:val="22"/>
          <w:szCs w:val="22"/>
        </w:rPr>
        <w:t>.</w:t>
      </w:r>
      <w:r w:rsidR="0001442A">
        <w:rPr>
          <w:rFonts w:cs="Arial"/>
          <w:sz w:val="22"/>
          <w:szCs w:val="22"/>
        </w:rPr>
        <w:t xml:space="preserve"> </w:t>
      </w:r>
      <w:r w:rsidR="000144B2" w:rsidRPr="000144B2">
        <w:rPr>
          <w:rFonts w:cs="Arial"/>
          <w:sz w:val="22"/>
          <w:szCs w:val="22"/>
        </w:rPr>
        <w:t xml:space="preserve">Evidence u finančních a celních orgánů byla zajištěna prostřednictvím elektronických systémů. Na základě </w:t>
      </w:r>
      <w:r w:rsidR="00156228">
        <w:rPr>
          <w:rFonts w:cs="Arial"/>
          <w:sz w:val="22"/>
          <w:szCs w:val="22"/>
        </w:rPr>
        <w:t>analýzy a porovnání</w:t>
      </w:r>
      <w:r w:rsidR="000144B2" w:rsidRPr="000144B2">
        <w:rPr>
          <w:rFonts w:cs="Arial"/>
          <w:sz w:val="22"/>
          <w:szCs w:val="22"/>
        </w:rPr>
        <w:t xml:space="preserve"> údajů </w:t>
      </w:r>
      <w:r w:rsidR="00D920E5">
        <w:rPr>
          <w:rFonts w:cs="Arial"/>
          <w:sz w:val="22"/>
          <w:szCs w:val="22"/>
        </w:rPr>
        <w:t>z </w:t>
      </w:r>
      <w:r w:rsidR="000144B2" w:rsidRPr="000144B2">
        <w:rPr>
          <w:rFonts w:cs="Arial"/>
          <w:sz w:val="22"/>
          <w:szCs w:val="22"/>
        </w:rPr>
        <w:t xml:space="preserve">PPS </w:t>
      </w:r>
      <w:r w:rsidR="00A8096E">
        <w:rPr>
          <w:rFonts w:cs="Arial"/>
          <w:sz w:val="22"/>
          <w:szCs w:val="22"/>
        </w:rPr>
        <w:t>a</w:t>
      </w:r>
      <w:r w:rsidR="000144B2" w:rsidRPr="000144B2">
        <w:rPr>
          <w:rFonts w:cs="Arial"/>
          <w:sz w:val="22"/>
          <w:szCs w:val="22"/>
        </w:rPr>
        <w:t> </w:t>
      </w:r>
      <w:r w:rsidR="00A8096E">
        <w:rPr>
          <w:rFonts w:cs="Arial"/>
          <w:sz w:val="22"/>
          <w:szCs w:val="22"/>
        </w:rPr>
        <w:t xml:space="preserve">údajů </w:t>
      </w:r>
      <w:r w:rsidR="00156228">
        <w:rPr>
          <w:rFonts w:cs="Arial"/>
          <w:sz w:val="22"/>
          <w:szCs w:val="22"/>
        </w:rPr>
        <w:t>z</w:t>
      </w:r>
      <w:r w:rsidR="00D920E5">
        <w:rPr>
          <w:rFonts w:cs="Arial"/>
          <w:sz w:val="22"/>
          <w:szCs w:val="22"/>
        </w:rPr>
        <w:t> </w:t>
      </w:r>
      <w:r w:rsidR="00A8096E">
        <w:rPr>
          <w:rFonts w:cs="Arial"/>
          <w:sz w:val="22"/>
          <w:szCs w:val="22"/>
        </w:rPr>
        <w:t xml:space="preserve">uvedených </w:t>
      </w:r>
      <w:r w:rsidR="000144B2" w:rsidRPr="000144B2">
        <w:rPr>
          <w:rFonts w:cs="Arial"/>
          <w:sz w:val="22"/>
          <w:szCs w:val="22"/>
        </w:rPr>
        <w:t>systé</w:t>
      </w:r>
      <w:r w:rsidR="00A8096E">
        <w:rPr>
          <w:rFonts w:cs="Arial"/>
          <w:sz w:val="22"/>
          <w:szCs w:val="22"/>
        </w:rPr>
        <w:t>m</w:t>
      </w:r>
      <w:r w:rsidR="00156228">
        <w:rPr>
          <w:rFonts w:cs="Arial"/>
          <w:sz w:val="22"/>
          <w:szCs w:val="22"/>
        </w:rPr>
        <w:t>ů</w:t>
      </w:r>
      <w:r w:rsidR="000144B2" w:rsidRPr="000144B2">
        <w:rPr>
          <w:rFonts w:cs="Arial"/>
          <w:sz w:val="22"/>
          <w:szCs w:val="22"/>
        </w:rPr>
        <w:t xml:space="preserve"> </w:t>
      </w:r>
      <w:r w:rsidR="000144B2" w:rsidRPr="0068575C">
        <w:rPr>
          <w:rFonts w:cs="Arial"/>
          <w:b/>
          <w:sz w:val="22"/>
          <w:szCs w:val="22"/>
        </w:rPr>
        <w:t>nebyly</w:t>
      </w:r>
      <w:r w:rsidR="00A8096E">
        <w:rPr>
          <w:rFonts w:cs="Arial"/>
          <w:b/>
          <w:sz w:val="22"/>
          <w:szCs w:val="22"/>
        </w:rPr>
        <w:t xml:space="preserve"> </w:t>
      </w:r>
      <w:r w:rsidR="000144B2" w:rsidRPr="0068575C">
        <w:rPr>
          <w:rFonts w:cs="Arial"/>
          <w:b/>
          <w:sz w:val="22"/>
          <w:szCs w:val="22"/>
        </w:rPr>
        <w:t xml:space="preserve">zjištěny skutečnosti, které by </w:t>
      </w:r>
      <w:r w:rsidR="00230C82">
        <w:rPr>
          <w:rFonts w:cs="Arial"/>
          <w:b/>
          <w:sz w:val="22"/>
          <w:szCs w:val="22"/>
        </w:rPr>
        <w:t>vyžadovaly poskytn</w:t>
      </w:r>
      <w:r w:rsidR="00156228">
        <w:rPr>
          <w:rFonts w:cs="Arial"/>
          <w:b/>
          <w:sz w:val="22"/>
          <w:szCs w:val="22"/>
        </w:rPr>
        <w:t>utí</w:t>
      </w:r>
      <w:r w:rsidR="00230C82">
        <w:rPr>
          <w:rFonts w:cs="Arial"/>
          <w:b/>
          <w:sz w:val="22"/>
          <w:szCs w:val="22"/>
        </w:rPr>
        <w:t xml:space="preserve"> </w:t>
      </w:r>
      <w:r w:rsidR="006B1F08">
        <w:rPr>
          <w:rFonts w:cs="Arial"/>
          <w:b/>
          <w:sz w:val="22"/>
          <w:szCs w:val="22"/>
        </w:rPr>
        <w:t>údaj</w:t>
      </w:r>
      <w:r w:rsidR="00156228">
        <w:rPr>
          <w:rFonts w:cs="Arial"/>
          <w:b/>
          <w:sz w:val="22"/>
          <w:szCs w:val="22"/>
        </w:rPr>
        <w:t>ů</w:t>
      </w:r>
      <w:r w:rsidR="00230C82">
        <w:rPr>
          <w:rFonts w:cs="Arial"/>
          <w:b/>
          <w:sz w:val="22"/>
          <w:szCs w:val="22"/>
        </w:rPr>
        <w:t xml:space="preserve"> správci daně</w:t>
      </w:r>
      <w:r w:rsidR="00230C82">
        <w:rPr>
          <w:rStyle w:val="Znakapoznpodarou"/>
          <w:rFonts w:cs="Arial"/>
          <w:b/>
          <w:sz w:val="22"/>
          <w:szCs w:val="22"/>
        </w:rPr>
        <w:footnoteReference w:id="4"/>
      </w:r>
      <w:r w:rsidR="000144B2" w:rsidRPr="000F7C14">
        <w:rPr>
          <w:rFonts w:cs="Arial"/>
          <w:b/>
          <w:sz w:val="22"/>
          <w:szCs w:val="22"/>
        </w:rPr>
        <w:t>.</w:t>
      </w:r>
      <w:r w:rsidR="000144B2" w:rsidRPr="000144B2">
        <w:rPr>
          <w:rFonts w:cs="Arial"/>
          <w:sz w:val="22"/>
          <w:szCs w:val="22"/>
        </w:rPr>
        <w:t xml:space="preserve"> Zjištěné údaje byly dále </w:t>
      </w:r>
      <w:r w:rsidR="00156228">
        <w:rPr>
          <w:rFonts w:cs="Arial"/>
          <w:sz w:val="22"/>
          <w:szCs w:val="22"/>
        </w:rPr>
        <w:t>prověřeny</w:t>
      </w:r>
      <w:r w:rsidRPr="000144B2">
        <w:rPr>
          <w:rFonts w:cs="Arial"/>
          <w:sz w:val="22"/>
          <w:szCs w:val="22"/>
        </w:rPr>
        <w:t xml:space="preserve"> </w:t>
      </w:r>
      <w:r w:rsidR="000144B2">
        <w:rPr>
          <w:rFonts w:cs="Arial"/>
          <w:sz w:val="22"/>
          <w:szCs w:val="22"/>
        </w:rPr>
        <w:t>a</w:t>
      </w:r>
      <w:r w:rsidR="00C04058">
        <w:rPr>
          <w:rFonts w:cs="Arial"/>
          <w:sz w:val="22"/>
          <w:szCs w:val="22"/>
        </w:rPr>
        <w:t> </w:t>
      </w:r>
      <w:r w:rsidR="000144B2">
        <w:rPr>
          <w:rFonts w:cs="Arial"/>
          <w:sz w:val="22"/>
          <w:szCs w:val="22"/>
        </w:rPr>
        <w:t xml:space="preserve">vyhodnoceny </w:t>
      </w:r>
      <w:r w:rsidR="00AF1F97">
        <w:rPr>
          <w:rFonts w:cs="Arial"/>
          <w:sz w:val="22"/>
          <w:szCs w:val="22"/>
        </w:rPr>
        <w:t xml:space="preserve">mimo jiné </w:t>
      </w:r>
      <w:r w:rsidRPr="000144B2">
        <w:rPr>
          <w:rFonts w:cs="Arial"/>
          <w:sz w:val="22"/>
          <w:szCs w:val="22"/>
        </w:rPr>
        <w:t>z hlediska principů novosti a kauzality</w:t>
      </w:r>
      <w:r w:rsidR="00F63236">
        <w:rPr>
          <w:rFonts w:cs="Arial"/>
          <w:sz w:val="22"/>
          <w:szCs w:val="22"/>
        </w:rPr>
        <w:t xml:space="preserve"> (viz kapitola 1.2)</w:t>
      </w:r>
      <w:r w:rsidR="00EB7E1A" w:rsidRPr="000144B2">
        <w:rPr>
          <w:rFonts w:cs="Arial"/>
          <w:sz w:val="22"/>
          <w:szCs w:val="22"/>
        </w:rPr>
        <w:t xml:space="preserve"> </w:t>
      </w:r>
      <w:r w:rsidR="000144B2" w:rsidRPr="000144B2">
        <w:rPr>
          <w:rFonts w:cs="Arial"/>
          <w:sz w:val="22"/>
          <w:szCs w:val="22"/>
        </w:rPr>
        <w:t>u</w:t>
      </w:r>
      <w:r w:rsidR="00C04058">
        <w:rPr>
          <w:rFonts w:cs="Arial"/>
          <w:sz w:val="22"/>
          <w:szCs w:val="22"/>
        </w:rPr>
        <w:t> </w:t>
      </w:r>
      <w:r w:rsidR="000144B2" w:rsidRPr="000144B2">
        <w:rPr>
          <w:rFonts w:cs="Arial"/>
          <w:sz w:val="22"/>
          <w:szCs w:val="22"/>
        </w:rPr>
        <w:t xml:space="preserve">kontrolovaných </w:t>
      </w:r>
      <w:r w:rsidR="00EB7E1A" w:rsidRPr="000144B2">
        <w:rPr>
          <w:rFonts w:cs="Arial"/>
          <w:sz w:val="22"/>
          <w:szCs w:val="22"/>
        </w:rPr>
        <w:t>offsetových transakcí.</w:t>
      </w:r>
      <w:r w:rsidR="00B94E6E" w:rsidRPr="000144B2">
        <w:rPr>
          <w:rFonts w:cs="Arial"/>
          <w:sz w:val="22"/>
          <w:szCs w:val="22"/>
        </w:rPr>
        <w:t xml:space="preserve"> </w:t>
      </w:r>
    </w:p>
    <w:p w14:paraId="02071899" w14:textId="77777777" w:rsidR="006B5FBB" w:rsidRDefault="006B5FBB" w:rsidP="000F7C14">
      <w:pPr>
        <w:jc w:val="both"/>
        <w:rPr>
          <w:rFonts w:cs="Arial"/>
          <w:sz w:val="22"/>
          <w:szCs w:val="22"/>
        </w:rPr>
      </w:pPr>
    </w:p>
    <w:p w14:paraId="3F25AB1E" w14:textId="370317CE" w:rsidR="00B80C7A" w:rsidRPr="00B94012" w:rsidRDefault="00773C7A" w:rsidP="000F7C14">
      <w:pPr>
        <w:pStyle w:val="Nadpis2"/>
        <w:spacing w:before="0"/>
        <w:rPr>
          <w:sz w:val="22"/>
          <w:szCs w:val="22"/>
        </w:rPr>
      </w:pPr>
      <w:r>
        <w:rPr>
          <w:sz w:val="22"/>
          <w:szCs w:val="22"/>
        </w:rPr>
        <w:t xml:space="preserve">2. </w:t>
      </w:r>
      <w:r w:rsidR="00EB7E1A" w:rsidRPr="00B94012">
        <w:rPr>
          <w:sz w:val="22"/>
          <w:szCs w:val="22"/>
        </w:rPr>
        <w:t>Kontrolované osoby</w:t>
      </w:r>
      <w:r w:rsidR="00B80C7A" w:rsidRPr="00B94012">
        <w:rPr>
          <w:sz w:val="22"/>
          <w:szCs w:val="22"/>
        </w:rPr>
        <w:t xml:space="preserve"> </w:t>
      </w:r>
      <w:r w:rsidR="00EB7E1A" w:rsidRPr="00B94012">
        <w:rPr>
          <w:sz w:val="22"/>
          <w:szCs w:val="22"/>
        </w:rPr>
        <w:t>a jejich úloha v</w:t>
      </w:r>
      <w:r w:rsidR="00D077A8" w:rsidRPr="00B94012">
        <w:rPr>
          <w:sz w:val="22"/>
          <w:szCs w:val="22"/>
        </w:rPr>
        <w:t xml:space="preserve"> rámci </w:t>
      </w:r>
      <w:r w:rsidR="00EB7E1A" w:rsidRPr="00B94012">
        <w:rPr>
          <w:sz w:val="22"/>
          <w:szCs w:val="22"/>
        </w:rPr>
        <w:t>uplatňov</w:t>
      </w:r>
      <w:r w:rsidR="00C443A7">
        <w:rPr>
          <w:sz w:val="22"/>
          <w:szCs w:val="22"/>
        </w:rPr>
        <w:t>ané</w:t>
      </w:r>
      <w:r w:rsidR="00EB7E1A" w:rsidRPr="00B94012">
        <w:rPr>
          <w:sz w:val="22"/>
          <w:szCs w:val="22"/>
        </w:rPr>
        <w:t xml:space="preserve"> offsetové politiky</w:t>
      </w:r>
    </w:p>
    <w:p w14:paraId="3F25AB1F" w14:textId="48654CFE" w:rsidR="00D077A8" w:rsidRDefault="00D077A8" w:rsidP="000F7C14">
      <w:pPr>
        <w:autoSpaceDE w:val="0"/>
        <w:autoSpaceDN w:val="0"/>
        <w:adjustRightInd w:val="0"/>
        <w:jc w:val="both"/>
        <w:rPr>
          <w:rFonts w:cs="Arial"/>
          <w:sz w:val="22"/>
          <w:szCs w:val="22"/>
        </w:rPr>
      </w:pPr>
      <w:r w:rsidRPr="00B94012">
        <w:rPr>
          <w:rFonts w:cs="Arial"/>
          <w:b/>
          <w:bCs/>
          <w:sz w:val="22"/>
          <w:szCs w:val="22"/>
        </w:rPr>
        <w:t>MPO</w:t>
      </w:r>
      <w:r w:rsidRPr="00B94012">
        <w:rPr>
          <w:rFonts w:cs="Arial"/>
          <w:bCs/>
          <w:sz w:val="22"/>
          <w:szCs w:val="22"/>
        </w:rPr>
        <w:t xml:space="preserve"> </w:t>
      </w:r>
      <w:r w:rsidRPr="00B94012">
        <w:rPr>
          <w:rFonts w:cs="Arial"/>
          <w:sz w:val="22"/>
          <w:szCs w:val="22"/>
        </w:rPr>
        <w:t>je ústředním orgánem státní správy mimo jiné pro státní průmyslovou politiku, obchodní politiku, zahraničně ekonomickou politiku</w:t>
      </w:r>
      <w:r w:rsidR="007D198C">
        <w:rPr>
          <w:rFonts w:cs="Arial"/>
          <w:sz w:val="22"/>
          <w:szCs w:val="22"/>
        </w:rPr>
        <w:t xml:space="preserve"> atd</w:t>
      </w:r>
      <w:r w:rsidRPr="00B94012">
        <w:rPr>
          <w:rFonts w:cs="Arial"/>
          <w:sz w:val="22"/>
          <w:szCs w:val="22"/>
        </w:rPr>
        <w:t>.</w:t>
      </w:r>
      <w:r w:rsidRPr="00B94012">
        <w:rPr>
          <w:rStyle w:val="Znakapoznpodarou"/>
          <w:rFonts w:cs="Arial"/>
          <w:sz w:val="22"/>
          <w:szCs w:val="22"/>
        </w:rPr>
        <w:footnoteReference w:id="5"/>
      </w:r>
      <w:r w:rsidRPr="00B94012">
        <w:rPr>
          <w:rFonts w:cs="Arial"/>
          <w:sz w:val="22"/>
          <w:szCs w:val="22"/>
        </w:rPr>
        <w:t xml:space="preserve"> Vláda pověřila MPO zřízením meziresortní </w:t>
      </w:r>
      <w:r w:rsidRPr="00470F93">
        <w:rPr>
          <w:rFonts w:cs="Arial"/>
          <w:b/>
          <w:sz w:val="22"/>
          <w:szCs w:val="22"/>
        </w:rPr>
        <w:t>offsetové komise</w:t>
      </w:r>
      <w:r w:rsidRPr="00B94012">
        <w:rPr>
          <w:rFonts w:cs="Arial"/>
          <w:sz w:val="22"/>
          <w:szCs w:val="22"/>
        </w:rPr>
        <w:t xml:space="preserve"> (dále také </w:t>
      </w:r>
      <w:r w:rsidRPr="00A77368">
        <w:rPr>
          <w:rFonts w:cs="Arial"/>
          <w:sz w:val="22"/>
          <w:szCs w:val="22"/>
        </w:rPr>
        <w:t>„OFK“),</w:t>
      </w:r>
      <w:r w:rsidRPr="00B94012">
        <w:rPr>
          <w:rFonts w:cs="Arial"/>
          <w:sz w:val="22"/>
          <w:szCs w:val="22"/>
        </w:rPr>
        <w:t xml:space="preserve"> která plní úkoly související s přípravou, realizací a</w:t>
      </w:r>
      <w:r w:rsidR="005978E4">
        <w:rPr>
          <w:rFonts w:cs="Arial"/>
          <w:sz w:val="22"/>
          <w:szCs w:val="22"/>
        </w:rPr>
        <w:t> </w:t>
      </w:r>
      <w:r w:rsidRPr="00B94012">
        <w:rPr>
          <w:rFonts w:cs="Arial"/>
          <w:sz w:val="22"/>
          <w:szCs w:val="22"/>
        </w:rPr>
        <w:t>vyhodnoc</w:t>
      </w:r>
      <w:r w:rsidR="00156228">
        <w:rPr>
          <w:rFonts w:cs="Arial"/>
          <w:sz w:val="22"/>
          <w:szCs w:val="22"/>
        </w:rPr>
        <w:t>ováním</w:t>
      </w:r>
      <w:r w:rsidRPr="00B94012">
        <w:rPr>
          <w:rFonts w:cs="Arial"/>
          <w:sz w:val="22"/>
          <w:szCs w:val="22"/>
        </w:rPr>
        <w:t xml:space="preserve"> offsetových programů. Předsedou OFK je příslušný náměstek MPO. MPO jmenuje na základě návrhů z dotčených ministerstev členy této komise, aktualizuje její statut a jednací řád. Kompetence MPO a OFK byly v průběhu doby upřesňovány usneseními vlády ČR a interními předpisy MPO</w:t>
      </w:r>
      <w:r w:rsidR="00AD293F" w:rsidRPr="00B94012">
        <w:rPr>
          <w:rFonts w:cs="Arial"/>
          <w:sz w:val="22"/>
          <w:szCs w:val="22"/>
        </w:rPr>
        <w:t>.</w:t>
      </w:r>
      <w:r w:rsidR="0001442A">
        <w:rPr>
          <w:rFonts w:cs="Arial"/>
          <w:sz w:val="22"/>
          <w:szCs w:val="22"/>
        </w:rPr>
        <w:t xml:space="preserve"> </w:t>
      </w:r>
    </w:p>
    <w:p w14:paraId="65474EDE" w14:textId="77777777" w:rsidR="006B5FBB" w:rsidRPr="00B94012" w:rsidRDefault="006B5FBB" w:rsidP="000F7C14">
      <w:pPr>
        <w:autoSpaceDE w:val="0"/>
        <w:autoSpaceDN w:val="0"/>
        <w:adjustRightInd w:val="0"/>
        <w:jc w:val="both"/>
        <w:rPr>
          <w:sz w:val="22"/>
          <w:szCs w:val="22"/>
        </w:rPr>
      </w:pPr>
    </w:p>
    <w:p w14:paraId="3F25AB20" w14:textId="28CE414D" w:rsidR="00572B56" w:rsidRDefault="00D077A8" w:rsidP="000F7C14">
      <w:pPr>
        <w:jc w:val="both"/>
        <w:rPr>
          <w:rFonts w:cs="Arial"/>
          <w:sz w:val="22"/>
          <w:szCs w:val="22"/>
        </w:rPr>
      </w:pPr>
      <w:r w:rsidRPr="00B94012">
        <w:rPr>
          <w:rFonts w:cs="Arial"/>
          <w:b/>
          <w:sz w:val="22"/>
          <w:szCs w:val="22"/>
        </w:rPr>
        <w:lastRenderedPageBreak/>
        <w:t>MO</w:t>
      </w:r>
      <w:r w:rsidRPr="00B94012">
        <w:rPr>
          <w:rFonts w:cs="Arial"/>
          <w:sz w:val="22"/>
          <w:szCs w:val="22"/>
        </w:rPr>
        <w:t xml:space="preserve"> a </w:t>
      </w:r>
      <w:r w:rsidRPr="00B94012">
        <w:rPr>
          <w:rFonts w:cs="Arial"/>
          <w:b/>
          <w:sz w:val="22"/>
          <w:szCs w:val="22"/>
        </w:rPr>
        <w:t>MV</w:t>
      </w:r>
      <w:r w:rsidRPr="00B94012">
        <w:rPr>
          <w:rFonts w:cs="Arial"/>
          <w:sz w:val="22"/>
          <w:szCs w:val="22"/>
        </w:rPr>
        <w:t xml:space="preserve"> jsou ústředními orgány státní správy zejména pro z</w:t>
      </w:r>
      <w:r w:rsidR="0083117D">
        <w:rPr>
          <w:rFonts w:cs="Arial"/>
          <w:sz w:val="22"/>
          <w:szCs w:val="22"/>
        </w:rPr>
        <w:t xml:space="preserve">ajišťování </w:t>
      </w:r>
      <w:r w:rsidRPr="00B94012">
        <w:rPr>
          <w:rFonts w:cs="Arial"/>
          <w:sz w:val="22"/>
          <w:szCs w:val="22"/>
        </w:rPr>
        <w:t>obrany</w:t>
      </w:r>
      <w:r w:rsidR="009E4D6B" w:rsidRPr="00B94012">
        <w:rPr>
          <w:rStyle w:val="Znakapoznpodarou"/>
          <w:rFonts w:cs="Arial"/>
          <w:sz w:val="22"/>
          <w:szCs w:val="22"/>
        </w:rPr>
        <w:footnoteReference w:id="6"/>
      </w:r>
      <w:r w:rsidRPr="00B94012">
        <w:rPr>
          <w:rFonts w:cs="Arial"/>
          <w:sz w:val="22"/>
          <w:szCs w:val="22"/>
        </w:rPr>
        <w:t xml:space="preserve"> České republiky, resp. vnitřní věci</w:t>
      </w:r>
      <w:r w:rsidR="009E4D6B" w:rsidRPr="00B94012">
        <w:rPr>
          <w:rStyle w:val="Znakapoznpodarou"/>
          <w:rFonts w:cs="Arial"/>
          <w:sz w:val="22"/>
          <w:szCs w:val="22"/>
        </w:rPr>
        <w:footnoteReference w:id="7"/>
      </w:r>
      <w:r w:rsidR="009E4D6B" w:rsidRPr="00B94012">
        <w:rPr>
          <w:rFonts w:cs="Arial"/>
          <w:sz w:val="22"/>
          <w:szCs w:val="22"/>
        </w:rPr>
        <w:t xml:space="preserve">. Obě ministerstva </w:t>
      </w:r>
      <w:r w:rsidRPr="00B94012">
        <w:rPr>
          <w:rFonts w:cs="Arial"/>
          <w:sz w:val="22"/>
          <w:szCs w:val="22"/>
        </w:rPr>
        <w:t>byl</w:t>
      </w:r>
      <w:r w:rsidR="009E4D6B" w:rsidRPr="00B94012">
        <w:rPr>
          <w:rFonts w:cs="Arial"/>
          <w:sz w:val="22"/>
          <w:szCs w:val="22"/>
        </w:rPr>
        <w:t>a</w:t>
      </w:r>
      <w:r w:rsidRPr="00B94012">
        <w:rPr>
          <w:rFonts w:cs="Arial"/>
          <w:sz w:val="22"/>
          <w:szCs w:val="22"/>
        </w:rPr>
        <w:t xml:space="preserve"> zadavatelem veřejných zakázek, v</w:t>
      </w:r>
      <w:r w:rsidR="0083117D">
        <w:rPr>
          <w:rFonts w:cs="Arial"/>
          <w:sz w:val="22"/>
          <w:szCs w:val="22"/>
        </w:rPr>
        <w:t> </w:t>
      </w:r>
      <w:r w:rsidRPr="00B94012">
        <w:rPr>
          <w:rFonts w:cs="Arial"/>
          <w:sz w:val="22"/>
          <w:szCs w:val="22"/>
        </w:rPr>
        <w:t>souvislosti s</w:t>
      </w:r>
      <w:r w:rsidR="009E4D6B" w:rsidRPr="00B94012">
        <w:rPr>
          <w:rFonts w:cs="Arial"/>
          <w:sz w:val="22"/>
          <w:szCs w:val="22"/>
        </w:rPr>
        <w:t> jejichž plněním</w:t>
      </w:r>
      <w:r w:rsidRPr="00B94012">
        <w:rPr>
          <w:rFonts w:cs="Arial"/>
          <w:sz w:val="22"/>
          <w:szCs w:val="22"/>
        </w:rPr>
        <w:t xml:space="preserve"> uzav</w:t>
      </w:r>
      <w:r w:rsidR="009B1B85" w:rsidRPr="00B94012">
        <w:rPr>
          <w:rFonts w:cs="Arial"/>
          <w:sz w:val="22"/>
          <w:szCs w:val="22"/>
        </w:rPr>
        <w:t xml:space="preserve">írala </w:t>
      </w:r>
      <w:r w:rsidRPr="00B94012">
        <w:rPr>
          <w:rFonts w:cs="Arial"/>
          <w:sz w:val="22"/>
          <w:szCs w:val="22"/>
        </w:rPr>
        <w:t>offsetové dohody</w:t>
      </w:r>
      <w:r w:rsidR="00572B56" w:rsidRPr="00B94012">
        <w:rPr>
          <w:rFonts w:cs="Arial"/>
          <w:sz w:val="22"/>
          <w:szCs w:val="22"/>
        </w:rPr>
        <w:t xml:space="preserve"> k plnění PPS, a </w:t>
      </w:r>
      <w:r w:rsidR="00C443A7">
        <w:rPr>
          <w:rFonts w:cs="Arial"/>
          <w:sz w:val="22"/>
          <w:szCs w:val="22"/>
        </w:rPr>
        <w:t xml:space="preserve">měla </w:t>
      </w:r>
      <w:r w:rsidR="00572B56" w:rsidRPr="00B94012">
        <w:rPr>
          <w:rFonts w:cs="Arial"/>
          <w:sz w:val="22"/>
          <w:szCs w:val="22"/>
        </w:rPr>
        <w:t>plni</w:t>
      </w:r>
      <w:r w:rsidR="00C443A7">
        <w:rPr>
          <w:rFonts w:cs="Arial"/>
          <w:sz w:val="22"/>
          <w:szCs w:val="22"/>
        </w:rPr>
        <w:t>t</w:t>
      </w:r>
      <w:r w:rsidR="00572B56" w:rsidRPr="00B94012">
        <w:rPr>
          <w:rFonts w:cs="Arial"/>
          <w:sz w:val="22"/>
          <w:szCs w:val="22"/>
        </w:rPr>
        <w:t xml:space="preserve"> řadu úkolů v přípravě a realizaci PPS, včetně kontroly plnění jednotlivých offsetových transakcí (dále také </w:t>
      </w:r>
      <w:r w:rsidR="00572B56" w:rsidRPr="00A77368">
        <w:rPr>
          <w:rFonts w:cs="Arial"/>
          <w:sz w:val="22"/>
          <w:szCs w:val="22"/>
        </w:rPr>
        <w:t>„OFT“)</w:t>
      </w:r>
      <w:r w:rsidR="009A5AFE">
        <w:rPr>
          <w:rFonts w:cs="Arial"/>
          <w:sz w:val="22"/>
          <w:szCs w:val="22"/>
        </w:rPr>
        <w:t>.</w:t>
      </w:r>
    </w:p>
    <w:p w14:paraId="7BA977B5" w14:textId="77777777" w:rsidR="006B5FBB" w:rsidRPr="00B94012" w:rsidRDefault="006B5FBB" w:rsidP="000F7C14">
      <w:pPr>
        <w:jc w:val="both"/>
        <w:rPr>
          <w:rFonts w:cs="Arial"/>
          <w:sz w:val="22"/>
          <w:szCs w:val="22"/>
        </w:rPr>
      </w:pPr>
    </w:p>
    <w:p w14:paraId="3F25AB21" w14:textId="77777777" w:rsidR="009B1B85" w:rsidRDefault="009B1B85" w:rsidP="000F7C14">
      <w:pPr>
        <w:jc w:val="both"/>
        <w:rPr>
          <w:rFonts w:cs="Arial"/>
          <w:sz w:val="22"/>
          <w:szCs w:val="22"/>
        </w:rPr>
      </w:pPr>
      <w:r w:rsidRPr="00B94012">
        <w:rPr>
          <w:rFonts w:cs="Arial"/>
          <w:b/>
          <w:sz w:val="22"/>
          <w:szCs w:val="22"/>
        </w:rPr>
        <w:t>Orgány daňové a celní správy</w:t>
      </w:r>
      <w:r w:rsidRPr="00B94012">
        <w:rPr>
          <w:rFonts w:cs="Arial"/>
          <w:sz w:val="22"/>
          <w:szCs w:val="22"/>
        </w:rPr>
        <w:t xml:space="preserve"> (GFŘ, GŘC) ne</w:t>
      </w:r>
      <w:r w:rsidR="00767129" w:rsidRPr="00B94012">
        <w:rPr>
          <w:rFonts w:cs="Arial"/>
          <w:sz w:val="22"/>
          <w:szCs w:val="22"/>
        </w:rPr>
        <w:t xml:space="preserve">byly </w:t>
      </w:r>
      <w:r w:rsidRPr="00B94012">
        <w:rPr>
          <w:rFonts w:cs="Arial"/>
          <w:sz w:val="22"/>
          <w:szCs w:val="22"/>
        </w:rPr>
        <w:t>do uplatňování offsetové politiky</w:t>
      </w:r>
      <w:r w:rsidR="00767129" w:rsidRPr="00B94012">
        <w:rPr>
          <w:rFonts w:cs="Arial"/>
          <w:sz w:val="22"/>
          <w:szCs w:val="22"/>
        </w:rPr>
        <w:t xml:space="preserve"> zapojeny</w:t>
      </w:r>
      <w:r w:rsidRPr="00B94012">
        <w:rPr>
          <w:rFonts w:cs="Arial"/>
          <w:sz w:val="22"/>
          <w:szCs w:val="22"/>
        </w:rPr>
        <w:t xml:space="preserve">, tj. </w:t>
      </w:r>
      <w:r w:rsidR="00767129" w:rsidRPr="00B94012">
        <w:rPr>
          <w:rFonts w:cs="Arial"/>
          <w:sz w:val="22"/>
          <w:szCs w:val="22"/>
        </w:rPr>
        <w:t>neměly kontrolní ani jinou úlohu.</w:t>
      </w:r>
      <w:r w:rsidR="0001442A">
        <w:rPr>
          <w:rFonts w:cs="Arial"/>
          <w:sz w:val="22"/>
          <w:szCs w:val="22"/>
        </w:rPr>
        <w:t xml:space="preserve"> </w:t>
      </w:r>
      <w:r w:rsidRPr="00B94012">
        <w:rPr>
          <w:rFonts w:cs="Arial"/>
          <w:sz w:val="22"/>
          <w:szCs w:val="22"/>
        </w:rPr>
        <w:t xml:space="preserve"> </w:t>
      </w:r>
    </w:p>
    <w:p w14:paraId="5EEBB7F2" w14:textId="77777777" w:rsidR="006704F9" w:rsidRDefault="006704F9" w:rsidP="000F7C14">
      <w:pPr>
        <w:jc w:val="both"/>
        <w:rPr>
          <w:rFonts w:cs="Arial"/>
          <w:sz w:val="22"/>
          <w:szCs w:val="22"/>
        </w:rPr>
      </w:pPr>
    </w:p>
    <w:p w14:paraId="13FCA5F2" w14:textId="77777777" w:rsidR="006704F9" w:rsidRPr="00B94012" w:rsidRDefault="006704F9" w:rsidP="000F7C14">
      <w:pPr>
        <w:jc w:val="both"/>
        <w:rPr>
          <w:rFonts w:cs="Arial"/>
          <w:sz w:val="22"/>
          <w:szCs w:val="22"/>
        </w:rPr>
      </w:pPr>
    </w:p>
    <w:p w14:paraId="3F25AB22" w14:textId="77777777" w:rsidR="005D1A44" w:rsidRPr="000F7C14" w:rsidRDefault="0001442A" w:rsidP="000F7C14">
      <w:pPr>
        <w:pStyle w:val="Nadpis1"/>
        <w:spacing w:before="0" w:after="0"/>
        <w:ind w:left="360"/>
        <w:jc w:val="center"/>
        <w:rPr>
          <w:rFonts w:eastAsia="Calibri"/>
          <w:sz w:val="24"/>
          <w:szCs w:val="24"/>
          <w:lang w:eastAsia="en-US"/>
        </w:rPr>
      </w:pPr>
      <w:r w:rsidRPr="000F7C14">
        <w:rPr>
          <w:rFonts w:eastAsia="Calibri"/>
          <w:sz w:val="24"/>
          <w:szCs w:val="24"/>
          <w:lang w:eastAsia="en-US"/>
        </w:rPr>
        <w:t xml:space="preserve">II. </w:t>
      </w:r>
      <w:r w:rsidR="005D1A44" w:rsidRPr="000F7C14">
        <w:rPr>
          <w:rFonts w:eastAsia="Calibri"/>
          <w:sz w:val="24"/>
          <w:szCs w:val="24"/>
          <w:lang w:eastAsia="en-US"/>
        </w:rPr>
        <w:t>Významné skutečnosti zjištěné při kontrole</w:t>
      </w:r>
    </w:p>
    <w:p w14:paraId="5E76DF06" w14:textId="77777777" w:rsidR="006704F9" w:rsidRPr="000F7C14" w:rsidRDefault="006704F9" w:rsidP="000F7C14">
      <w:pPr>
        <w:rPr>
          <w:rFonts w:eastAsia="Calibri"/>
          <w:lang w:eastAsia="en-US"/>
        </w:rPr>
      </w:pPr>
    </w:p>
    <w:p w14:paraId="3F25AB23" w14:textId="77777777" w:rsidR="005D1A44" w:rsidRPr="00B94012" w:rsidRDefault="00AD293F" w:rsidP="000F7C14">
      <w:pPr>
        <w:pStyle w:val="Nadpis2"/>
        <w:numPr>
          <w:ilvl w:val="0"/>
          <w:numId w:val="3"/>
        </w:numPr>
        <w:spacing w:before="0"/>
        <w:ind w:left="284" w:hanging="284"/>
        <w:rPr>
          <w:rFonts w:eastAsia="Calibri"/>
          <w:sz w:val="22"/>
          <w:szCs w:val="22"/>
          <w:lang w:eastAsia="en-US"/>
        </w:rPr>
      </w:pPr>
      <w:r w:rsidRPr="00B94012">
        <w:rPr>
          <w:rFonts w:eastAsia="Calibri"/>
          <w:sz w:val="22"/>
          <w:szCs w:val="22"/>
          <w:lang w:eastAsia="en-US"/>
        </w:rPr>
        <w:t>Regulatorní rámec offsetové politiky České republiky</w:t>
      </w:r>
    </w:p>
    <w:p w14:paraId="3F25AB24" w14:textId="223434C7" w:rsidR="00616427" w:rsidRDefault="0081455E" w:rsidP="000F7C14">
      <w:pPr>
        <w:jc w:val="both"/>
        <w:rPr>
          <w:rFonts w:cs="Arial"/>
          <w:sz w:val="22"/>
          <w:szCs w:val="22"/>
        </w:rPr>
      </w:pPr>
      <w:r w:rsidRPr="00B94012">
        <w:rPr>
          <w:rFonts w:cs="Arial"/>
          <w:sz w:val="22"/>
          <w:szCs w:val="22"/>
        </w:rPr>
        <w:t xml:space="preserve">V českém právním řádu nejsou offsety, jejich podpora a realizace nijak upraveny. </w:t>
      </w:r>
      <w:r w:rsidR="00AD293F" w:rsidRPr="0068575C">
        <w:rPr>
          <w:sz w:val="22"/>
          <w:szCs w:val="22"/>
        </w:rPr>
        <w:t>Offsetová politika</w:t>
      </w:r>
      <w:r w:rsidR="00AD293F" w:rsidRPr="00B94012">
        <w:rPr>
          <w:sz w:val="22"/>
          <w:szCs w:val="22"/>
        </w:rPr>
        <w:t xml:space="preserve"> byla vymezena podmínkami realizace offsetů nastavenými příslušnými usneseními vlády a</w:t>
      </w:r>
      <w:r w:rsidR="00D9516C">
        <w:rPr>
          <w:sz w:val="22"/>
          <w:szCs w:val="22"/>
        </w:rPr>
        <w:t> </w:t>
      </w:r>
      <w:r w:rsidR="00AD293F" w:rsidRPr="00B94012">
        <w:rPr>
          <w:sz w:val="22"/>
          <w:szCs w:val="22"/>
        </w:rPr>
        <w:t>dále směrnicemi vydanými jako interní normativní akty (opatření) ministra průmyslu a obchodu.</w:t>
      </w:r>
      <w:r w:rsidR="00616427" w:rsidRPr="00B94012">
        <w:rPr>
          <w:sz w:val="22"/>
          <w:szCs w:val="22"/>
        </w:rPr>
        <w:t xml:space="preserve"> </w:t>
      </w:r>
      <w:r>
        <w:rPr>
          <w:rFonts w:cs="Arial"/>
          <w:sz w:val="22"/>
          <w:szCs w:val="22"/>
        </w:rPr>
        <w:t>Usnesení</w:t>
      </w:r>
      <w:r w:rsidR="00AD293F" w:rsidRPr="00B94012">
        <w:rPr>
          <w:rFonts w:cs="Arial"/>
          <w:sz w:val="22"/>
          <w:szCs w:val="22"/>
        </w:rPr>
        <w:t xml:space="preserve"> vlády </w:t>
      </w:r>
      <w:r w:rsidR="00D9516C">
        <w:rPr>
          <w:rFonts w:cs="Arial"/>
          <w:sz w:val="22"/>
          <w:szCs w:val="22"/>
        </w:rPr>
        <w:t>z</w:t>
      </w:r>
      <w:r w:rsidR="00AD293F" w:rsidRPr="00B94012">
        <w:rPr>
          <w:rFonts w:cs="Arial"/>
          <w:sz w:val="22"/>
          <w:szCs w:val="22"/>
        </w:rPr>
        <w:t xml:space="preserve">avazují člena vlády </w:t>
      </w:r>
      <w:r w:rsidR="00D920E5">
        <w:rPr>
          <w:rFonts w:cs="Arial"/>
          <w:sz w:val="22"/>
          <w:szCs w:val="22"/>
        </w:rPr>
        <w:t>k </w:t>
      </w:r>
      <w:r w:rsidR="00AD293F" w:rsidRPr="00B94012">
        <w:rPr>
          <w:rFonts w:cs="Arial"/>
          <w:sz w:val="22"/>
          <w:szCs w:val="22"/>
        </w:rPr>
        <w:t xml:space="preserve">povinnosti </w:t>
      </w:r>
      <w:r w:rsidR="009A5AFE" w:rsidRPr="00B94012">
        <w:rPr>
          <w:rFonts w:cs="Arial"/>
          <w:sz w:val="22"/>
          <w:szCs w:val="22"/>
        </w:rPr>
        <w:t xml:space="preserve">řídit </w:t>
      </w:r>
      <w:r w:rsidR="00AD293F" w:rsidRPr="00B94012">
        <w:rPr>
          <w:rFonts w:cs="Arial"/>
          <w:sz w:val="22"/>
          <w:szCs w:val="22"/>
        </w:rPr>
        <w:t xml:space="preserve">se těmito předpisy a jednat v souladu s nimi a </w:t>
      </w:r>
      <w:r w:rsidR="009A5AFE" w:rsidRPr="00B94012">
        <w:rPr>
          <w:rFonts w:cs="Arial"/>
          <w:sz w:val="22"/>
          <w:szCs w:val="22"/>
        </w:rPr>
        <w:t xml:space="preserve">zavázat </w:t>
      </w:r>
      <w:r w:rsidR="009A5AFE">
        <w:rPr>
          <w:rFonts w:cs="Arial"/>
          <w:sz w:val="22"/>
          <w:szCs w:val="22"/>
        </w:rPr>
        <w:t xml:space="preserve">konkrétními </w:t>
      </w:r>
      <w:r w:rsidR="00AD293F" w:rsidRPr="00B94012">
        <w:rPr>
          <w:rFonts w:cs="Arial"/>
          <w:sz w:val="22"/>
          <w:szCs w:val="22"/>
        </w:rPr>
        <w:t xml:space="preserve">akty řízení </w:t>
      </w:r>
      <w:r w:rsidR="00AB6CE3" w:rsidRPr="00B94012">
        <w:rPr>
          <w:rFonts w:cs="Arial"/>
          <w:sz w:val="22"/>
          <w:szCs w:val="22"/>
        </w:rPr>
        <w:t xml:space="preserve">příslušné </w:t>
      </w:r>
      <w:r w:rsidR="00AD293F" w:rsidRPr="00B94012">
        <w:rPr>
          <w:rFonts w:cs="Arial"/>
          <w:sz w:val="22"/>
          <w:szCs w:val="22"/>
        </w:rPr>
        <w:t>zaměstnance orgánů výkonné moci</w:t>
      </w:r>
      <w:r w:rsidR="00D9516C">
        <w:rPr>
          <w:rFonts w:cs="Arial"/>
          <w:sz w:val="22"/>
          <w:szCs w:val="22"/>
        </w:rPr>
        <w:t xml:space="preserve">, přitom </w:t>
      </w:r>
      <w:r w:rsidR="009A5AFE">
        <w:rPr>
          <w:rFonts w:cs="Arial"/>
          <w:sz w:val="22"/>
          <w:szCs w:val="22"/>
        </w:rPr>
        <w:t xml:space="preserve">však </w:t>
      </w:r>
      <w:r w:rsidR="00D9516C">
        <w:rPr>
          <w:rFonts w:cs="Arial"/>
          <w:sz w:val="22"/>
          <w:szCs w:val="22"/>
        </w:rPr>
        <w:t xml:space="preserve">nejsou </w:t>
      </w:r>
      <w:r w:rsidR="00D9516C" w:rsidRPr="00B94012">
        <w:rPr>
          <w:rFonts w:cs="Arial"/>
          <w:sz w:val="22"/>
          <w:szCs w:val="22"/>
        </w:rPr>
        <w:t xml:space="preserve">obecně závazným právním předpisem. </w:t>
      </w:r>
      <w:r w:rsidR="00AD293F" w:rsidRPr="00B94012">
        <w:rPr>
          <w:rFonts w:cs="Arial"/>
          <w:sz w:val="22"/>
          <w:szCs w:val="22"/>
        </w:rPr>
        <w:t>Subjekty</w:t>
      </w:r>
      <w:r w:rsidR="009A5AFE">
        <w:rPr>
          <w:rFonts w:cs="Arial"/>
          <w:sz w:val="22"/>
          <w:szCs w:val="22"/>
        </w:rPr>
        <w:t xml:space="preserve"> –</w:t>
      </w:r>
      <w:r w:rsidR="00624389" w:rsidRPr="00B94012">
        <w:rPr>
          <w:rFonts w:cs="Arial"/>
          <w:sz w:val="22"/>
          <w:szCs w:val="22"/>
        </w:rPr>
        <w:t xml:space="preserve"> zejména se jedná o obchodní společnosti</w:t>
      </w:r>
      <w:r w:rsidR="00AD293F" w:rsidRPr="00B94012">
        <w:rPr>
          <w:rFonts w:cs="Arial"/>
          <w:sz w:val="22"/>
          <w:szCs w:val="22"/>
        </w:rPr>
        <w:t xml:space="preserve"> zapojené do přípravy a</w:t>
      </w:r>
      <w:r w:rsidR="00624389" w:rsidRPr="00B94012">
        <w:rPr>
          <w:rFonts w:cs="Arial"/>
          <w:sz w:val="22"/>
          <w:szCs w:val="22"/>
        </w:rPr>
        <w:t> </w:t>
      </w:r>
      <w:r w:rsidR="00AD293F" w:rsidRPr="00B94012">
        <w:rPr>
          <w:rFonts w:cs="Arial"/>
          <w:sz w:val="22"/>
          <w:szCs w:val="22"/>
        </w:rPr>
        <w:t>realizace offsetových programů</w:t>
      </w:r>
      <w:r w:rsidR="009A5AFE">
        <w:rPr>
          <w:rFonts w:cs="Arial"/>
          <w:sz w:val="22"/>
          <w:szCs w:val="22"/>
        </w:rPr>
        <w:t xml:space="preserve"> –</w:t>
      </w:r>
      <w:r w:rsidR="00AD293F" w:rsidRPr="00B94012">
        <w:rPr>
          <w:rFonts w:cs="Arial"/>
          <w:sz w:val="22"/>
          <w:szCs w:val="22"/>
        </w:rPr>
        <w:t xml:space="preserve"> tak byly zavázány k plnění offsetů pouze na</w:t>
      </w:r>
      <w:r w:rsidR="009A5AFE">
        <w:rPr>
          <w:rFonts w:cs="Arial"/>
          <w:sz w:val="22"/>
          <w:szCs w:val="22"/>
        </w:rPr>
        <w:t xml:space="preserve"> zá</w:t>
      </w:r>
      <w:r w:rsidR="00AD293F" w:rsidRPr="00B94012">
        <w:rPr>
          <w:rFonts w:cs="Arial"/>
          <w:sz w:val="22"/>
          <w:szCs w:val="22"/>
        </w:rPr>
        <w:t>kladě smluv</w:t>
      </w:r>
      <w:r w:rsidR="00470F93">
        <w:rPr>
          <w:rFonts w:cs="Arial"/>
          <w:sz w:val="22"/>
          <w:szCs w:val="22"/>
        </w:rPr>
        <w:t xml:space="preserve"> uzavíraných se zadavateli veřejných zakázek.</w:t>
      </w:r>
    </w:p>
    <w:p w14:paraId="2F626286" w14:textId="77777777" w:rsidR="006B5FBB" w:rsidRPr="00B94012" w:rsidRDefault="006B5FBB" w:rsidP="000F7C14">
      <w:pPr>
        <w:jc w:val="both"/>
        <w:rPr>
          <w:rFonts w:cs="Arial"/>
          <w:sz w:val="22"/>
          <w:szCs w:val="22"/>
        </w:rPr>
      </w:pPr>
    </w:p>
    <w:p w14:paraId="3F25AB25" w14:textId="77777777" w:rsidR="00D344BC" w:rsidRDefault="00714402" w:rsidP="000F7C14">
      <w:pPr>
        <w:pStyle w:val="Bn"/>
        <w:spacing w:before="0" w:line="240" w:lineRule="auto"/>
        <w:ind w:firstLine="0"/>
        <w:rPr>
          <w:b/>
        </w:rPr>
      </w:pPr>
      <w:r w:rsidRPr="00D344BC">
        <w:rPr>
          <w:b/>
        </w:rPr>
        <w:t>Offsetová politika je realizována prostřednictvím soukromoprávních smluv. Toto řešení umožňovalo značnou pružnost při sjednávání podmínek s dodavateli veřejných zakázek, současně však nezajišťovalo jednoznačné uplatňování zásad offsetové politiky.</w:t>
      </w:r>
    </w:p>
    <w:p w14:paraId="6C6A8D9D" w14:textId="77777777" w:rsidR="006B5FBB" w:rsidRPr="00D344BC" w:rsidRDefault="006B5FBB" w:rsidP="000F7C14">
      <w:pPr>
        <w:pStyle w:val="Bn"/>
        <w:spacing w:before="0" w:line="240" w:lineRule="auto"/>
        <w:ind w:firstLine="0"/>
        <w:rPr>
          <w:b/>
        </w:rPr>
      </w:pPr>
    </w:p>
    <w:p w14:paraId="3F25AB26" w14:textId="47D98591" w:rsidR="00C764DD" w:rsidRPr="00B94012" w:rsidRDefault="00973EF5" w:rsidP="000F7C14">
      <w:pPr>
        <w:pStyle w:val="Nadpis2"/>
        <w:spacing w:before="0"/>
        <w:ind w:left="284" w:hanging="283"/>
        <w:rPr>
          <w:sz w:val="22"/>
          <w:szCs w:val="22"/>
        </w:rPr>
      </w:pPr>
      <w:r>
        <w:rPr>
          <w:sz w:val="22"/>
          <w:szCs w:val="22"/>
        </w:rPr>
        <w:t>1.1</w:t>
      </w:r>
      <w:r w:rsidR="00C764DD" w:rsidRPr="00B94012">
        <w:rPr>
          <w:sz w:val="22"/>
          <w:szCs w:val="22"/>
        </w:rPr>
        <w:t xml:space="preserve"> Vývoj regulatorního rámce</w:t>
      </w:r>
      <w:r w:rsidR="00957FF5">
        <w:rPr>
          <w:sz w:val="22"/>
          <w:szCs w:val="22"/>
        </w:rPr>
        <w:t xml:space="preserve"> a základní</w:t>
      </w:r>
      <w:r w:rsidR="0083117D">
        <w:rPr>
          <w:sz w:val="22"/>
          <w:szCs w:val="22"/>
        </w:rPr>
        <w:t>ch</w:t>
      </w:r>
      <w:r w:rsidR="00957FF5">
        <w:rPr>
          <w:sz w:val="22"/>
          <w:szCs w:val="22"/>
        </w:rPr>
        <w:t xml:space="preserve"> principů offsetové politiky</w:t>
      </w:r>
    </w:p>
    <w:p w14:paraId="3F25AB27" w14:textId="7EE5EC41" w:rsidR="00965379" w:rsidRDefault="00616427" w:rsidP="000F7C14">
      <w:pPr>
        <w:autoSpaceDE w:val="0"/>
        <w:autoSpaceDN w:val="0"/>
        <w:adjustRightInd w:val="0"/>
        <w:jc w:val="both"/>
        <w:rPr>
          <w:sz w:val="22"/>
          <w:szCs w:val="22"/>
        </w:rPr>
      </w:pPr>
      <w:r w:rsidRPr="00B94012">
        <w:rPr>
          <w:rFonts w:cs="Arial"/>
          <w:sz w:val="22"/>
          <w:szCs w:val="22"/>
        </w:rPr>
        <w:t xml:space="preserve">Vývoj regulatorního rámce české offsetové politiky lze </w:t>
      </w:r>
      <w:r w:rsidRPr="00B94012">
        <w:rPr>
          <w:sz w:val="22"/>
          <w:szCs w:val="22"/>
        </w:rPr>
        <w:t xml:space="preserve">rozdělit do tří období, </w:t>
      </w:r>
      <w:r w:rsidR="005E3218" w:rsidRPr="00B94012">
        <w:rPr>
          <w:sz w:val="22"/>
          <w:szCs w:val="22"/>
        </w:rPr>
        <w:t>kter</w:t>
      </w:r>
      <w:r w:rsidR="005E3218">
        <w:rPr>
          <w:sz w:val="22"/>
          <w:szCs w:val="22"/>
        </w:rPr>
        <w:t>á</w:t>
      </w:r>
      <w:r w:rsidR="005E3218" w:rsidRPr="00B94012">
        <w:rPr>
          <w:sz w:val="22"/>
          <w:szCs w:val="22"/>
        </w:rPr>
        <w:t xml:space="preserve"> </w:t>
      </w:r>
      <w:r w:rsidRPr="00B94012">
        <w:rPr>
          <w:sz w:val="22"/>
          <w:szCs w:val="22"/>
        </w:rPr>
        <w:t xml:space="preserve">jsou </w:t>
      </w:r>
      <w:r w:rsidR="005E3218" w:rsidRPr="00B94012">
        <w:rPr>
          <w:sz w:val="22"/>
          <w:szCs w:val="22"/>
        </w:rPr>
        <w:t>ohraničen</w:t>
      </w:r>
      <w:r w:rsidR="005E3218">
        <w:rPr>
          <w:sz w:val="22"/>
          <w:szCs w:val="22"/>
        </w:rPr>
        <w:t>a</w:t>
      </w:r>
      <w:r w:rsidR="005E3218" w:rsidRPr="00B94012">
        <w:rPr>
          <w:sz w:val="22"/>
          <w:szCs w:val="22"/>
        </w:rPr>
        <w:t xml:space="preserve"> </w:t>
      </w:r>
      <w:r w:rsidRPr="00B94012">
        <w:rPr>
          <w:sz w:val="22"/>
          <w:szCs w:val="22"/>
        </w:rPr>
        <w:t>příslušnými usneseními vlády</w:t>
      </w:r>
      <w:r w:rsidR="00947BC0">
        <w:rPr>
          <w:sz w:val="22"/>
          <w:szCs w:val="22"/>
        </w:rPr>
        <w:t xml:space="preserve">, jejichž přílohou byly </w:t>
      </w:r>
      <w:r w:rsidR="0056015B">
        <w:rPr>
          <w:sz w:val="22"/>
          <w:szCs w:val="22"/>
        </w:rPr>
        <w:t>z</w:t>
      </w:r>
      <w:r w:rsidRPr="00B94012">
        <w:rPr>
          <w:sz w:val="22"/>
          <w:szCs w:val="22"/>
        </w:rPr>
        <w:t>ásady pro uplatňování offsetů</w:t>
      </w:r>
      <w:r w:rsidR="005E3218">
        <w:rPr>
          <w:sz w:val="22"/>
          <w:szCs w:val="22"/>
        </w:rPr>
        <w:t>.</w:t>
      </w:r>
      <w:r w:rsidR="005E3218" w:rsidRPr="00B94012">
        <w:rPr>
          <w:sz w:val="22"/>
          <w:szCs w:val="22"/>
        </w:rPr>
        <w:t xml:space="preserve"> </w:t>
      </w:r>
      <w:r w:rsidR="00947BC0">
        <w:rPr>
          <w:sz w:val="22"/>
          <w:szCs w:val="22"/>
        </w:rPr>
        <w:t>M</w:t>
      </w:r>
      <w:r w:rsidR="00965379" w:rsidRPr="00231B65">
        <w:rPr>
          <w:rFonts w:cs="Arial"/>
          <w:bCs/>
          <w:sz w:val="22"/>
          <w:szCs w:val="22"/>
        </w:rPr>
        <w:t>inistr</w:t>
      </w:r>
      <w:r w:rsidR="00947BC0">
        <w:rPr>
          <w:rFonts w:cs="Arial"/>
          <w:bCs/>
          <w:sz w:val="22"/>
          <w:szCs w:val="22"/>
        </w:rPr>
        <w:t>u</w:t>
      </w:r>
      <w:r w:rsidR="00965379" w:rsidRPr="00231B65">
        <w:rPr>
          <w:rFonts w:cs="Arial"/>
          <w:bCs/>
          <w:sz w:val="22"/>
          <w:szCs w:val="22"/>
        </w:rPr>
        <w:t xml:space="preserve"> průmyslu a obchodu </w:t>
      </w:r>
      <w:r w:rsidR="00947BC0">
        <w:rPr>
          <w:rFonts w:cs="Arial"/>
          <w:bCs/>
          <w:sz w:val="22"/>
          <w:szCs w:val="22"/>
        </w:rPr>
        <w:t xml:space="preserve">bylo </w:t>
      </w:r>
      <w:r w:rsidR="00965379" w:rsidRPr="00231B65">
        <w:rPr>
          <w:rFonts w:cs="Arial"/>
          <w:bCs/>
          <w:sz w:val="22"/>
          <w:szCs w:val="22"/>
        </w:rPr>
        <w:t>uloženo za</w:t>
      </w:r>
      <w:r w:rsidR="0083117D">
        <w:rPr>
          <w:rFonts w:cs="Arial"/>
          <w:bCs/>
          <w:sz w:val="22"/>
          <w:szCs w:val="22"/>
        </w:rPr>
        <w:t xml:space="preserve">jišťovat </w:t>
      </w:r>
      <w:r w:rsidR="00965379" w:rsidRPr="00231B65">
        <w:rPr>
          <w:rFonts w:cs="Arial"/>
          <w:bCs/>
          <w:sz w:val="22"/>
          <w:szCs w:val="22"/>
        </w:rPr>
        <w:t>činnosti související s přípravou, projednáváním, prosazováním, hodnocením, realizací a kontrolou programů</w:t>
      </w:r>
      <w:r w:rsidR="0056015B">
        <w:rPr>
          <w:rFonts w:cs="Arial"/>
          <w:bCs/>
          <w:sz w:val="22"/>
          <w:szCs w:val="22"/>
        </w:rPr>
        <w:t xml:space="preserve"> průmyslové spolupráce</w:t>
      </w:r>
      <w:r w:rsidR="005E3218">
        <w:rPr>
          <w:rFonts w:cs="Arial"/>
          <w:bCs/>
          <w:sz w:val="22"/>
          <w:szCs w:val="22"/>
        </w:rPr>
        <w:t xml:space="preserve">. </w:t>
      </w:r>
      <w:r w:rsidR="007F721C">
        <w:rPr>
          <w:sz w:val="22"/>
          <w:szCs w:val="22"/>
        </w:rPr>
        <w:t>Základní procesy přípravy a</w:t>
      </w:r>
      <w:r w:rsidR="00947BC0">
        <w:rPr>
          <w:sz w:val="22"/>
          <w:szCs w:val="22"/>
        </w:rPr>
        <w:t> </w:t>
      </w:r>
      <w:r w:rsidR="007F721C">
        <w:rPr>
          <w:sz w:val="22"/>
          <w:szCs w:val="22"/>
        </w:rPr>
        <w:t>realizace PPS jsou uvedeny v </w:t>
      </w:r>
      <w:r w:rsidR="007F721C" w:rsidRPr="00A77368">
        <w:rPr>
          <w:sz w:val="22"/>
          <w:szCs w:val="22"/>
        </w:rPr>
        <w:t xml:space="preserve">příloze </w:t>
      </w:r>
      <w:r w:rsidR="00230C82">
        <w:rPr>
          <w:sz w:val="22"/>
          <w:szCs w:val="22"/>
        </w:rPr>
        <w:t xml:space="preserve">č. </w:t>
      </w:r>
      <w:r w:rsidR="007F721C" w:rsidRPr="00A77368">
        <w:rPr>
          <w:sz w:val="22"/>
          <w:szCs w:val="22"/>
        </w:rPr>
        <w:t>2.</w:t>
      </w:r>
      <w:r w:rsidR="0001442A">
        <w:rPr>
          <w:sz w:val="22"/>
          <w:szCs w:val="22"/>
        </w:rPr>
        <w:t xml:space="preserve"> </w:t>
      </w:r>
    </w:p>
    <w:p w14:paraId="5B330EDD" w14:textId="77777777" w:rsidR="006B5FBB" w:rsidRDefault="006B5FBB" w:rsidP="000F7C14">
      <w:pPr>
        <w:autoSpaceDE w:val="0"/>
        <w:autoSpaceDN w:val="0"/>
        <w:adjustRightInd w:val="0"/>
        <w:jc w:val="both"/>
        <w:rPr>
          <w:sz w:val="22"/>
          <w:szCs w:val="22"/>
        </w:rPr>
      </w:pPr>
    </w:p>
    <w:p w14:paraId="3F25AB28" w14:textId="77777777" w:rsidR="00616427" w:rsidRPr="00B94012" w:rsidRDefault="00947BC0" w:rsidP="000F7C14">
      <w:pPr>
        <w:autoSpaceDE w:val="0"/>
        <w:autoSpaceDN w:val="0"/>
        <w:adjustRightInd w:val="0"/>
        <w:jc w:val="both"/>
        <w:rPr>
          <w:sz w:val="22"/>
          <w:szCs w:val="22"/>
        </w:rPr>
      </w:pPr>
      <w:r>
        <w:rPr>
          <w:sz w:val="22"/>
          <w:szCs w:val="22"/>
        </w:rPr>
        <w:t xml:space="preserve">Klíčové dokumenty z hlediska </w:t>
      </w:r>
      <w:r w:rsidR="005A5D87">
        <w:rPr>
          <w:sz w:val="22"/>
          <w:szCs w:val="22"/>
        </w:rPr>
        <w:t>prosazování offsetové politiky</w:t>
      </w:r>
      <w:r>
        <w:rPr>
          <w:sz w:val="22"/>
          <w:szCs w:val="22"/>
        </w:rPr>
        <w:t xml:space="preserve"> jsou</w:t>
      </w:r>
      <w:r w:rsidR="005A5D87">
        <w:rPr>
          <w:sz w:val="22"/>
          <w:szCs w:val="22"/>
        </w:rPr>
        <w:t>:</w:t>
      </w:r>
      <w:r w:rsidR="0001442A">
        <w:rPr>
          <w:sz w:val="22"/>
          <w:szCs w:val="22"/>
        </w:rPr>
        <w:t xml:space="preserve"> </w:t>
      </w:r>
    </w:p>
    <w:p w14:paraId="3F25AB29" w14:textId="49056FAD" w:rsidR="00616427" w:rsidRPr="00B94012" w:rsidRDefault="0056015B" w:rsidP="000F7C14">
      <w:pPr>
        <w:pStyle w:val="Odstavecseseznamem"/>
        <w:numPr>
          <w:ilvl w:val="0"/>
          <w:numId w:val="4"/>
        </w:numPr>
        <w:autoSpaceDE w:val="0"/>
        <w:autoSpaceDN w:val="0"/>
        <w:adjustRightInd w:val="0"/>
        <w:spacing w:before="60"/>
        <w:ind w:left="567" w:hanging="567"/>
        <w:rPr>
          <w:rFonts w:cs="Arial"/>
          <w:bCs/>
          <w:sz w:val="22"/>
          <w:szCs w:val="22"/>
          <w:u w:val="single"/>
        </w:rPr>
      </w:pPr>
      <w:r>
        <w:rPr>
          <w:rFonts w:cs="Arial"/>
          <w:bCs/>
          <w:sz w:val="22"/>
          <w:szCs w:val="22"/>
          <w:u w:val="single"/>
        </w:rPr>
        <w:t xml:space="preserve">pro </w:t>
      </w:r>
      <w:r w:rsidR="00616427" w:rsidRPr="00B94012">
        <w:rPr>
          <w:rFonts w:cs="Arial"/>
          <w:bCs/>
          <w:sz w:val="22"/>
          <w:szCs w:val="22"/>
          <w:u w:val="single"/>
        </w:rPr>
        <w:t xml:space="preserve">období realizace offsetové politiky od 17. 6. 1998 do 4. 1. 2005 </w:t>
      </w:r>
    </w:p>
    <w:p w14:paraId="3F25AB2A" w14:textId="0DA41FE9" w:rsidR="00E1234B" w:rsidRPr="00E1234B" w:rsidRDefault="0056015B" w:rsidP="000F7C14">
      <w:pPr>
        <w:pStyle w:val="Odstavecseseznamem"/>
        <w:numPr>
          <w:ilvl w:val="0"/>
          <w:numId w:val="6"/>
        </w:numPr>
        <w:autoSpaceDE w:val="0"/>
        <w:autoSpaceDN w:val="0"/>
        <w:adjustRightInd w:val="0"/>
        <w:spacing w:before="60"/>
        <w:ind w:left="782" w:hanging="357"/>
        <w:jc w:val="both"/>
        <w:rPr>
          <w:rFonts w:cs="Arial"/>
          <w:sz w:val="22"/>
          <w:szCs w:val="22"/>
        </w:rPr>
      </w:pPr>
      <w:r>
        <w:rPr>
          <w:rFonts w:cs="Arial"/>
          <w:bCs/>
          <w:i/>
          <w:sz w:val="22"/>
          <w:szCs w:val="22"/>
        </w:rPr>
        <w:t>u</w:t>
      </w:r>
      <w:r w:rsidR="00E1234B" w:rsidRPr="009D5AEB">
        <w:rPr>
          <w:rFonts w:cs="Arial"/>
          <w:bCs/>
          <w:i/>
          <w:sz w:val="22"/>
          <w:szCs w:val="22"/>
        </w:rPr>
        <w:t>snesení vlády České republiky ze dne 17. června 1998 č. 421</w:t>
      </w:r>
      <w:r w:rsidR="00E1234B" w:rsidRPr="009D5AEB">
        <w:rPr>
          <w:rFonts w:cs="Arial"/>
          <w:i/>
          <w:sz w:val="22"/>
          <w:szCs w:val="22"/>
        </w:rPr>
        <w:t xml:space="preserve">, o postupu při realizaci </w:t>
      </w:r>
      <w:r>
        <w:rPr>
          <w:rFonts w:cs="Arial"/>
          <w:i/>
          <w:sz w:val="22"/>
          <w:szCs w:val="22"/>
        </w:rPr>
        <w:t>kompenzujících</w:t>
      </w:r>
      <w:r w:rsidR="00E1234B" w:rsidRPr="009D5AEB">
        <w:rPr>
          <w:rFonts w:cs="Arial"/>
          <w:i/>
          <w:sz w:val="22"/>
          <w:szCs w:val="22"/>
        </w:rPr>
        <w:t xml:space="preserve"> transakcí (offsetových programů)</w:t>
      </w:r>
      <w:r w:rsidR="00E1234B" w:rsidRPr="00E1234B">
        <w:rPr>
          <w:rFonts w:cs="Arial"/>
          <w:sz w:val="22"/>
          <w:szCs w:val="22"/>
        </w:rPr>
        <w:t xml:space="preserve"> </w:t>
      </w:r>
      <w:r>
        <w:rPr>
          <w:rFonts w:cs="Arial"/>
          <w:sz w:val="22"/>
          <w:szCs w:val="22"/>
        </w:rPr>
        <w:t xml:space="preserve">– </w:t>
      </w:r>
      <w:r w:rsidR="00E1234B" w:rsidRPr="00E1234B">
        <w:rPr>
          <w:rFonts w:cs="Arial"/>
          <w:sz w:val="22"/>
          <w:szCs w:val="22"/>
        </w:rPr>
        <w:t xml:space="preserve">jeho přílohou byly </w:t>
      </w:r>
      <w:r w:rsidR="00E1234B" w:rsidRPr="000F7C14">
        <w:rPr>
          <w:rFonts w:cs="Arial"/>
          <w:i/>
          <w:sz w:val="22"/>
          <w:szCs w:val="22"/>
        </w:rPr>
        <w:t>Zásady realizace offsetových programů</w:t>
      </w:r>
      <w:r w:rsidR="00E1234B" w:rsidRPr="00E1234B">
        <w:rPr>
          <w:rFonts w:cs="Arial"/>
          <w:sz w:val="22"/>
          <w:szCs w:val="22"/>
        </w:rPr>
        <w:t xml:space="preserve"> (dále </w:t>
      </w:r>
      <w:r w:rsidR="00231B65">
        <w:rPr>
          <w:rFonts w:cs="Arial"/>
          <w:sz w:val="22"/>
          <w:szCs w:val="22"/>
        </w:rPr>
        <w:t>jen</w:t>
      </w:r>
      <w:r w:rsidR="00E1234B" w:rsidRPr="00E1234B">
        <w:rPr>
          <w:rFonts w:cs="Arial"/>
          <w:sz w:val="22"/>
          <w:szCs w:val="22"/>
        </w:rPr>
        <w:t xml:space="preserve"> „</w:t>
      </w:r>
      <w:r w:rsidR="00E1234B" w:rsidRPr="00E1234B">
        <w:rPr>
          <w:rFonts w:cs="Arial"/>
          <w:b/>
          <w:sz w:val="22"/>
          <w:szCs w:val="22"/>
        </w:rPr>
        <w:t>Zásady 1998</w:t>
      </w:r>
      <w:r w:rsidR="00E1234B" w:rsidRPr="00E1234B">
        <w:rPr>
          <w:rFonts w:cs="Arial"/>
          <w:sz w:val="22"/>
          <w:szCs w:val="22"/>
        </w:rPr>
        <w:t>“)</w:t>
      </w:r>
      <w:r>
        <w:rPr>
          <w:rFonts w:cs="Arial"/>
          <w:sz w:val="22"/>
          <w:szCs w:val="22"/>
        </w:rPr>
        <w:t>;</w:t>
      </w:r>
    </w:p>
    <w:p w14:paraId="3F25AB2B" w14:textId="2A388070" w:rsidR="00E1234B" w:rsidRPr="00880613" w:rsidRDefault="0056015B" w:rsidP="000F7C14">
      <w:pPr>
        <w:pStyle w:val="Odstavecseseznamem"/>
        <w:numPr>
          <w:ilvl w:val="0"/>
          <w:numId w:val="6"/>
        </w:numPr>
        <w:autoSpaceDE w:val="0"/>
        <w:autoSpaceDN w:val="0"/>
        <w:adjustRightInd w:val="0"/>
        <w:spacing w:after="60"/>
        <w:ind w:left="782" w:hanging="357"/>
        <w:jc w:val="both"/>
        <w:rPr>
          <w:rFonts w:cs="Arial"/>
          <w:b/>
          <w:bCs/>
          <w:sz w:val="22"/>
          <w:szCs w:val="22"/>
        </w:rPr>
      </w:pPr>
      <w:r>
        <w:rPr>
          <w:rFonts w:cs="Arial"/>
          <w:bCs/>
          <w:i/>
          <w:sz w:val="22"/>
          <w:szCs w:val="22"/>
        </w:rPr>
        <w:t>o</w:t>
      </w:r>
      <w:r w:rsidR="00E1234B" w:rsidRPr="009D5AEB">
        <w:rPr>
          <w:rFonts w:cs="Arial"/>
          <w:bCs/>
          <w:i/>
          <w:sz w:val="22"/>
          <w:szCs w:val="22"/>
        </w:rPr>
        <w:t>patření č. 26/1998 ministra průmyslu a obchodu</w:t>
      </w:r>
      <w:r w:rsidR="00E1234B" w:rsidRPr="009D5AEB">
        <w:rPr>
          <w:rFonts w:cs="Arial"/>
          <w:b/>
          <w:bCs/>
          <w:i/>
          <w:sz w:val="22"/>
          <w:szCs w:val="22"/>
        </w:rPr>
        <w:t xml:space="preserve"> </w:t>
      </w:r>
      <w:r w:rsidR="00E1234B" w:rsidRPr="009D5AEB">
        <w:rPr>
          <w:rFonts w:cs="Arial"/>
          <w:bCs/>
          <w:i/>
          <w:sz w:val="22"/>
          <w:szCs w:val="22"/>
        </w:rPr>
        <w:t>k realizaci offsetových programů</w:t>
      </w:r>
      <w:r w:rsidR="00E1234B" w:rsidRPr="00E1234B">
        <w:rPr>
          <w:rStyle w:val="Znakapoznpodarou"/>
          <w:rFonts w:cs="Arial"/>
          <w:bCs/>
          <w:sz w:val="22"/>
          <w:szCs w:val="22"/>
        </w:rPr>
        <w:footnoteReference w:id="8"/>
      </w:r>
      <w:r w:rsidR="00E1234B" w:rsidRPr="00E1234B">
        <w:rPr>
          <w:rFonts w:cs="Arial"/>
          <w:bCs/>
          <w:sz w:val="22"/>
          <w:szCs w:val="22"/>
        </w:rPr>
        <w:t xml:space="preserve">, kterým ministr průmyslu a obchodu dnem 15. 12. 1998 </w:t>
      </w:r>
      <w:r w:rsidR="00E1234B">
        <w:rPr>
          <w:rFonts w:cs="Arial"/>
          <w:bCs/>
          <w:sz w:val="22"/>
          <w:szCs w:val="22"/>
        </w:rPr>
        <w:t xml:space="preserve">mj. </w:t>
      </w:r>
      <w:r w:rsidR="00E1234B" w:rsidRPr="00E1234B">
        <w:rPr>
          <w:rFonts w:cs="Arial"/>
          <w:bCs/>
          <w:sz w:val="22"/>
          <w:szCs w:val="22"/>
        </w:rPr>
        <w:t xml:space="preserve">zřídil OFK </w:t>
      </w:r>
      <w:r w:rsidR="00E1234B">
        <w:rPr>
          <w:rFonts w:cs="Arial"/>
          <w:bCs/>
          <w:sz w:val="22"/>
          <w:szCs w:val="22"/>
        </w:rPr>
        <w:t>a</w:t>
      </w:r>
      <w:r>
        <w:rPr>
          <w:rFonts w:cs="Arial"/>
          <w:bCs/>
          <w:sz w:val="22"/>
          <w:szCs w:val="22"/>
        </w:rPr>
        <w:t> </w:t>
      </w:r>
      <w:r w:rsidR="00E1234B" w:rsidRPr="00E1234B">
        <w:rPr>
          <w:rFonts w:cs="Arial"/>
          <w:bCs/>
          <w:sz w:val="22"/>
          <w:szCs w:val="22"/>
        </w:rPr>
        <w:t xml:space="preserve">vydal </w:t>
      </w:r>
      <w:r w:rsidR="00E1234B" w:rsidRPr="000F7C14">
        <w:rPr>
          <w:rFonts w:cs="Arial"/>
          <w:bCs/>
          <w:i/>
          <w:sz w:val="22"/>
          <w:szCs w:val="22"/>
        </w:rPr>
        <w:t>Základní pravidla projednávání a hodnocení offsetových programů</w:t>
      </w:r>
      <w:r w:rsidR="00E1234B" w:rsidRPr="00E1234B">
        <w:rPr>
          <w:rFonts w:cs="Arial"/>
          <w:bCs/>
          <w:sz w:val="22"/>
          <w:szCs w:val="22"/>
        </w:rPr>
        <w:t xml:space="preserve"> (dále </w:t>
      </w:r>
      <w:r w:rsidR="00E1234B">
        <w:rPr>
          <w:rFonts w:cs="Arial"/>
          <w:bCs/>
          <w:sz w:val="22"/>
          <w:szCs w:val="22"/>
        </w:rPr>
        <w:t>jen</w:t>
      </w:r>
      <w:r w:rsidR="00E1234B" w:rsidRPr="00E1234B">
        <w:rPr>
          <w:rFonts w:cs="Arial"/>
          <w:bCs/>
          <w:sz w:val="22"/>
          <w:szCs w:val="22"/>
        </w:rPr>
        <w:t xml:space="preserve"> „</w:t>
      </w:r>
      <w:r w:rsidR="00E1234B" w:rsidRPr="00E1234B">
        <w:rPr>
          <w:rFonts w:cs="Arial"/>
          <w:b/>
          <w:bCs/>
          <w:sz w:val="22"/>
          <w:szCs w:val="22"/>
        </w:rPr>
        <w:t>Pravidla 1998</w:t>
      </w:r>
      <w:r w:rsidR="00E1234B" w:rsidRPr="00E1234B">
        <w:rPr>
          <w:rFonts w:cs="Arial"/>
          <w:bCs/>
          <w:sz w:val="22"/>
          <w:szCs w:val="22"/>
        </w:rPr>
        <w:t>“)</w:t>
      </w:r>
      <w:r>
        <w:rPr>
          <w:rFonts w:cs="Arial"/>
          <w:bCs/>
          <w:sz w:val="22"/>
          <w:szCs w:val="22"/>
        </w:rPr>
        <w:t>;</w:t>
      </w:r>
      <w:r w:rsidR="00E1234B" w:rsidRPr="00E1234B">
        <w:rPr>
          <w:rFonts w:cs="Arial"/>
          <w:bCs/>
          <w:sz w:val="22"/>
          <w:szCs w:val="22"/>
        </w:rPr>
        <w:t xml:space="preserve"> </w:t>
      </w:r>
    </w:p>
    <w:p w14:paraId="3C1872FE" w14:textId="77777777" w:rsidR="00880613" w:rsidRDefault="00880613" w:rsidP="00880613">
      <w:pPr>
        <w:autoSpaceDE w:val="0"/>
        <w:autoSpaceDN w:val="0"/>
        <w:adjustRightInd w:val="0"/>
        <w:spacing w:after="60"/>
        <w:jc w:val="both"/>
        <w:rPr>
          <w:rFonts w:cs="Arial"/>
          <w:b/>
          <w:bCs/>
          <w:sz w:val="22"/>
          <w:szCs w:val="22"/>
        </w:rPr>
      </w:pPr>
    </w:p>
    <w:p w14:paraId="145E5BCB" w14:textId="77777777" w:rsidR="00880613" w:rsidRPr="00880613" w:rsidRDefault="00880613" w:rsidP="00880613">
      <w:pPr>
        <w:autoSpaceDE w:val="0"/>
        <w:autoSpaceDN w:val="0"/>
        <w:adjustRightInd w:val="0"/>
        <w:spacing w:after="60"/>
        <w:jc w:val="both"/>
        <w:rPr>
          <w:rFonts w:cs="Arial"/>
          <w:b/>
          <w:bCs/>
          <w:sz w:val="22"/>
          <w:szCs w:val="22"/>
        </w:rPr>
      </w:pPr>
    </w:p>
    <w:p w14:paraId="3F25AB2C" w14:textId="33B435EB" w:rsidR="00616427" w:rsidRPr="00B94012" w:rsidRDefault="0056015B" w:rsidP="000F7C14">
      <w:pPr>
        <w:pStyle w:val="Odstavecseseznamem"/>
        <w:numPr>
          <w:ilvl w:val="0"/>
          <w:numId w:val="4"/>
        </w:numPr>
        <w:autoSpaceDE w:val="0"/>
        <w:autoSpaceDN w:val="0"/>
        <w:adjustRightInd w:val="0"/>
        <w:spacing w:before="60"/>
        <w:ind w:left="567" w:hanging="567"/>
        <w:jc w:val="both"/>
        <w:rPr>
          <w:rFonts w:cs="Arial"/>
          <w:bCs/>
          <w:sz w:val="22"/>
          <w:szCs w:val="22"/>
          <w:u w:val="single"/>
        </w:rPr>
      </w:pPr>
      <w:r>
        <w:rPr>
          <w:rFonts w:cs="Arial"/>
          <w:bCs/>
          <w:sz w:val="22"/>
          <w:szCs w:val="22"/>
          <w:u w:val="single"/>
        </w:rPr>
        <w:lastRenderedPageBreak/>
        <w:t xml:space="preserve">pro </w:t>
      </w:r>
      <w:r w:rsidR="00616427" w:rsidRPr="00B94012">
        <w:rPr>
          <w:rFonts w:cs="Arial"/>
          <w:bCs/>
          <w:sz w:val="22"/>
          <w:szCs w:val="22"/>
          <w:u w:val="single"/>
        </w:rPr>
        <w:t>období realizace offsetové politiky od 5. 1. 2005 do 27. 6. 2010</w:t>
      </w:r>
    </w:p>
    <w:p w14:paraId="3F25AB2D" w14:textId="489E917C" w:rsidR="0013465F" w:rsidRPr="00231B65" w:rsidRDefault="0056015B" w:rsidP="002A3031">
      <w:pPr>
        <w:pStyle w:val="Odstavecseseznamem"/>
        <w:numPr>
          <w:ilvl w:val="0"/>
          <w:numId w:val="7"/>
        </w:numPr>
        <w:autoSpaceDE w:val="0"/>
        <w:autoSpaceDN w:val="0"/>
        <w:adjustRightInd w:val="0"/>
        <w:spacing w:before="60"/>
        <w:ind w:left="782" w:hanging="357"/>
        <w:jc w:val="both"/>
        <w:rPr>
          <w:rFonts w:cs="Arial"/>
          <w:sz w:val="22"/>
          <w:szCs w:val="22"/>
        </w:rPr>
      </w:pPr>
      <w:r>
        <w:rPr>
          <w:rFonts w:cs="Arial"/>
          <w:bCs/>
          <w:i/>
          <w:sz w:val="22"/>
          <w:szCs w:val="22"/>
        </w:rPr>
        <w:t>u</w:t>
      </w:r>
      <w:r w:rsidR="0013465F" w:rsidRPr="009D5AEB">
        <w:rPr>
          <w:rFonts w:cs="Arial"/>
          <w:bCs/>
          <w:i/>
          <w:sz w:val="22"/>
          <w:szCs w:val="22"/>
        </w:rPr>
        <w:t xml:space="preserve">snesení vlády České republiky ze dne 5. </w:t>
      </w:r>
      <w:r w:rsidR="00F6465D">
        <w:rPr>
          <w:rFonts w:cs="Arial"/>
          <w:bCs/>
          <w:i/>
          <w:sz w:val="22"/>
          <w:szCs w:val="22"/>
        </w:rPr>
        <w:t xml:space="preserve">1. </w:t>
      </w:r>
      <w:r w:rsidR="0013465F" w:rsidRPr="009D5AEB">
        <w:rPr>
          <w:rFonts w:cs="Arial"/>
          <w:bCs/>
          <w:i/>
          <w:sz w:val="22"/>
          <w:szCs w:val="22"/>
        </w:rPr>
        <w:t>2005 č. 9</w:t>
      </w:r>
      <w:r w:rsidR="0013465F" w:rsidRPr="009D5AEB">
        <w:rPr>
          <w:rFonts w:cs="Arial"/>
          <w:i/>
          <w:sz w:val="22"/>
          <w:szCs w:val="22"/>
        </w:rPr>
        <w:t xml:space="preserve">, o </w:t>
      </w:r>
      <w:r>
        <w:rPr>
          <w:rFonts w:cs="Arial"/>
          <w:i/>
          <w:sz w:val="22"/>
          <w:szCs w:val="22"/>
        </w:rPr>
        <w:t>Z</w:t>
      </w:r>
      <w:r w:rsidR="0013465F" w:rsidRPr="009D5AEB">
        <w:rPr>
          <w:rFonts w:cs="Arial"/>
          <w:i/>
          <w:sz w:val="22"/>
          <w:szCs w:val="22"/>
        </w:rPr>
        <w:t>ásadách realizace programů průmyslové spolupráce</w:t>
      </w:r>
      <w:r w:rsidR="0013465F" w:rsidRPr="00231B65">
        <w:rPr>
          <w:rFonts w:cs="Arial"/>
          <w:sz w:val="22"/>
          <w:szCs w:val="22"/>
        </w:rPr>
        <w:t xml:space="preserve"> (dále </w:t>
      </w:r>
      <w:r w:rsidR="00231B65" w:rsidRPr="00231B65">
        <w:rPr>
          <w:rFonts w:cs="Arial"/>
          <w:sz w:val="22"/>
          <w:szCs w:val="22"/>
        </w:rPr>
        <w:t>jen</w:t>
      </w:r>
      <w:r w:rsidR="0013465F" w:rsidRPr="00231B65">
        <w:rPr>
          <w:rFonts w:cs="Arial"/>
          <w:sz w:val="22"/>
          <w:szCs w:val="22"/>
        </w:rPr>
        <w:t xml:space="preserve"> „</w:t>
      </w:r>
      <w:r w:rsidR="0013465F" w:rsidRPr="00231B65">
        <w:rPr>
          <w:rFonts w:cs="Arial"/>
          <w:b/>
          <w:sz w:val="22"/>
          <w:szCs w:val="22"/>
        </w:rPr>
        <w:t>Zásady 2005</w:t>
      </w:r>
      <w:r w:rsidR="0013465F" w:rsidRPr="00231B65">
        <w:rPr>
          <w:rFonts w:cs="Arial"/>
          <w:sz w:val="22"/>
          <w:szCs w:val="22"/>
        </w:rPr>
        <w:t>“)</w:t>
      </w:r>
      <w:r w:rsidR="00EC6CEC">
        <w:rPr>
          <w:rFonts w:cs="Arial"/>
          <w:sz w:val="22"/>
          <w:szCs w:val="22"/>
        </w:rPr>
        <w:t>;</w:t>
      </w:r>
    </w:p>
    <w:p w14:paraId="3F25AB2E" w14:textId="6361727B" w:rsidR="0013465F" w:rsidRPr="005978E4" w:rsidRDefault="0056015B" w:rsidP="002A3031">
      <w:pPr>
        <w:pStyle w:val="Odstavecseseznamem"/>
        <w:numPr>
          <w:ilvl w:val="0"/>
          <w:numId w:val="7"/>
        </w:numPr>
        <w:autoSpaceDE w:val="0"/>
        <w:autoSpaceDN w:val="0"/>
        <w:adjustRightInd w:val="0"/>
        <w:spacing w:after="60"/>
        <w:ind w:left="782" w:hanging="357"/>
        <w:jc w:val="both"/>
        <w:rPr>
          <w:rFonts w:cs="Arial"/>
          <w:bCs/>
          <w:sz w:val="22"/>
          <w:szCs w:val="22"/>
          <w:u w:val="single"/>
        </w:rPr>
      </w:pPr>
      <w:r>
        <w:rPr>
          <w:rFonts w:cs="Arial"/>
          <w:bCs/>
          <w:i/>
          <w:sz w:val="22"/>
          <w:szCs w:val="22"/>
        </w:rPr>
        <w:t>o</w:t>
      </w:r>
      <w:r w:rsidR="0013465F" w:rsidRPr="009D5AEB">
        <w:rPr>
          <w:rFonts w:cs="Arial"/>
          <w:bCs/>
          <w:i/>
          <w:sz w:val="22"/>
          <w:szCs w:val="22"/>
        </w:rPr>
        <w:t>patření č. 3/2005 ministra průmyslu a obchodu ze dne 2. 2. 2005</w:t>
      </w:r>
      <w:r w:rsidR="0013465F" w:rsidRPr="00231B65">
        <w:rPr>
          <w:rFonts w:cs="Arial"/>
          <w:bCs/>
          <w:sz w:val="22"/>
          <w:szCs w:val="22"/>
        </w:rPr>
        <w:t xml:space="preserve">, kterým byla mj. vydána </w:t>
      </w:r>
      <w:r>
        <w:rPr>
          <w:rFonts w:cs="Arial"/>
          <w:bCs/>
          <w:sz w:val="22"/>
          <w:szCs w:val="22"/>
        </w:rPr>
        <w:t>s</w:t>
      </w:r>
      <w:r w:rsidR="0013465F" w:rsidRPr="00231B65">
        <w:rPr>
          <w:rFonts w:cs="Arial"/>
          <w:bCs/>
          <w:sz w:val="22"/>
          <w:szCs w:val="22"/>
        </w:rPr>
        <w:t xml:space="preserve">měrnice pro realizaci programů průmyslové spolupráce (dále </w:t>
      </w:r>
      <w:r w:rsidR="00231B65" w:rsidRPr="00231B65">
        <w:rPr>
          <w:rFonts w:cs="Arial"/>
          <w:bCs/>
          <w:sz w:val="22"/>
          <w:szCs w:val="22"/>
        </w:rPr>
        <w:t>jen</w:t>
      </w:r>
      <w:r w:rsidR="0013465F" w:rsidRPr="00231B65">
        <w:rPr>
          <w:rFonts w:cs="Arial"/>
          <w:bCs/>
          <w:sz w:val="22"/>
          <w:szCs w:val="22"/>
        </w:rPr>
        <w:t xml:space="preserve"> „</w:t>
      </w:r>
      <w:r w:rsidR="0013465F" w:rsidRPr="00231B65">
        <w:rPr>
          <w:rFonts w:cs="Arial"/>
          <w:b/>
          <w:bCs/>
          <w:sz w:val="22"/>
          <w:szCs w:val="22"/>
        </w:rPr>
        <w:t>Pravidla 2005</w:t>
      </w:r>
      <w:r w:rsidR="0013465F" w:rsidRPr="00231B65">
        <w:rPr>
          <w:rFonts w:cs="Arial"/>
          <w:bCs/>
          <w:sz w:val="22"/>
          <w:szCs w:val="22"/>
        </w:rPr>
        <w:t>“)</w:t>
      </w:r>
      <w:r>
        <w:rPr>
          <w:rFonts w:cs="Arial"/>
          <w:bCs/>
          <w:sz w:val="22"/>
          <w:szCs w:val="22"/>
        </w:rPr>
        <w:t>;</w:t>
      </w:r>
      <w:r w:rsidR="0013465F" w:rsidRPr="00231B65">
        <w:rPr>
          <w:rFonts w:cs="Arial"/>
          <w:b/>
          <w:sz w:val="22"/>
          <w:szCs w:val="22"/>
        </w:rPr>
        <w:t xml:space="preserve"> </w:t>
      </w:r>
    </w:p>
    <w:p w14:paraId="3F25AB2F" w14:textId="2144EB92" w:rsidR="00616427" w:rsidRPr="00231B65" w:rsidRDefault="0056015B" w:rsidP="002A3031">
      <w:pPr>
        <w:pStyle w:val="Odstavecseseznamem"/>
        <w:numPr>
          <w:ilvl w:val="0"/>
          <w:numId w:val="8"/>
        </w:numPr>
        <w:autoSpaceDE w:val="0"/>
        <w:autoSpaceDN w:val="0"/>
        <w:adjustRightInd w:val="0"/>
        <w:ind w:left="567" w:hanging="567"/>
        <w:jc w:val="both"/>
        <w:rPr>
          <w:rFonts w:cs="Arial"/>
          <w:bCs/>
          <w:sz w:val="22"/>
          <w:szCs w:val="22"/>
          <w:u w:val="single"/>
        </w:rPr>
      </w:pPr>
      <w:r>
        <w:rPr>
          <w:rFonts w:cs="Arial"/>
          <w:bCs/>
          <w:sz w:val="22"/>
          <w:szCs w:val="22"/>
          <w:u w:val="single"/>
        </w:rPr>
        <w:t xml:space="preserve">pro </w:t>
      </w:r>
      <w:r w:rsidR="00616427" w:rsidRPr="00231B65">
        <w:rPr>
          <w:rFonts w:cs="Arial"/>
          <w:bCs/>
          <w:sz w:val="22"/>
          <w:szCs w:val="22"/>
          <w:u w:val="single"/>
        </w:rPr>
        <w:t>období realizace offsetové politiky od 28. 6. 2010 do současnosti</w:t>
      </w:r>
    </w:p>
    <w:p w14:paraId="3F25AB30" w14:textId="40FA18D3" w:rsidR="00231B65" w:rsidRPr="00231B65" w:rsidRDefault="00A32FEC" w:rsidP="002A3031">
      <w:pPr>
        <w:pStyle w:val="Odstavecseseznamem"/>
        <w:numPr>
          <w:ilvl w:val="0"/>
          <w:numId w:val="9"/>
        </w:numPr>
        <w:autoSpaceDE w:val="0"/>
        <w:autoSpaceDN w:val="0"/>
        <w:adjustRightInd w:val="0"/>
        <w:spacing w:before="60"/>
        <w:jc w:val="both"/>
        <w:rPr>
          <w:rFonts w:cs="Arial"/>
          <w:sz w:val="22"/>
          <w:szCs w:val="22"/>
        </w:rPr>
      </w:pPr>
      <w:r>
        <w:rPr>
          <w:rFonts w:cs="Arial"/>
          <w:bCs/>
          <w:i/>
          <w:sz w:val="22"/>
          <w:szCs w:val="22"/>
        </w:rPr>
        <w:t>u</w:t>
      </w:r>
      <w:r w:rsidR="00231B65" w:rsidRPr="009D5AEB">
        <w:rPr>
          <w:rFonts w:cs="Arial"/>
          <w:bCs/>
          <w:i/>
          <w:sz w:val="22"/>
          <w:szCs w:val="22"/>
        </w:rPr>
        <w:t xml:space="preserve">snesení vlády České republiky ze dne 28. </w:t>
      </w:r>
      <w:r w:rsidR="00F6465D">
        <w:rPr>
          <w:rFonts w:cs="Arial"/>
          <w:bCs/>
          <w:i/>
          <w:sz w:val="22"/>
          <w:szCs w:val="22"/>
        </w:rPr>
        <w:t xml:space="preserve">6. </w:t>
      </w:r>
      <w:r w:rsidR="00231B65" w:rsidRPr="009D5AEB">
        <w:rPr>
          <w:rFonts w:cs="Arial"/>
          <w:bCs/>
          <w:i/>
          <w:sz w:val="22"/>
          <w:szCs w:val="22"/>
        </w:rPr>
        <w:t>2010 č. 499</w:t>
      </w:r>
      <w:r w:rsidR="00231B65" w:rsidRPr="009D5AEB">
        <w:rPr>
          <w:rFonts w:cs="Arial"/>
          <w:i/>
          <w:sz w:val="22"/>
          <w:szCs w:val="22"/>
        </w:rPr>
        <w:t xml:space="preserve">, o </w:t>
      </w:r>
      <w:r>
        <w:rPr>
          <w:rFonts w:cs="Arial"/>
          <w:i/>
          <w:sz w:val="22"/>
          <w:szCs w:val="22"/>
        </w:rPr>
        <w:t>Z</w:t>
      </w:r>
      <w:r w:rsidR="00231B65" w:rsidRPr="009D5AEB">
        <w:rPr>
          <w:rFonts w:cs="Arial"/>
          <w:i/>
          <w:sz w:val="22"/>
          <w:szCs w:val="22"/>
        </w:rPr>
        <w:t>ásadách realizace programů průmyslové spolupráce</w:t>
      </w:r>
      <w:r w:rsidR="00231B65" w:rsidRPr="00231B65">
        <w:rPr>
          <w:rFonts w:cs="Arial"/>
          <w:sz w:val="22"/>
          <w:szCs w:val="22"/>
        </w:rPr>
        <w:t xml:space="preserve"> (dále jen „</w:t>
      </w:r>
      <w:r w:rsidR="00231B65" w:rsidRPr="00231B65">
        <w:rPr>
          <w:rFonts w:cs="Arial"/>
          <w:b/>
          <w:sz w:val="22"/>
          <w:szCs w:val="22"/>
        </w:rPr>
        <w:t>Zásady 2010</w:t>
      </w:r>
      <w:r w:rsidR="00231B65" w:rsidRPr="00231B65">
        <w:rPr>
          <w:rFonts w:cs="Arial"/>
          <w:sz w:val="22"/>
          <w:szCs w:val="22"/>
        </w:rPr>
        <w:t>“)</w:t>
      </w:r>
      <w:r>
        <w:rPr>
          <w:rFonts w:cs="Arial"/>
          <w:sz w:val="22"/>
          <w:szCs w:val="22"/>
        </w:rPr>
        <w:t>;</w:t>
      </w:r>
    </w:p>
    <w:p w14:paraId="3F25AB31" w14:textId="1931E4A6" w:rsidR="005A5D87" w:rsidRPr="00231B65" w:rsidRDefault="00A32FEC" w:rsidP="002A3031">
      <w:pPr>
        <w:pStyle w:val="Odstavecseseznamem"/>
        <w:numPr>
          <w:ilvl w:val="0"/>
          <w:numId w:val="9"/>
        </w:numPr>
        <w:autoSpaceDE w:val="0"/>
        <w:autoSpaceDN w:val="0"/>
        <w:adjustRightInd w:val="0"/>
        <w:jc w:val="both"/>
        <w:rPr>
          <w:rFonts w:cs="Arial"/>
          <w:sz w:val="22"/>
          <w:szCs w:val="22"/>
        </w:rPr>
      </w:pPr>
      <w:r>
        <w:rPr>
          <w:rFonts w:cs="Arial"/>
          <w:i/>
          <w:sz w:val="22"/>
          <w:szCs w:val="22"/>
        </w:rPr>
        <w:t>o</w:t>
      </w:r>
      <w:r w:rsidR="00231B65" w:rsidRPr="009D5AEB">
        <w:rPr>
          <w:rFonts w:cs="Arial"/>
          <w:i/>
          <w:sz w:val="22"/>
          <w:szCs w:val="22"/>
        </w:rPr>
        <w:t>patření č. 19/2010 ministra průmyslu a obchodu ze dne 29. října 2010</w:t>
      </w:r>
      <w:r w:rsidR="00231B65" w:rsidRPr="00231B65">
        <w:rPr>
          <w:rFonts w:cs="Arial"/>
          <w:sz w:val="22"/>
          <w:szCs w:val="22"/>
        </w:rPr>
        <w:t xml:space="preserve">, kterým byla mj. vydána </w:t>
      </w:r>
      <w:r>
        <w:rPr>
          <w:rFonts w:cs="Arial"/>
          <w:sz w:val="22"/>
          <w:szCs w:val="22"/>
        </w:rPr>
        <w:t>s</w:t>
      </w:r>
      <w:r w:rsidR="00231B65" w:rsidRPr="00231B65">
        <w:rPr>
          <w:rFonts w:cs="Arial"/>
          <w:sz w:val="22"/>
          <w:szCs w:val="22"/>
        </w:rPr>
        <w:t xml:space="preserve">měrnice </w:t>
      </w:r>
      <w:r>
        <w:rPr>
          <w:rFonts w:cs="Arial"/>
          <w:sz w:val="22"/>
          <w:szCs w:val="22"/>
        </w:rPr>
        <w:t xml:space="preserve">pro </w:t>
      </w:r>
      <w:r w:rsidR="00231B65" w:rsidRPr="00231B65">
        <w:rPr>
          <w:rFonts w:cs="Arial"/>
          <w:sz w:val="22"/>
          <w:szCs w:val="22"/>
        </w:rPr>
        <w:t>realizaci programů průmyslové spolupráce (dále jen „</w:t>
      </w:r>
      <w:r w:rsidR="00231B65" w:rsidRPr="00231B65">
        <w:rPr>
          <w:rFonts w:cs="Arial"/>
          <w:b/>
          <w:sz w:val="22"/>
          <w:szCs w:val="22"/>
        </w:rPr>
        <w:t>Pravidla 2010</w:t>
      </w:r>
      <w:r w:rsidR="00231B65" w:rsidRPr="00231B65">
        <w:rPr>
          <w:rFonts w:cs="Arial"/>
          <w:sz w:val="22"/>
          <w:szCs w:val="22"/>
        </w:rPr>
        <w:t>“).</w:t>
      </w:r>
      <w:r w:rsidR="00231B65" w:rsidRPr="00231B65">
        <w:rPr>
          <w:rFonts w:cs="Arial"/>
          <w:b/>
          <w:sz w:val="22"/>
          <w:szCs w:val="22"/>
        </w:rPr>
        <w:t xml:space="preserve"> </w:t>
      </w:r>
    </w:p>
    <w:p w14:paraId="2FAAC82D" w14:textId="77777777" w:rsidR="006B5FBB" w:rsidRDefault="006B5FBB" w:rsidP="002A3031">
      <w:pPr>
        <w:autoSpaceDE w:val="0"/>
        <w:autoSpaceDN w:val="0"/>
        <w:adjustRightInd w:val="0"/>
        <w:jc w:val="both"/>
        <w:rPr>
          <w:rFonts w:cs="Arial"/>
          <w:sz w:val="22"/>
          <w:szCs w:val="22"/>
        </w:rPr>
      </w:pPr>
    </w:p>
    <w:p w14:paraId="3F25AB32" w14:textId="7857A088" w:rsidR="00556CF6" w:rsidRDefault="00556CF6" w:rsidP="0001442A">
      <w:pPr>
        <w:autoSpaceDE w:val="0"/>
        <w:autoSpaceDN w:val="0"/>
        <w:adjustRightInd w:val="0"/>
        <w:spacing w:before="40"/>
        <w:jc w:val="both"/>
        <w:rPr>
          <w:rFonts w:cs="Arial"/>
          <w:bCs/>
          <w:sz w:val="22"/>
          <w:szCs w:val="22"/>
        </w:rPr>
      </w:pPr>
      <w:r w:rsidRPr="00B94012">
        <w:rPr>
          <w:rFonts w:cs="Arial"/>
          <w:sz w:val="22"/>
          <w:szCs w:val="22"/>
        </w:rPr>
        <w:t>MPO na základě vládou svěřené úlohy zadalo v roce 1998 zpracování studie</w:t>
      </w:r>
      <w:r w:rsidR="004B44DF">
        <w:rPr>
          <w:rStyle w:val="Znakapoznpodarou"/>
          <w:rFonts w:cs="Arial"/>
          <w:sz w:val="22"/>
          <w:szCs w:val="22"/>
        </w:rPr>
        <w:footnoteReference w:id="9"/>
      </w:r>
      <w:r w:rsidRPr="00B94012">
        <w:rPr>
          <w:rFonts w:cs="Arial"/>
          <w:sz w:val="22"/>
          <w:szCs w:val="22"/>
        </w:rPr>
        <w:t xml:space="preserve">, která </w:t>
      </w:r>
      <w:r w:rsidR="00572B56" w:rsidRPr="00B94012">
        <w:rPr>
          <w:rFonts w:cs="Arial"/>
          <w:sz w:val="22"/>
          <w:szCs w:val="22"/>
        </w:rPr>
        <w:t>upozornila na specifické problémy v rovině legislativní, organizační i</w:t>
      </w:r>
      <w:r w:rsidR="00FD4A16">
        <w:rPr>
          <w:rFonts w:cs="Arial"/>
          <w:sz w:val="22"/>
          <w:szCs w:val="22"/>
        </w:rPr>
        <w:t> </w:t>
      </w:r>
      <w:r w:rsidR="00572B56" w:rsidRPr="00B94012">
        <w:rPr>
          <w:rFonts w:cs="Arial"/>
          <w:sz w:val="22"/>
          <w:szCs w:val="22"/>
        </w:rPr>
        <w:t xml:space="preserve">praktické (např. rozdělení odpovědností, uplatňování valorizací hodnot OFT, způsob monitoringu a kontroly plnění PPS) a doporučila možnosti jejich řešení. </w:t>
      </w:r>
      <w:r w:rsidR="00C764DD" w:rsidRPr="00AA3685">
        <w:rPr>
          <w:rFonts w:cs="Arial"/>
          <w:b/>
          <w:sz w:val="22"/>
          <w:szCs w:val="22"/>
        </w:rPr>
        <w:t>I</w:t>
      </w:r>
      <w:r w:rsidR="00572B56" w:rsidRPr="00AA3685">
        <w:rPr>
          <w:rFonts w:cs="Arial"/>
          <w:b/>
          <w:bCs/>
          <w:sz w:val="22"/>
          <w:szCs w:val="22"/>
        </w:rPr>
        <w:t>mplementac</w:t>
      </w:r>
      <w:r w:rsidR="00FC2E13" w:rsidRPr="00AA3685">
        <w:rPr>
          <w:rFonts w:cs="Arial"/>
          <w:b/>
          <w:bCs/>
          <w:sz w:val="22"/>
          <w:szCs w:val="22"/>
        </w:rPr>
        <w:t>i</w:t>
      </w:r>
      <w:r w:rsidR="00AA3685" w:rsidRPr="00AA3685">
        <w:rPr>
          <w:rFonts w:cs="Arial"/>
          <w:b/>
          <w:bCs/>
          <w:sz w:val="22"/>
          <w:szCs w:val="22"/>
        </w:rPr>
        <w:t xml:space="preserve"> těchto</w:t>
      </w:r>
      <w:r w:rsidR="00FC2E13" w:rsidRPr="00AA3685">
        <w:rPr>
          <w:rFonts w:cs="Arial"/>
          <w:b/>
          <w:bCs/>
          <w:sz w:val="22"/>
          <w:szCs w:val="22"/>
        </w:rPr>
        <w:t xml:space="preserve"> </w:t>
      </w:r>
      <w:r w:rsidR="00947BC0" w:rsidRPr="00AA3685">
        <w:rPr>
          <w:rFonts w:cs="Arial"/>
          <w:b/>
          <w:bCs/>
          <w:sz w:val="22"/>
          <w:szCs w:val="22"/>
        </w:rPr>
        <w:t xml:space="preserve">doporučení </w:t>
      </w:r>
      <w:r w:rsidR="00C764DD" w:rsidRPr="00AA3685">
        <w:rPr>
          <w:rFonts w:cs="Arial"/>
          <w:b/>
          <w:bCs/>
          <w:sz w:val="22"/>
          <w:szCs w:val="22"/>
        </w:rPr>
        <w:t>MPO</w:t>
      </w:r>
      <w:r w:rsidR="00C75167">
        <w:rPr>
          <w:rFonts w:cs="Arial"/>
          <w:b/>
          <w:bCs/>
          <w:sz w:val="22"/>
          <w:szCs w:val="22"/>
        </w:rPr>
        <w:t xml:space="preserve"> </w:t>
      </w:r>
      <w:r w:rsidR="00FC2E13" w:rsidRPr="00AA3685">
        <w:rPr>
          <w:rFonts w:cs="Arial"/>
          <w:b/>
          <w:bCs/>
          <w:sz w:val="22"/>
          <w:szCs w:val="22"/>
        </w:rPr>
        <w:t>neřešilo</w:t>
      </w:r>
      <w:r w:rsidR="00572B56" w:rsidRPr="00AA3685">
        <w:rPr>
          <w:rFonts w:cs="Arial"/>
          <w:b/>
          <w:bCs/>
          <w:sz w:val="22"/>
          <w:szCs w:val="22"/>
        </w:rPr>
        <w:t xml:space="preserve"> v následujícím období systematicky</w:t>
      </w:r>
      <w:r w:rsidR="00A8096E" w:rsidRPr="00AA3685">
        <w:rPr>
          <w:rFonts w:cs="Arial"/>
          <w:b/>
          <w:bCs/>
          <w:sz w:val="22"/>
          <w:szCs w:val="22"/>
        </w:rPr>
        <w:t>,</w:t>
      </w:r>
      <w:r w:rsidR="00470F93">
        <w:rPr>
          <w:rFonts w:cs="Arial"/>
          <w:bCs/>
          <w:sz w:val="22"/>
          <w:szCs w:val="22"/>
        </w:rPr>
        <w:t xml:space="preserve"> </w:t>
      </w:r>
      <w:r w:rsidR="00A8096E">
        <w:rPr>
          <w:rFonts w:cs="Arial"/>
          <w:bCs/>
          <w:sz w:val="22"/>
          <w:szCs w:val="22"/>
        </w:rPr>
        <w:t>č</w:t>
      </w:r>
      <w:r w:rsidR="00470F93">
        <w:rPr>
          <w:rFonts w:cs="Arial"/>
          <w:bCs/>
          <w:sz w:val="22"/>
          <w:szCs w:val="22"/>
        </w:rPr>
        <w:t xml:space="preserve">ást </w:t>
      </w:r>
      <w:r w:rsidR="00572B56" w:rsidRPr="00B94012">
        <w:rPr>
          <w:rFonts w:cs="Arial"/>
          <w:bCs/>
          <w:sz w:val="22"/>
          <w:szCs w:val="22"/>
        </w:rPr>
        <w:t>doporučení zapracovalo teprve po šesti letech do</w:t>
      </w:r>
      <w:r w:rsidR="00A32FEC">
        <w:rPr>
          <w:rFonts w:cs="Arial"/>
          <w:bCs/>
          <w:sz w:val="22"/>
          <w:szCs w:val="22"/>
        </w:rPr>
        <w:t xml:space="preserve"> </w:t>
      </w:r>
      <w:r w:rsidR="00572B56" w:rsidRPr="00B94012">
        <w:rPr>
          <w:rFonts w:cs="Arial"/>
          <w:bCs/>
          <w:sz w:val="22"/>
          <w:szCs w:val="22"/>
        </w:rPr>
        <w:t>Zásad</w:t>
      </w:r>
      <w:r w:rsidR="00A32FEC">
        <w:rPr>
          <w:rFonts w:cs="Arial"/>
          <w:bCs/>
          <w:sz w:val="22"/>
          <w:szCs w:val="22"/>
        </w:rPr>
        <w:t xml:space="preserve"> 2005</w:t>
      </w:r>
      <w:r w:rsidR="00572B56" w:rsidRPr="00B94012">
        <w:rPr>
          <w:rFonts w:cs="Arial"/>
          <w:bCs/>
          <w:sz w:val="22"/>
          <w:szCs w:val="22"/>
        </w:rPr>
        <w:t xml:space="preserve"> a Pravidel 2005</w:t>
      </w:r>
      <w:r w:rsidR="00FD4A16">
        <w:rPr>
          <w:rFonts w:cs="Arial"/>
          <w:bCs/>
          <w:sz w:val="22"/>
          <w:szCs w:val="22"/>
        </w:rPr>
        <w:t>, kde již např. vypustilo systém uplatňování valorizací hodnot OFT.</w:t>
      </w:r>
      <w:r w:rsidR="0001442A">
        <w:rPr>
          <w:rFonts w:cs="Arial"/>
          <w:bCs/>
          <w:sz w:val="22"/>
          <w:szCs w:val="22"/>
        </w:rPr>
        <w:t xml:space="preserve"> </w:t>
      </w:r>
      <w:r w:rsidR="00FD4A16">
        <w:rPr>
          <w:rFonts w:cs="Arial"/>
          <w:bCs/>
          <w:sz w:val="22"/>
          <w:szCs w:val="22"/>
        </w:rPr>
        <w:t xml:space="preserve">Změny </w:t>
      </w:r>
      <w:r w:rsidR="00D920E5">
        <w:rPr>
          <w:rFonts w:cs="Arial"/>
          <w:bCs/>
          <w:sz w:val="22"/>
          <w:szCs w:val="22"/>
        </w:rPr>
        <w:t>v </w:t>
      </w:r>
      <w:r w:rsidR="00FD4A16">
        <w:rPr>
          <w:rFonts w:cs="Arial"/>
          <w:bCs/>
          <w:sz w:val="22"/>
          <w:szCs w:val="22"/>
        </w:rPr>
        <w:t xml:space="preserve">Zásadách 2010 představovaly dílčí úpravy, které jsou popsány </w:t>
      </w:r>
      <w:r w:rsidR="00A8096E">
        <w:rPr>
          <w:rFonts w:cs="Arial"/>
          <w:bCs/>
          <w:sz w:val="22"/>
          <w:szCs w:val="22"/>
        </w:rPr>
        <w:t>dále.</w:t>
      </w:r>
    </w:p>
    <w:p w14:paraId="45CE218A" w14:textId="77777777" w:rsidR="006B5FBB" w:rsidRDefault="006B5FBB" w:rsidP="002A3031">
      <w:pPr>
        <w:autoSpaceDE w:val="0"/>
        <w:autoSpaceDN w:val="0"/>
        <w:adjustRightInd w:val="0"/>
        <w:jc w:val="both"/>
        <w:rPr>
          <w:rFonts w:cs="Arial"/>
          <w:bCs/>
          <w:sz w:val="22"/>
          <w:szCs w:val="22"/>
        </w:rPr>
      </w:pPr>
    </w:p>
    <w:p w14:paraId="3F25AB33" w14:textId="5C0B3187" w:rsidR="00A6744D" w:rsidRDefault="00A8096E" w:rsidP="002A3031">
      <w:pPr>
        <w:autoSpaceDE w:val="0"/>
        <w:autoSpaceDN w:val="0"/>
        <w:adjustRightInd w:val="0"/>
        <w:jc w:val="both"/>
        <w:rPr>
          <w:rFonts w:cs="Arial"/>
          <w:sz w:val="22"/>
          <w:szCs w:val="22"/>
        </w:rPr>
      </w:pPr>
      <w:r>
        <w:rPr>
          <w:rFonts w:cs="Arial"/>
          <w:sz w:val="22"/>
          <w:szCs w:val="22"/>
        </w:rPr>
        <w:t xml:space="preserve">Od přistoupení </w:t>
      </w:r>
      <w:r w:rsidR="00A6744D" w:rsidRPr="00AF1F97">
        <w:rPr>
          <w:rFonts w:cs="Arial"/>
          <w:sz w:val="22"/>
          <w:szCs w:val="22"/>
        </w:rPr>
        <w:t xml:space="preserve">ČR k EU dne 1. 5. 2004 </w:t>
      </w:r>
      <w:r>
        <w:rPr>
          <w:rFonts w:cs="Arial"/>
          <w:sz w:val="22"/>
          <w:szCs w:val="22"/>
        </w:rPr>
        <w:t>se</w:t>
      </w:r>
      <w:r w:rsidR="00AA3685">
        <w:rPr>
          <w:rFonts w:cs="Arial"/>
          <w:sz w:val="22"/>
          <w:szCs w:val="22"/>
        </w:rPr>
        <w:t xml:space="preserve"> </w:t>
      </w:r>
      <w:r w:rsidR="00A6744D" w:rsidRPr="00AF1F97">
        <w:rPr>
          <w:rFonts w:cs="Arial"/>
          <w:sz w:val="22"/>
          <w:szCs w:val="22"/>
        </w:rPr>
        <w:t xml:space="preserve">na </w:t>
      </w:r>
      <w:r w:rsidR="00E33555">
        <w:rPr>
          <w:rFonts w:cs="Arial"/>
          <w:sz w:val="22"/>
          <w:szCs w:val="22"/>
        </w:rPr>
        <w:t xml:space="preserve">zadávané </w:t>
      </w:r>
      <w:r w:rsidR="00A6744D" w:rsidRPr="00AF1F97">
        <w:rPr>
          <w:rFonts w:cs="Arial"/>
          <w:sz w:val="22"/>
          <w:szCs w:val="22"/>
        </w:rPr>
        <w:t xml:space="preserve">zakázky </w:t>
      </w:r>
      <w:r w:rsidR="00D920E5">
        <w:rPr>
          <w:rFonts w:cs="Arial"/>
          <w:sz w:val="22"/>
          <w:szCs w:val="22"/>
        </w:rPr>
        <w:t>v </w:t>
      </w:r>
      <w:r w:rsidR="00A6744D" w:rsidRPr="00AF1F97">
        <w:rPr>
          <w:rFonts w:cs="Arial"/>
          <w:sz w:val="22"/>
          <w:szCs w:val="22"/>
        </w:rPr>
        <w:t>oblasti obrany a</w:t>
      </w:r>
      <w:r w:rsidR="00635A29">
        <w:rPr>
          <w:rFonts w:cs="Arial"/>
          <w:sz w:val="22"/>
          <w:szCs w:val="22"/>
        </w:rPr>
        <w:t> </w:t>
      </w:r>
      <w:r w:rsidR="00A6744D" w:rsidRPr="00AF1F97">
        <w:rPr>
          <w:rFonts w:cs="Arial"/>
          <w:sz w:val="22"/>
          <w:szCs w:val="22"/>
        </w:rPr>
        <w:t xml:space="preserve">bezpečnosti </w:t>
      </w:r>
      <w:r w:rsidR="00FC2E13" w:rsidRPr="00AF1F97">
        <w:rPr>
          <w:rFonts w:cs="Arial"/>
          <w:sz w:val="22"/>
          <w:szCs w:val="22"/>
        </w:rPr>
        <w:t>vzt</w:t>
      </w:r>
      <w:r w:rsidR="00E33555">
        <w:rPr>
          <w:rFonts w:cs="Arial"/>
          <w:sz w:val="22"/>
          <w:szCs w:val="22"/>
        </w:rPr>
        <w:t>ahují</w:t>
      </w:r>
      <w:r w:rsidR="00FC2E13" w:rsidRPr="00AF1F97">
        <w:rPr>
          <w:rFonts w:cs="Arial"/>
          <w:sz w:val="22"/>
          <w:szCs w:val="22"/>
        </w:rPr>
        <w:t xml:space="preserve"> </w:t>
      </w:r>
      <w:r w:rsidR="00A6744D" w:rsidRPr="00AF1F97">
        <w:rPr>
          <w:rFonts w:cs="Arial"/>
          <w:sz w:val="22"/>
          <w:szCs w:val="22"/>
        </w:rPr>
        <w:t xml:space="preserve">pravidla vnitřního trhu s výhradou </w:t>
      </w:r>
      <w:r>
        <w:rPr>
          <w:rFonts w:cs="Arial"/>
          <w:sz w:val="22"/>
          <w:szCs w:val="22"/>
        </w:rPr>
        <w:t>specifických výjimek.</w:t>
      </w:r>
      <w:r w:rsidR="00E33555">
        <w:rPr>
          <w:rStyle w:val="Znakapoznpodarou"/>
          <w:rFonts w:cs="Arial"/>
          <w:sz w:val="22"/>
          <w:szCs w:val="22"/>
        </w:rPr>
        <w:footnoteReference w:id="10"/>
      </w:r>
      <w:r>
        <w:rPr>
          <w:rFonts w:cs="Arial"/>
          <w:sz w:val="22"/>
          <w:szCs w:val="22"/>
        </w:rPr>
        <w:t xml:space="preserve"> </w:t>
      </w:r>
    </w:p>
    <w:p w14:paraId="0FE99802" w14:textId="77777777" w:rsidR="006B5FBB" w:rsidRPr="00AF1F97" w:rsidRDefault="006B5FBB" w:rsidP="002A3031">
      <w:pPr>
        <w:autoSpaceDE w:val="0"/>
        <w:autoSpaceDN w:val="0"/>
        <w:adjustRightInd w:val="0"/>
        <w:jc w:val="both"/>
        <w:rPr>
          <w:rFonts w:cs="Arial"/>
          <w:sz w:val="22"/>
          <w:szCs w:val="22"/>
        </w:rPr>
      </w:pPr>
    </w:p>
    <w:p w14:paraId="3F25AB34" w14:textId="38D3924A" w:rsidR="003E7B1C" w:rsidRDefault="004C0A64" w:rsidP="002A3031">
      <w:pPr>
        <w:autoSpaceDE w:val="0"/>
        <w:autoSpaceDN w:val="0"/>
        <w:adjustRightInd w:val="0"/>
        <w:jc w:val="both"/>
        <w:rPr>
          <w:rFonts w:cs="Arial"/>
          <w:sz w:val="22"/>
          <w:szCs w:val="22"/>
        </w:rPr>
      </w:pPr>
      <w:r>
        <w:rPr>
          <w:rFonts w:cs="Arial"/>
          <w:b/>
          <w:sz w:val="22"/>
          <w:szCs w:val="22"/>
        </w:rPr>
        <w:t>V</w:t>
      </w:r>
      <w:r w:rsidRPr="00D344BC">
        <w:rPr>
          <w:rFonts w:cs="Arial"/>
          <w:b/>
          <w:sz w:val="22"/>
          <w:szCs w:val="22"/>
        </w:rPr>
        <w:t> roce 2012</w:t>
      </w:r>
      <w:r>
        <w:rPr>
          <w:rFonts w:cs="Arial"/>
          <w:b/>
          <w:sz w:val="22"/>
          <w:szCs w:val="22"/>
        </w:rPr>
        <w:t xml:space="preserve"> </w:t>
      </w:r>
      <w:r w:rsidR="003E7B1C" w:rsidRPr="0068575C">
        <w:rPr>
          <w:rFonts w:cs="Arial"/>
          <w:b/>
          <w:sz w:val="22"/>
          <w:szCs w:val="22"/>
        </w:rPr>
        <w:t xml:space="preserve">MPO navrhlo vládě přijmout usnesení k ukončení uplatňování offsetové politiky </w:t>
      </w:r>
      <w:r w:rsidR="00E33555">
        <w:rPr>
          <w:rFonts w:cs="Arial"/>
          <w:b/>
          <w:sz w:val="22"/>
          <w:szCs w:val="22"/>
        </w:rPr>
        <w:t>podle</w:t>
      </w:r>
      <w:r w:rsidR="003E7B1C" w:rsidRPr="0068575C">
        <w:rPr>
          <w:rFonts w:cs="Arial"/>
          <w:b/>
          <w:sz w:val="22"/>
          <w:szCs w:val="22"/>
        </w:rPr>
        <w:t xml:space="preserve"> Zásad 2010, </w:t>
      </w:r>
      <w:r w:rsidR="00A32FEC">
        <w:rPr>
          <w:rFonts w:cs="Arial"/>
          <w:b/>
          <w:sz w:val="22"/>
          <w:szCs w:val="22"/>
        </w:rPr>
        <w:t xml:space="preserve">stalo se tak </w:t>
      </w:r>
      <w:r w:rsidR="003E7B1C" w:rsidRPr="0068575C">
        <w:rPr>
          <w:rFonts w:cs="Arial"/>
          <w:b/>
          <w:sz w:val="22"/>
          <w:szCs w:val="22"/>
        </w:rPr>
        <w:t>přibližně s desetiměsíční prodlevou po</w:t>
      </w:r>
      <w:r w:rsidR="00A32FEC">
        <w:rPr>
          <w:rFonts w:cs="Arial"/>
          <w:b/>
          <w:sz w:val="22"/>
          <w:szCs w:val="22"/>
        </w:rPr>
        <w:t xml:space="preserve"> </w:t>
      </w:r>
      <w:r w:rsidR="003E7B1C" w:rsidRPr="0068575C">
        <w:rPr>
          <w:rFonts w:cs="Arial"/>
          <w:b/>
          <w:sz w:val="22"/>
          <w:szCs w:val="22"/>
        </w:rPr>
        <w:t>účinnosti zákona č.</w:t>
      </w:r>
      <w:r w:rsidR="005978E4">
        <w:rPr>
          <w:rFonts w:cs="Arial"/>
          <w:b/>
          <w:sz w:val="22"/>
          <w:szCs w:val="22"/>
        </w:rPr>
        <w:t> </w:t>
      </w:r>
      <w:r w:rsidR="003E7B1C" w:rsidRPr="0068575C">
        <w:rPr>
          <w:rFonts w:cs="Arial"/>
          <w:b/>
          <w:sz w:val="22"/>
          <w:szCs w:val="22"/>
        </w:rPr>
        <w:t>258/2011 Sb.</w:t>
      </w:r>
      <w:r w:rsidR="003E7B1C" w:rsidRPr="0068575C">
        <w:rPr>
          <w:rStyle w:val="Znakapoznpodarou"/>
          <w:rFonts w:cs="Arial"/>
          <w:b/>
          <w:sz w:val="22"/>
          <w:szCs w:val="22"/>
        </w:rPr>
        <w:footnoteReference w:id="11"/>
      </w:r>
      <w:r w:rsidR="003E7B1C" w:rsidRPr="0068575C">
        <w:rPr>
          <w:rFonts w:cs="Arial"/>
          <w:b/>
          <w:sz w:val="22"/>
          <w:szCs w:val="22"/>
        </w:rPr>
        <w:t xml:space="preserve"> a po upozornění ze strany Evropské komise</w:t>
      </w:r>
      <w:r w:rsidR="003E7B1C" w:rsidRPr="002A3031">
        <w:rPr>
          <w:rFonts w:cs="Arial"/>
          <w:b/>
          <w:sz w:val="22"/>
          <w:szCs w:val="22"/>
        </w:rPr>
        <w:t>,</w:t>
      </w:r>
      <w:r w:rsidR="003E7B1C" w:rsidRPr="00470F93">
        <w:rPr>
          <w:rFonts w:cs="Arial"/>
          <w:sz w:val="22"/>
          <w:szCs w:val="22"/>
        </w:rPr>
        <w:t xml:space="preserve"> že uplatňováním Zásad 2010 dochází k porušování komunitárního práva. </w:t>
      </w:r>
      <w:r w:rsidR="00B23AE5">
        <w:rPr>
          <w:rFonts w:cs="Arial"/>
          <w:sz w:val="22"/>
          <w:szCs w:val="22"/>
        </w:rPr>
        <w:t xml:space="preserve">Hlavní příčinou </w:t>
      </w:r>
      <w:r w:rsidR="00CD58D3">
        <w:rPr>
          <w:rFonts w:cs="Arial"/>
          <w:sz w:val="22"/>
          <w:szCs w:val="22"/>
        </w:rPr>
        <w:t xml:space="preserve">upozornění </w:t>
      </w:r>
      <w:r w:rsidR="00B23AE5">
        <w:rPr>
          <w:rFonts w:cs="Arial"/>
          <w:sz w:val="22"/>
          <w:szCs w:val="22"/>
        </w:rPr>
        <w:t>bylo r</w:t>
      </w:r>
      <w:r w:rsidR="003E7B1C" w:rsidRPr="00470F93">
        <w:rPr>
          <w:rFonts w:cs="Arial"/>
          <w:sz w:val="22"/>
          <w:szCs w:val="22"/>
        </w:rPr>
        <w:t xml:space="preserve">ozšíření okruhu přímých offsetů </w:t>
      </w:r>
      <w:r w:rsidR="003E7B1C">
        <w:rPr>
          <w:rFonts w:cs="Arial"/>
          <w:sz w:val="22"/>
          <w:szCs w:val="22"/>
        </w:rPr>
        <w:t>a ponechání nepřímých offsetů</w:t>
      </w:r>
      <w:r w:rsidR="00D920E5">
        <w:rPr>
          <w:rFonts w:cs="Arial"/>
          <w:sz w:val="22"/>
          <w:szCs w:val="22"/>
        </w:rPr>
        <w:t xml:space="preserve"> </w:t>
      </w:r>
      <w:r w:rsidR="00B23AE5">
        <w:rPr>
          <w:rFonts w:cs="Arial"/>
          <w:sz w:val="22"/>
          <w:szCs w:val="22"/>
        </w:rPr>
        <w:t>v</w:t>
      </w:r>
      <w:r w:rsidR="00D920E5">
        <w:rPr>
          <w:rFonts w:cs="Arial"/>
          <w:sz w:val="22"/>
          <w:szCs w:val="22"/>
        </w:rPr>
        <w:t> </w:t>
      </w:r>
      <w:r w:rsidR="003E7B1C" w:rsidRPr="00470F93">
        <w:rPr>
          <w:rFonts w:cs="Arial"/>
          <w:sz w:val="22"/>
          <w:szCs w:val="22"/>
        </w:rPr>
        <w:t>Zásad</w:t>
      </w:r>
      <w:r w:rsidR="00B23AE5">
        <w:rPr>
          <w:rFonts w:cs="Arial"/>
          <w:sz w:val="22"/>
          <w:szCs w:val="22"/>
        </w:rPr>
        <w:t>ách</w:t>
      </w:r>
      <w:r w:rsidR="003E7B1C" w:rsidRPr="00470F93">
        <w:rPr>
          <w:rFonts w:cs="Arial"/>
          <w:sz w:val="22"/>
          <w:szCs w:val="22"/>
        </w:rPr>
        <w:t xml:space="preserve"> 2010. </w:t>
      </w:r>
    </w:p>
    <w:p w14:paraId="0F793549" w14:textId="77777777" w:rsidR="006B5FBB" w:rsidRPr="00470F93" w:rsidRDefault="006B5FBB" w:rsidP="002A3031">
      <w:pPr>
        <w:autoSpaceDE w:val="0"/>
        <w:autoSpaceDN w:val="0"/>
        <w:adjustRightInd w:val="0"/>
        <w:jc w:val="both"/>
        <w:rPr>
          <w:rFonts w:cs="Arial"/>
          <w:sz w:val="22"/>
          <w:szCs w:val="22"/>
        </w:rPr>
      </w:pPr>
    </w:p>
    <w:p w14:paraId="3F25AB35" w14:textId="5CA38BB4" w:rsidR="00A162DA" w:rsidRDefault="00A162DA" w:rsidP="002A3031">
      <w:pPr>
        <w:autoSpaceDE w:val="0"/>
        <w:autoSpaceDN w:val="0"/>
        <w:adjustRightInd w:val="0"/>
        <w:jc w:val="both"/>
        <w:rPr>
          <w:rFonts w:cs="Arial"/>
          <w:sz w:val="22"/>
          <w:szCs w:val="22"/>
        </w:rPr>
      </w:pPr>
      <w:r w:rsidRPr="00470F93">
        <w:rPr>
          <w:rFonts w:cs="Arial"/>
          <w:b/>
          <w:sz w:val="22"/>
          <w:szCs w:val="22"/>
        </w:rPr>
        <w:t xml:space="preserve">Vláda </w:t>
      </w:r>
      <w:r w:rsidR="00A32FEC">
        <w:rPr>
          <w:rFonts w:cs="Arial"/>
          <w:b/>
          <w:sz w:val="22"/>
          <w:szCs w:val="22"/>
        </w:rPr>
        <w:t xml:space="preserve">v srpnu </w:t>
      </w:r>
      <w:r w:rsidR="00A32FEC" w:rsidRPr="00470F93">
        <w:rPr>
          <w:rFonts w:cs="Arial"/>
          <w:b/>
          <w:sz w:val="22"/>
          <w:szCs w:val="22"/>
        </w:rPr>
        <w:t xml:space="preserve">2012 </w:t>
      </w:r>
      <w:r w:rsidRPr="00470F93">
        <w:rPr>
          <w:rFonts w:cs="Arial"/>
          <w:b/>
          <w:sz w:val="22"/>
          <w:szCs w:val="22"/>
        </w:rPr>
        <w:t xml:space="preserve">schválila </w:t>
      </w:r>
      <w:r w:rsidR="00A32FEC" w:rsidRPr="002A3031">
        <w:rPr>
          <w:rFonts w:cs="Arial"/>
          <w:b/>
          <w:sz w:val="22"/>
          <w:szCs w:val="22"/>
        </w:rPr>
        <w:t>v souvislosti s offsety</w:t>
      </w:r>
      <w:r w:rsidR="00A32FEC" w:rsidRPr="00470F93">
        <w:rPr>
          <w:rFonts w:cs="Arial"/>
          <w:sz w:val="22"/>
          <w:szCs w:val="22"/>
        </w:rPr>
        <w:t xml:space="preserve"> </w:t>
      </w:r>
      <w:r w:rsidRPr="00470F93">
        <w:rPr>
          <w:rFonts w:cs="Arial"/>
          <w:b/>
          <w:sz w:val="22"/>
          <w:szCs w:val="22"/>
        </w:rPr>
        <w:t>usnesení</w:t>
      </w:r>
      <w:r w:rsidR="004B44DF">
        <w:rPr>
          <w:rStyle w:val="Znakapoznpodarou"/>
          <w:rFonts w:cs="Arial"/>
          <w:b/>
          <w:sz w:val="22"/>
          <w:szCs w:val="22"/>
        </w:rPr>
        <w:footnoteReference w:id="12"/>
      </w:r>
      <w:r w:rsidR="004B44DF">
        <w:rPr>
          <w:rFonts w:cs="Arial"/>
          <w:b/>
          <w:sz w:val="22"/>
          <w:szCs w:val="22"/>
        </w:rPr>
        <w:t>,</w:t>
      </w:r>
      <w:r w:rsidRPr="00470F93">
        <w:rPr>
          <w:rFonts w:cs="Arial"/>
          <w:b/>
          <w:sz w:val="22"/>
          <w:szCs w:val="22"/>
        </w:rPr>
        <w:t xml:space="preserve"> </w:t>
      </w:r>
      <w:r w:rsidRPr="00470F93">
        <w:rPr>
          <w:rFonts w:cs="Arial"/>
          <w:sz w:val="22"/>
          <w:szCs w:val="22"/>
        </w:rPr>
        <w:t>kterým vzala na</w:t>
      </w:r>
      <w:r w:rsidR="00FD4A16">
        <w:rPr>
          <w:rFonts w:cs="Arial"/>
          <w:sz w:val="22"/>
          <w:szCs w:val="22"/>
        </w:rPr>
        <w:t> </w:t>
      </w:r>
      <w:r w:rsidRPr="00470F93">
        <w:rPr>
          <w:rFonts w:cs="Arial"/>
          <w:sz w:val="22"/>
          <w:szCs w:val="22"/>
        </w:rPr>
        <w:t>vědomí, že při přípravě, zadávání a realizaci veřejných zakázek na dodávky vojenského materiálu a</w:t>
      </w:r>
      <w:r w:rsidR="00A77368">
        <w:rPr>
          <w:rFonts w:cs="Arial"/>
          <w:sz w:val="22"/>
          <w:szCs w:val="22"/>
        </w:rPr>
        <w:t> </w:t>
      </w:r>
      <w:r w:rsidRPr="00470F93">
        <w:rPr>
          <w:rFonts w:cs="Arial"/>
          <w:sz w:val="22"/>
          <w:szCs w:val="22"/>
        </w:rPr>
        <w:t xml:space="preserve">souvisejících prací a služeb musí být podmínky požadované po uchazečích plně </w:t>
      </w:r>
      <w:r w:rsidR="00D920E5">
        <w:rPr>
          <w:rFonts w:cs="Arial"/>
          <w:sz w:val="22"/>
          <w:szCs w:val="22"/>
        </w:rPr>
        <w:t>v </w:t>
      </w:r>
      <w:r w:rsidRPr="00470F93">
        <w:rPr>
          <w:rFonts w:cs="Arial"/>
          <w:sz w:val="22"/>
          <w:szCs w:val="22"/>
        </w:rPr>
        <w:t xml:space="preserve">souladu se zásadami vnitřního trhu podle ustanovení </w:t>
      </w:r>
      <w:r w:rsidR="00A6744D">
        <w:rPr>
          <w:rFonts w:cs="Arial"/>
          <w:sz w:val="22"/>
          <w:szCs w:val="22"/>
        </w:rPr>
        <w:t>čl. 346 TFEU</w:t>
      </w:r>
      <w:r w:rsidRPr="00470F93">
        <w:rPr>
          <w:rFonts w:cs="Arial"/>
          <w:sz w:val="22"/>
          <w:szCs w:val="22"/>
        </w:rPr>
        <w:t xml:space="preserve"> a příslušného sekundárního práva</w:t>
      </w:r>
      <w:r w:rsidR="00A6744D">
        <w:rPr>
          <w:rStyle w:val="Znakapoznpodarou"/>
          <w:rFonts w:cs="Arial"/>
          <w:sz w:val="22"/>
          <w:szCs w:val="22"/>
        </w:rPr>
        <w:footnoteReference w:id="13"/>
      </w:r>
      <w:r w:rsidRPr="00470F93">
        <w:rPr>
          <w:rFonts w:cs="Arial"/>
          <w:sz w:val="22"/>
          <w:szCs w:val="22"/>
        </w:rPr>
        <w:t xml:space="preserve">. Vláda </w:t>
      </w:r>
      <w:r w:rsidR="00A32FEC">
        <w:rPr>
          <w:rFonts w:cs="Arial"/>
          <w:sz w:val="22"/>
          <w:szCs w:val="22"/>
        </w:rPr>
        <w:t>tímto</w:t>
      </w:r>
      <w:r w:rsidR="0086651A">
        <w:rPr>
          <w:rFonts w:cs="Arial"/>
          <w:sz w:val="22"/>
          <w:szCs w:val="22"/>
        </w:rPr>
        <w:t xml:space="preserve"> usnesením </w:t>
      </w:r>
      <w:r w:rsidRPr="00470F93">
        <w:rPr>
          <w:rFonts w:cs="Arial"/>
          <w:sz w:val="22"/>
          <w:szCs w:val="22"/>
        </w:rPr>
        <w:t>uložila svým členům neuplatňovat Zásady 2010 při přípravě veřejných zakázek na dodávku zboží, služeb a stavebních prací od</w:t>
      </w:r>
      <w:r w:rsidR="00B23AE5">
        <w:rPr>
          <w:rFonts w:cs="Arial"/>
          <w:sz w:val="22"/>
          <w:szCs w:val="22"/>
        </w:rPr>
        <w:t> </w:t>
      </w:r>
      <w:r w:rsidRPr="00470F93">
        <w:rPr>
          <w:rFonts w:cs="Arial"/>
          <w:sz w:val="22"/>
          <w:szCs w:val="22"/>
        </w:rPr>
        <w:t>zahraničních dodavatelů</w:t>
      </w:r>
      <w:r w:rsidR="008E059A">
        <w:rPr>
          <w:rFonts w:cs="Arial"/>
          <w:sz w:val="22"/>
          <w:szCs w:val="22"/>
        </w:rPr>
        <w:t>, tj. nevyžadovat nové offsetové závazky</w:t>
      </w:r>
      <w:r w:rsidR="00D74817">
        <w:rPr>
          <w:rFonts w:cs="Arial"/>
          <w:sz w:val="22"/>
          <w:szCs w:val="22"/>
        </w:rPr>
        <w:t>.</w:t>
      </w:r>
      <w:r w:rsidRPr="00470F93">
        <w:rPr>
          <w:rFonts w:cs="Arial"/>
          <w:sz w:val="22"/>
          <w:szCs w:val="22"/>
        </w:rPr>
        <w:t xml:space="preserve"> </w:t>
      </w:r>
      <w:r w:rsidR="00FC2E13">
        <w:rPr>
          <w:rFonts w:cs="Arial"/>
          <w:sz w:val="22"/>
          <w:szCs w:val="22"/>
        </w:rPr>
        <w:t>U </w:t>
      </w:r>
      <w:r w:rsidR="00FC2E13" w:rsidRPr="00470F93">
        <w:rPr>
          <w:rFonts w:cs="Arial"/>
          <w:sz w:val="22"/>
          <w:szCs w:val="22"/>
        </w:rPr>
        <w:t>probíhající</w:t>
      </w:r>
      <w:r w:rsidR="00FC2E13">
        <w:rPr>
          <w:rFonts w:cs="Arial"/>
          <w:sz w:val="22"/>
          <w:szCs w:val="22"/>
        </w:rPr>
        <w:t>ch</w:t>
      </w:r>
      <w:r w:rsidR="00FC2E13" w:rsidRPr="00470F93">
        <w:rPr>
          <w:rFonts w:cs="Arial"/>
          <w:sz w:val="22"/>
          <w:szCs w:val="22"/>
        </w:rPr>
        <w:t xml:space="preserve"> program</w:t>
      </w:r>
      <w:r w:rsidR="00FC2E13">
        <w:rPr>
          <w:rFonts w:cs="Arial"/>
          <w:sz w:val="22"/>
          <w:szCs w:val="22"/>
        </w:rPr>
        <w:t>ů</w:t>
      </w:r>
      <w:r w:rsidR="00FC2E13" w:rsidRPr="00470F93">
        <w:rPr>
          <w:rFonts w:cs="Arial"/>
          <w:sz w:val="22"/>
          <w:szCs w:val="22"/>
        </w:rPr>
        <w:t xml:space="preserve"> vlád</w:t>
      </w:r>
      <w:r w:rsidR="00FC2E13">
        <w:rPr>
          <w:rFonts w:cs="Arial"/>
          <w:sz w:val="22"/>
          <w:szCs w:val="22"/>
        </w:rPr>
        <w:t xml:space="preserve">a nadále pověřila </w:t>
      </w:r>
      <w:r w:rsidR="00880C13">
        <w:rPr>
          <w:rFonts w:cs="Arial"/>
          <w:sz w:val="22"/>
          <w:szCs w:val="22"/>
        </w:rPr>
        <w:t>m</w:t>
      </w:r>
      <w:r w:rsidR="00880C13" w:rsidRPr="00470F93">
        <w:rPr>
          <w:rFonts w:cs="Arial"/>
          <w:sz w:val="22"/>
          <w:szCs w:val="22"/>
        </w:rPr>
        <w:t>inistr</w:t>
      </w:r>
      <w:r w:rsidR="00880C13">
        <w:rPr>
          <w:rFonts w:cs="Arial"/>
          <w:sz w:val="22"/>
          <w:szCs w:val="22"/>
        </w:rPr>
        <w:t>a</w:t>
      </w:r>
      <w:r w:rsidR="00880C13" w:rsidRPr="00470F93">
        <w:rPr>
          <w:rFonts w:cs="Arial"/>
          <w:sz w:val="22"/>
          <w:szCs w:val="22"/>
        </w:rPr>
        <w:t xml:space="preserve"> </w:t>
      </w:r>
      <w:r w:rsidRPr="00470F93">
        <w:rPr>
          <w:rFonts w:cs="Arial"/>
          <w:sz w:val="22"/>
          <w:szCs w:val="22"/>
        </w:rPr>
        <w:t>průmyslu a</w:t>
      </w:r>
      <w:r w:rsidR="00FD4A16">
        <w:rPr>
          <w:rFonts w:cs="Arial"/>
          <w:sz w:val="22"/>
          <w:szCs w:val="22"/>
        </w:rPr>
        <w:t> </w:t>
      </w:r>
      <w:r w:rsidRPr="00470F93">
        <w:rPr>
          <w:rFonts w:cs="Arial"/>
          <w:sz w:val="22"/>
          <w:szCs w:val="22"/>
        </w:rPr>
        <w:t xml:space="preserve">obchodu </w:t>
      </w:r>
      <w:r w:rsidR="00CD6709">
        <w:rPr>
          <w:rFonts w:cs="Arial"/>
          <w:sz w:val="22"/>
          <w:szCs w:val="22"/>
        </w:rPr>
        <w:t xml:space="preserve">plněním </w:t>
      </w:r>
      <w:r w:rsidR="008E059A">
        <w:rPr>
          <w:rFonts w:cs="Arial"/>
          <w:sz w:val="22"/>
          <w:szCs w:val="22"/>
        </w:rPr>
        <w:t>úkol</w:t>
      </w:r>
      <w:r w:rsidR="00CD6709">
        <w:rPr>
          <w:rFonts w:cs="Arial"/>
          <w:sz w:val="22"/>
          <w:szCs w:val="22"/>
        </w:rPr>
        <w:t>ů</w:t>
      </w:r>
      <w:r w:rsidR="008E059A">
        <w:rPr>
          <w:rFonts w:cs="Arial"/>
          <w:sz w:val="22"/>
          <w:szCs w:val="22"/>
        </w:rPr>
        <w:t xml:space="preserve"> </w:t>
      </w:r>
      <w:r w:rsidR="00965379">
        <w:rPr>
          <w:rFonts w:cs="Arial"/>
          <w:sz w:val="22"/>
          <w:szCs w:val="22"/>
        </w:rPr>
        <w:t>(metodick</w:t>
      </w:r>
      <w:r w:rsidR="004C0A64">
        <w:rPr>
          <w:rFonts w:cs="Arial"/>
          <w:sz w:val="22"/>
          <w:szCs w:val="22"/>
        </w:rPr>
        <w:t>á</w:t>
      </w:r>
      <w:r w:rsidR="00965379">
        <w:rPr>
          <w:rFonts w:cs="Arial"/>
          <w:sz w:val="22"/>
          <w:szCs w:val="22"/>
        </w:rPr>
        <w:t xml:space="preserve"> činnost, hodnocení PPS apod.) </w:t>
      </w:r>
      <w:r w:rsidR="008E059A">
        <w:rPr>
          <w:rFonts w:cs="Arial"/>
          <w:sz w:val="22"/>
          <w:szCs w:val="22"/>
        </w:rPr>
        <w:t>ve smyslu Zásad 2010</w:t>
      </w:r>
      <w:r w:rsidRPr="00470F93">
        <w:rPr>
          <w:rFonts w:cs="Arial"/>
          <w:sz w:val="22"/>
          <w:szCs w:val="22"/>
        </w:rPr>
        <w:t>.</w:t>
      </w:r>
    </w:p>
    <w:p w14:paraId="37FDD99B" w14:textId="77777777" w:rsidR="006B5FBB" w:rsidRPr="00470F93" w:rsidRDefault="006B5FBB" w:rsidP="002A3031">
      <w:pPr>
        <w:autoSpaceDE w:val="0"/>
        <w:autoSpaceDN w:val="0"/>
        <w:adjustRightInd w:val="0"/>
        <w:jc w:val="both"/>
        <w:rPr>
          <w:rFonts w:cs="Arial"/>
          <w:sz w:val="22"/>
          <w:szCs w:val="22"/>
        </w:rPr>
      </w:pPr>
    </w:p>
    <w:p w14:paraId="3F25AB36" w14:textId="0D7CF0FA" w:rsidR="007C74DC" w:rsidRPr="0001442A" w:rsidRDefault="007C74DC" w:rsidP="002A3031">
      <w:pPr>
        <w:pStyle w:val="Nadpis2"/>
        <w:spacing w:before="0"/>
        <w:rPr>
          <w:sz w:val="22"/>
          <w:szCs w:val="22"/>
        </w:rPr>
      </w:pPr>
      <w:r w:rsidRPr="0001442A">
        <w:rPr>
          <w:sz w:val="22"/>
          <w:szCs w:val="22"/>
        </w:rPr>
        <w:lastRenderedPageBreak/>
        <w:t>1.2 Zá</w:t>
      </w:r>
      <w:r w:rsidR="00E8578A">
        <w:rPr>
          <w:sz w:val="22"/>
          <w:szCs w:val="22"/>
        </w:rPr>
        <w:t xml:space="preserve">sady a základní </w:t>
      </w:r>
      <w:r w:rsidRPr="0001442A">
        <w:rPr>
          <w:sz w:val="22"/>
          <w:szCs w:val="22"/>
        </w:rPr>
        <w:t>principy</w:t>
      </w:r>
      <w:r w:rsidR="00D74817" w:rsidRPr="0001442A">
        <w:rPr>
          <w:sz w:val="22"/>
          <w:szCs w:val="22"/>
        </w:rPr>
        <w:t xml:space="preserve"> </w:t>
      </w:r>
      <w:r w:rsidRPr="0001442A">
        <w:rPr>
          <w:sz w:val="22"/>
          <w:szCs w:val="22"/>
        </w:rPr>
        <w:t xml:space="preserve">uplatňování </w:t>
      </w:r>
      <w:r w:rsidR="00AD4AF5" w:rsidRPr="0001442A">
        <w:rPr>
          <w:sz w:val="22"/>
          <w:szCs w:val="22"/>
        </w:rPr>
        <w:t xml:space="preserve">a uznávání </w:t>
      </w:r>
      <w:r w:rsidRPr="0001442A">
        <w:rPr>
          <w:sz w:val="22"/>
          <w:szCs w:val="22"/>
        </w:rPr>
        <w:t>offsetů</w:t>
      </w:r>
    </w:p>
    <w:p w14:paraId="3F25AB37" w14:textId="078B8E28" w:rsidR="00C764DD" w:rsidRPr="00B94012" w:rsidRDefault="00D74817" w:rsidP="002A3031">
      <w:pPr>
        <w:autoSpaceDE w:val="0"/>
        <w:autoSpaceDN w:val="0"/>
        <w:adjustRightInd w:val="0"/>
        <w:spacing w:after="120"/>
        <w:jc w:val="both"/>
        <w:rPr>
          <w:rFonts w:cs="Arial"/>
          <w:bCs/>
          <w:sz w:val="22"/>
          <w:szCs w:val="22"/>
        </w:rPr>
      </w:pPr>
      <w:r>
        <w:rPr>
          <w:rFonts w:cs="Arial"/>
          <w:bCs/>
          <w:sz w:val="22"/>
          <w:szCs w:val="22"/>
        </w:rPr>
        <w:t>U</w:t>
      </w:r>
      <w:r w:rsidR="00C764DD" w:rsidRPr="00B94012">
        <w:rPr>
          <w:rFonts w:cs="Arial"/>
          <w:bCs/>
          <w:sz w:val="22"/>
          <w:szCs w:val="22"/>
        </w:rPr>
        <w:t xml:space="preserve">platňování offsetů se v průběhu </w:t>
      </w:r>
      <w:r>
        <w:rPr>
          <w:rFonts w:cs="Arial"/>
          <w:bCs/>
          <w:sz w:val="22"/>
          <w:szCs w:val="22"/>
        </w:rPr>
        <w:t xml:space="preserve">kontrolovaného období </w:t>
      </w:r>
      <w:r w:rsidR="00C764DD" w:rsidRPr="00B94012">
        <w:rPr>
          <w:rFonts w:cs="Arial"/>
          <w:bCs/>
          <w:sz w:val="22"/>
          <w:szCs w:val="22"/>
        </w:rPr>
        <w:t>měnil</w:t>
      </w:r>
      <w:r>
        <w:rPr>
          <w:rFonts w:cs="Arial"/>
          <w:bCs/>
          <w:sz w:val="22"/>
          <w:szCs w:val="22"/>
        </w:rPr>
        <w:t>o</w:t>
      </w:r>
      <w:r w:rsidR="00C764DD" w:rsidRPr="00B94012">
        <w:rPr>
          <w:rFonts w:cs="Arial"/>
          <w:bCs/>
          <w:sz w:val="22"/>
          <w:szCs w:val="22"/>
        </w:rPr>
        <w:t xml:space="preserve"> na základě příslušných </w:t>
      </w:r>
      <w:r w:rsidR="00E8578A">
        <w:rPr>
          <w:rFonts w:cs="Arial"/>
          <w:bCs/>
          <w:sz w:val="22"/>
          <w:szCs w:val="22"/>
        </w:rPr>
        <w:t>Z</w:t>
      </w:r>
      <w:r w:rsidR="00C764DD" w:rsidRPr="00B94012">
        <w:rPr>
          <w:rFonts w:cs="Arial"/>
          <w:bCs/>
          <w:sz w:val="22"/>
          <w:szCs w:val="22"/>
        </w:rPr>
        <w:t>ásad</w:t>
      </w:r>
      <w:r w:rsidR="00E8578A">
        <w:rPr>
          <w:rFonts w:cs="Arial"/>
          <w:bCs/>
          <w:sz w:val="22"/>
          <w:szCs w:val="22"/>
        </w:rPr>
        <w:t>, jejichž obsahem byly i základní principy offsetové politiky.</w:t>
      </w:r>
      <w:r w:rsidR="00A162DA">
        <w:rPr>
          <w:rFonts w:cs="Arial"/>
          <w:bCs/>
          <w:sz w:val="22"/>
          <w:szCs w:val="22"/>
        </w:rPr>
        <w:t xml:space="preserve"> </w:t>
      </w:r>
      <w:r w:rsidR="00A162DA" w:rsidRPr="00470F93">
        <w:rPr>
          <w:rFonts w:cs="Arial"/>
          <w:sz w:val="22"/>
          <w:szCs w:val="22"/>
        </w:rPr>
        <w:t>NKÚ</w:t>
      </w:r>
      <w:r w:rsidR="00D344BC">
        <w:rPr>
          <w:rFonts w:cs="Arial"/>
          <w:sz w:val="22"/>
          <w:szCs w:val="22"/>
        </w:rPr>
        <w:t xml:space="preserve"> </w:t>
      </w:r>
      <w:r>
        <w:rPr>
          <w:rFonts w:cs="Arial"/>
          <w:sz w:val="22"/>
          <w:szCs w:val="22"/>
        </w:rPr>
        <w:t xml:space="preserve">použil </w:t>
      </w:r>
      <w:r w:rsidR="00EA0420">
        <w:rPr>
          <w:rFonts w:cs="Arial"/>
          <w:sz w:val="22"/>
          <w:szCs w:val="22"/>
        </w:rPr>
        <w:t xml:space="preserve">tyto Zásady </w:t>
      </w:r>
      <w:r>
        <w:rPr>
          <w:rFonts w:cs="Arial"/>
          <w:sz w:val="22"/>
          <w:szCs w:val="22"/>
        </w:rPr>
        <w:t>jako kritéria</w:t>
      </w:r>
      <w:r w:rsidR="00A162DA" w:rsidRPr="00470F93">
        <w:rPr>
          <w:rFonts w:cs="Arial"/>
          <w:sz w:val="22"/>
          <w:szCs w:val="22"/>
        </w:rPr>
        <w:t xml:space="preserve"> p</w:t>
      </w:r>
      <w:r>
        <w:rPr>
          <w:rFonts w:cs="Arial"/>
          <w:sz w:val="22"/>
          <w:szCs w:val="22"/>
        </w:rPr>
        <w:t>ři</w:t>
      </w:r>
      <w:r w:rsidR="00A162DA" w:rsidRPr="00470F93">
        <w:rPr>
          <w:rFonts w:cs="Arial"/>
          <w:sz w:val="22"/>
          <w:szCs w:val="22"/>
        </w:rPr>
        <w:t xml:space="preserve"> kontrol</w:t>
      </w:r>
      <w:r>
        <w:rPr>
          <w:rFonts w:cs="Arial"/>
          <w:sz w:val="22"/>
          <w:szCs w:val="22"/>
        </w:rPr>
        <w:t>e</w:t>
      </w:r>
      <w:r w:rsidR="00A162DA" w:rsidRPr="00470F93">
        <w:rPr>
          <w:rFonts w:cs="Arial"/>
          <w:sz w:val="22"/>
          <w:szCs w:val="22"/>
        </w:rPr>
        <w:t xml:space="preserve"> </w:t>
      </w:r>
      <w:r w:rsidR="00A162DA">
        <w:rPr>
          <w:rFonts w:cs="Arial"/>
          <w:sz w:val="22"/>
          <w:szCs w:val="22"/>
        </w:rPr>
        <w:t>postupů a</w:t>
      </w:r>
      <w:r w:rsidR="0001442A">
        <w:rPr>
          <w:rFonts w:cs="Arial"/>
          <w:sz w:val="22"/>
          <w:szCs w:val="22"/>
        </w:rPr>
        <w:t> </w:t>
      </w:r>
      <w:r w:rsidR="00A162DA" w:rsidRPr="00470F93">
        <w:rPr>
          <w:rFonts w:cs="Arial"/>
          <w:sz w:val="22"/>
          <w:szCs w:val="22"/>
        </w:rPr>
        <w:t>procesů, v rámci nichž byly</w:t>
      </w:r>
      <w:r w:rsidR="00A162DA">
        <w:rPr>
          <w:rFonts w:cs="Arial"/>
          <w:sz w:val="22"/>
          <w:szCs w:val="22"/>
        </w:rPr>
        <w:t xml:space="preserve"> u</w:t>
      </w:r>
      <w:r w:rsidR="00D344BC">
        <w:rPr>
          <w:rFonts w:cs="Arial"/>
          <w:sz w:val="22"/>
          <w:szCs w:val="22"/>
        </w:rPr>
        <w:t> </w:t>
      </w:r>
      <w:r w:rsidR="00A162DA">
        <w:rPr>
          <w:rFonts w:cs="Arial"/>
          <w:sz w:val="22"/>
          <w:szCs w:val="22"/>
        </w:rPr>
        <w:t>kontrolovaných osob</w:t>
      </w:r>
      <w:r w:rsidR="00A162DA" w:rsidRPr="00470F93">
        <w:rPr>
          <w:rFonts w:cs="Arial"/>
          <w:sz w:val="22"/>
          <w:szCs w:val="22"/>
        </w:rPr>
        <w:t xml:space="preserve"> posuzovány a</w:t>
      </w:r>
      <w:r w:rsidR="005978E4">
        <w:rPr>
          <w:rFonts w:cs="Arial"/>
          <w:sz w:val="22"/>
          <w:szCs w:val="22"/>
        </w:rPr>
        <w:t> </w:t>
      </w:r>
      <w:r w:rsidR="00A162DA" w:rsidRPr="00470F93">
        <w:rPr>
          <w:rFonts w:cs="Arial"/>
          <w:sz w:val="22"/>
          <w:szCs w:val="22"/>
        </w:rPr>
        <w:t>schvalovány jednotlivé</w:t>
      </w:r>
      <w:r>
        <w:rPr>
          <w:rFonts w:cs="Arial"/>
          <w:sz w:val="22"/>
          <w:szCs w:val="22"/>
        </w:rPr>
        <w:t xml:space="preserve"> PPS a</w:t>
      </w:r>
      <w:r w:rsidR="00A162DA" w:rsidRPr="00470F93">
        <w:rPr>
          <w:rFonts w:cs="Arial"/>
          <w:sz w:val="22"/>
          <w:szCs w:val="22"/>
        </w:rPr>
        <w:t xml:space="preserve"> OFT.</w:t>
      </w:r>
      <w:r w:rsidR="00A162DA">
        <w:rPr>
          <w:rFonts w:cs="Arial"/>
          <w:sz w:val="22"/>
          <w:szCs w:val="22"/>
        </w:rPr>
        <w:t xml:space="preserve"> </w:t>
      </w:r>
      <w:r w:rsidR="00C764DD" w:rsidRPr="00B94012">
        <w:rPr>
          <w:rFonts w:cs="Arial"/>
          <w:bCs/>
          <w:sz w:val="22"/>
          <w:szCs w:val="22"/>
        </w:rPr>
        <w:t xml:space="preserve">Z těchto změn </w:t>
      </w:r>
      <w:r w:rsidR="00B945EB">
        <w:rPr>
          <w:rFonts w:cs="Arial"/>
          <w:bCs/>
          <w:sz w:val="22"/>
          <w:szCs w:val="22"/>
        </w:rPr>
        <w:t>uvádíme</w:t>
      </w:r>
      <w:r w:rsidR="00C764DD" w:rsidRPr="00B94012">
        <w:rPr>
          <w:rFonts w:cs="Arial"/>
          <w:bCs/>
          <w:sz w:val="22"/>
          <w:szCs w:val="22"/>
        </w:rPr>
        <w:t xml:space="preserve"> ty nejpodstatnější a ty, které souvisí s</w:t>
      </w:r>
      <w:r w:rsidR="003254B6">
        <w:rPr>
          <w:rFonts w:cs="Arial"/>
          <w:bCs/>
          <w:sz w:val="22"/>
          <w:szCs w:val="22"/>
        </w:rPr>
        <w:t> </w:t>
      </w:r>
      <w:r w:rsidR="00C764DD" w:rsidRPr="00B94012">
        <w:rPr>
          <w:rFonts w:cs="Arial"/>
          <w:bCs/>
          <w:sz w:val="22"/>
          <w:szCs w:val="22"/>
        </w:rPr>
        <w:t xml:space="preserve">významnými skutečnostmi </w:t>
      </w:r>
      <w:r w:rsidR="003254B6" w:rsidRPr="00B94012">
        <w:rPr>
          <w:rFonts w:cs="Arial"/>
          <w:bCs/>
          <w:sz w:val="22"/>
          <w:szCs w:val="22"/>
        </w:rPr>
        <w:t xml:space="preserve">zjištěnými </w:t>
      </w:r>
      <w:r w:rsidR="00C764DD" w:rsidRPr="00B94012">
        <w:rPr>
          <w:rFonts w:cs="Arial"/>
          <w:bCs/>
          <w:sz w:val="22"/>
          <w:szCs w:val="22"/>
        </w:rPr>
        <w:t>u</w:t>
      </w:r>
      <w:r w:rsidR="00D344BC">
        <w:rPr>
          <w:rFonts w:cs="Arial"/>
          <w:bCs/>
          <w:sz w:val="22"/>
          <w:szCs w:val="22"/>
        </w:rPr>
        <w:t> </w:t>
      </w:r>
      <w:r w:rsidR="00C764DD" w:rsidRPr="00B94012">
        <w:rPr>
          <w:rFonts w:cs="Arial"/>
          <w:bCs/>
          <w:sz w:val="22"/>
          <w:szCs w:val="22"/>
        </w:rPr>
        <w:t xml:space="preserve">jednotlivých PPS: </w:t>
      </w:r>
    </w:p>
    <w:p w14:paraId="3F25AB38" w14:textId="148B0C2B" w:rsidR="00C764DD" w:rsidRPr="00B94012" w:rsidRDefault="00C764DD" w:rsidP="002A3031">
      <w:pPr>
        <w:pStyle w:val="Odstavecseseznamem"/>
        <w:numPr>
          <w:ilvl w:val="0"/>
          <w:numId w:val="5"/>
        </w:numPr>
        <w:autoSpaceDE w:val="0"/>
        <w:autoSpaceDN w:val="0"/>
        <w:adjustRightInd w:val="0"/>
        <w:ind w:left="284" w:hanging="284"/>
        <w:jc w:val="both"/>
        <w:rPr>
          <w:rFonts w:cs="Arial"/>
          <w:bCs/>
          <w:sz w:val="22"/>
          <w:szCs w:val="22"/>
        </w:rPr>
      </w:pPr>
      <w:r w:rsidRPr="00B94012">
        <w:rPr>
          <w:rFonts w:cs="Arial"/>
          <w:b/>
          <w:bCs/>
          <w:sz w:val="22"/>
          <w:szCs w:val="22"/>
        </w:rPr>
        <w:t>Finanční limity</w:t>
      </w:r>
      <w:r w:rsidR="00C04A13">
        <w:rPr>
          <w:rFonts w:cs="Arial"/>
          <w:b/>
          <w:bCs/>
          <w:sz w:val="22"/>
          <w:szCs w:val="22"/>
        </w:rPr>
        <w:t>,</w:t>
      </w:r>
      <w:r w:rsidRPr="00B94012">
        <w:rPr>
          <w:rFonts w:cs="Arial"/>
          <w:bCs/>
          <w:sz w:val="22"/>
          <w:szCs w:val="22"/>
        </w:rPr>
        <w:t xml:space="preserve"> </w:t>
      </w:r>
      <w:r w:rsidR="00C04A13" w:rsidRPr="00B94012">
        <w:rPr>
          <w:rFonts w:cs="Arial"/>
          <w:bCs/>
          <w:sz w:val="22"/>
          <w:szCs w:val="22"/>
        </w:rPr>
        <w:t>při je</w:t>
      </w:r>
      <w:r w:rsidR="00C04A13">
        <w:rPr>
          <w:rFonts w:cs="Arial"/>
          <w:bCs/>
          <w:sz w:val="22"/>
          <w:szCs w:val="22"/>
        </w:rPr>
        <w:t>jichž</w:t>
      </w:r>
      <w:r w:rsidR="00C04A13" w:rsidRPr="00B94012">
        <w:rPr>
          <w:rFonts w:cs="Arial"/>
          <w:bCs/>
          <w:sz w:val="22"/>
          <w:szCs w:val="22"/>
        </w:rPr>
        <w:t xml:space="preserve"> dosažení měl zadavatel</w:t>
      </w:r>
      <w:r w:rsidR="00C04A13">
        <w:rPr>
          <w:rFonts w:cs="Arial"/>
          <w:bCs/>
          <w:sz w:val="22"/>
          <w:szCs w:val="22"/>
        </w:rPr>
        <w:t xml:space="preserve"> </w:t>
      </w:r>
      <w:r w:rsidR="003254B6" w:rsidRPr="00B94012">
        <w:rPr>
          <w:rFonts w:cs="Arial"/>
          <w:bCs/>
          <w:sz w:val="22"/>
          <w:szCs w:val="22"/>
        </w:rPr>
        <w:t xml:space="preserve">uplatnit </w:t>
      </w:r>
      <w:r w:rsidR="00C04A13">
        <w:rPr>
          <w:rFonts w:cs="Arial"/>
          <w:bCs/>
          <w:sz w:val="22"/>
          <w:szCs w:val="22"/>
        </w:rPr>
        <w:t>u zahraničních (sub)dodavatelů</w:t>
      </w:r>
      <w:r w:rsidR="00C04A13" w:rsidRPr="00B94012">
        <w:rPr>
          <w:rFonts w:cs="Arial"/>
          <w:bCs/>
          <w:sz w:val="22"/>
          <w:szCs w:val="22"/>
        </w:rPr>
        <w:t xml:space="preserve"> požadavek offsetů</w:t>
      </w:r>
      <w:r w:rsidR="003254B6">
        <w:rPr>
          <w:rFonts w:cs="Arial"/>
          <w:bCs/>
          <w:sz w:val="22"/>
          <w:szCs w:val="22"/>
        </w:rPr>
        <w:t>,</w:t>
      </w:r>
      <w:r w:rsidR="00C04A13">
        <w:rPr>
          <w:rFonts w:cs="Arial"/>
          <w:bCs/>
          <w:sz w:val="22"/>
          <w:szCs w:val="22"/>
        </w:rPr>
        <w:t xml:space="preserve"> se postupně zvyšovaly (viz tabulka č. 1).</w:t>
      </w:r>
      <w:r w:rsidR="0060186C" w:rsidRPr="00B94012">
        <w:rPr>
          <w:rFonts w:cs="Arial"/>
          <w:bCs/>
          <w:sz w:val="22"/>
          <w:szCs w:val="22"/>
        </w:rPr>
        <w:t xml:space="preserve"> </w:t>
      </w:r>
    </w:p>
    <w:p w14:paraId="2091EFF8" w14:textId="33AF4640" w:rsidR="006B5FBB" w:rsidRDefault="006B5FBB" w:rsidP="00DB37E6">
      <w:pPr>
        <w:autoSpaceDE w:val="0"/>
        <w:autoSpaceDN w:val="0"/>
        <w:adjustRightInd w:val="0"/>
        <w:jc w:val="both"/>
        <w:rPr>
          <w:rFonts w:cs="Arial"/>
          <w:bCs/>
          <w:sz w:val="22"/>
          <w:szCs w:val="22"/>
        </w:rPr>
      </w:pPr>
    </w:p>
    <w:p w14:paraId="3F25AB39" w14:textId="5C20A3E6" w:rsidR="0060186C" w:rsidRPr="00A77368" w:rsidRDefault="0060186C" w:rsidP="00DB37E6">
      <w:pPr>
        <w:autoSpaceDE w:val="0"/>
        <w:autoSpaceDN w:val="0"/>
        <w:adjustRightInd w:val="0"/>
        <w:ind w:firstLine="142"/>
        <w:jc w:val="both"/>
        <w:rPr>
          <w:rFonts w:cs="Arial"/>
          <w:b/>
          <w:bCs/>
          <w:sz w:val="22"/>
          <w:szCs w:val="22"/>
        </w:rPr>
      </w:pPr>
      <w:r w:rsidRPr="00A77368">
        <w:rPr>
          <w:rFonts w:cs="Arial"/>
          <w:b/>
          <w:bCs/>
          <w:sz w:val="22"/>
          <w:szCs w:val="22"/>
        </w:rPr>
        <w:t>Tabulka č. 1</w:t>
      </w:r>
      <w:r w:rsidR="004F3049" w:rsidRPr="00A77368">
        <w:rPr>
          <w:rFonts w:cs="Arial"/>
          <w:b/>
          <w:bCs/>
          <w:sz w:val="22"/>
          <w:szCs w:val="22"/>
        </w:rPr>
        <w:t xml:space="preserve"> </w:t>
      </w:r>
      <w:r w:rsidR="003254B6">
        <w:rPr>
          <w:rFonts w:cs="Arial"/>
          <w:b/>
          <w:bCs/>
          <w:sz w:val="22"/>
          <w:szCs w:val="22"/>
        </w:rPr>
        <w:t xml:space="preserve">– </w:t>
      </w:r>
      <w:r w:rsidR="00B23AE5" w:rsidRPr="00A77368">
        <w:rPr>
          <w:rFonts w:cs="Arial"/>
          <w:b/>
          <w:bCs/>
          <w:sz w:val="22"/>
          <w:szCs w:val="22"/>
        </w:rPr>
        <w:t>Finanční limity</w:t>
      </w:r>
      <w:r w:rsidR="00AD4AF5" w:rsidRPr="00A77368">
        <w:rPr>
          <w:rFonts w:cs="Arial"/>
          <w:b/>
          <w:bCs/>
          <w:sz w:val="22"/>
          <w:szCs w:val="22"/>
        </w:rPr>
        <w:t xml:space="preserve"> </w:t>
      </w:r>
      <w:r w:rsidR="00B23AE5" w:rsidRPr="00A77368">
        <w:rPr>
          <w:rFonts w:cs="Arial"/>
          <w:b/>
          <w:bCs/>
          <w:sz w:val="22"/>
          <w:szCs w:val="22"/>
        </w:rPr>
        <w:t>uplatňování offsetů</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6"/>
        <w:gridCol w:w="1701"/>
        <w:gridCol w:w="2551"/>
        <w:gridCol w:w="3508"/>
      </w:tblGrid>
      <w:tr w:rsidR="00C764DD" w:rsidRPr="001315D9" w14:paraId="3F25AB3E" w14:textId="77777777" w:rsidTr="007C66B7">
        <w:tc>
          <w:tcPr>
            <w:tcW w:w="1276" w:type="dxa"/>
            <w:tcBorders>
              <w:top w:val="single" w:sz="12" w:space="0" w:color="auto"/>
              <w:bottom w:val="single" w:sz="6" w:space="0" w:color="auto"/>
            </w:tcBorders>
            <w:shd w:val="clear" w:color="auto" w:fill="B8CCE4" w:themeFill="accent1" w:themeFillTint="66"/>
            <w:vAlign w:val="center"/>
          </w:tcPr>
          <w:p w14:paraId="3F25AB3A" w14:textId="77777777" w:rsidR="00C764DD" w:rsidRPr="001315D9" w:rsidRDefault="00C764DD" w:rsidP="0001442A">
            <w:pPr>
              <w:autoSpaceDE w:val="0"/>
              <w:autoSpaceDN w:val="0"/>
              <w:adjustRightInd w:val="0"/>
              <w:spacing w:before="40"/>
              <w:jc w:val="center"/>
              <w:rPr>
                <w:b/>
                <w:bCs/>
                <w:sz w:val="20"/>
                <w:szCs w:val="20"/>
              </w:rPr>
            </w:pPr>
            <w:r w:rsidRPr="001315D9">
              <w:rPr>
                <w:b/>
                <w:bCs/>
                <w:sz w:val="20"/>
                <w:szCs w:val="20"/>
              </w:rPr>
              <w:t>Zásady</w:t>
            </w:r>
          </w:p>
        </w:tc>
        <w:tc>
          <w:tcPr>
            <w:tcW w:w="1701" w:type="dxa"/>
            <w:tcBorders>
              <w:top w:val="single" w:sz="12" w:space="0" w:color="auto"/>
              <w:bottom w:val="single" w:sz="6" w:space="0" w:color="auto"/>
            </w:tcBorders>
            <w:shd w:val="clear" w:color="auto" w:fill="B8CCE4" w:themeFill="accent1" w:themeFillTint="66"/>
            <w:vAlign w:val="center"/>
          </w:tcPr>
          <w:p w14:paraId="3F25AB3B" w14:textId="77777777" w:rsidR="00C764DD" w:rsidRPr="001315D9" w:rsidRDefault="00C764DD" w:rsidP="0001442A">
            <w:pPr>
              <w:autoSpaceDE w:val="0"/>
              <w:autoSpaceDN w:val="0"/>
              <w:adjustRightInd w:val="0"/>
              <w:spacing w:before="40"/>
              <w:jc w:val="center"/>
              <w:rPr>
                <w:b/>
                <w:bCs/>
                <w:sz w:val="20"/>
                <w:szCs w:val="20"/>
              </w:rPr>
            </w:pPr>
            <w:r w:rsidRPr="001315D9">
              <w:rPr>
                <w:b/>
                <w:bCs/>
                <w:sz w:val="20"/>
                <w:szCs w:val="20"/>
              </w:rPr>
              <w:t>Dodávky zahraničního dodavatele</w:t>
            </w:r>
          </w:p>
        </w:tc>
        <w:tc>
          <w:tcPr>
            <w:tcW w:w="2551" w:type="dxa"/>
            <w:tcBorders>
              <w:top w:val="single" w:sz="12" w:space="0" w:color="auto"/>
              <w:bottom w:val="single" w:sz="6" w:space="0" w:color="auto"/>
            </w:tcBorders>
            <w:shd w:val="clear" w:color="auto" w:fill="B8CCE4" w:themeFill="accent1" w:themeFillTint="66"/>
            <w:vAlign w:val="center"/>
          </w:tcPr>
          <w:p w14:paraId="3F25AB3C" w14:textId="77777777" w:rsidR="00C764DD" w:rsidRPr="001315D9" w:rsidRDefault="00C764DD" w:rsidP="0001442A">
            <w:pPr>
              <w:autoSpaceDE w:val="0"/>
              <w:autoSpaceDN w:val="0"/>
              <w:adjustRightInd w:val="0"/>
              <w:spacing w:before="40"/>
              <w:jc w:val="center"/>
              <w:rPr>
                <w:b/>
                <w:bCs/>
                <w:sz w:val="20"/>
                <w:szCs w:val="20"/>
              </w:rPr>
            </w:pPr>
            <w:r w:rsidRPr="001315D9">
              <w:rPr>
                <w:b/>
                <w:bCs/>
                <w:sz w:val="20"/>
                <w:szCs w:val="20"/>
              </w:rPr>
              <w:t>Subdodávky zahraničního dodavatele pro tuzemské finální dodavatele</w:t>
            </w:r>
          </w:p>
        </w:tc>
        <w:tc>
          <w:tcPr>
            <w:tcW w:w="3508" w:type="dxa"/>
            <w:tcBorders>
              <w:top w:val="single" w:sz="12" w:space="0" w:color="auto"/>
              <w:bottom w:val="single" w:sz="6" w:space="0" w:color="auto"/>
            </w:tcBorders>
            <w:shd w:val="clear" w:color="auto" w:fill="B8CCE4" w:themeFill="accent1" w:themeFillTint="66"/>
            <w:vAlign w:val="center"/>
          </w:tcPr>
          <w:p w14:paraId="3F25AB3D" w14:textId="77777777" w:rsidR="00C764DD" w:rsidRPr="001315D9" w:rsidRDefault="00C764DD" w:rsidP="0001442A">
            <w:pPr>
              <w:autoSpaceDE w:val="0"/>
              <w:autoSpaceDN w:val="0"/>
              <w:adjustRightInd w:val="0"/>
              <w:spacing w:before="40"/>
              <w:jc w:val="center"/>
              <w:rPr>
                <w:b/>
                <w:bCs/>
                <w:sz w:val="20"/>
                <w:szCs w:val="20"/>
              </w:rPr>
            </w:pPr>
            <w:r w:rsidRPr="001315D9">
              <w:rPr>
                <w:b/>
                <w:bCs/>
                <w:sz w:val="20"/>
                <w:szCs w:val="20"/>
              </w:rPr>
              <w:t>Požadovaná hodnota offsetového závazku k hodnotě kontraktu bez DPH (z toho přímé offsety)</w:t>
            </w:r>
          </w:p>
        </w:tc>
      </w:tr>
      <w:tr w:rsidR="00C764DD" w:rsidRPr="001315D9" w14:paraId="3F25AB43" w14:textId="77777777" w:rsidTr="007C66B7">
        <w:tc>
          <w:tcPr>
            <w:tcW w:w="1276" w:type="dxa"/>
            <w:tcBorders>
              <w:top w:val="single" w:sz="6" w:space="0" w:color="auto"/>
            </w:tcBorders>
          </w:tcPr>
          <w:p w14:paraId="3F25AB3F" w14:textId="77777777" w:rsidR="00C764DD" w:rsidRPr="001315D9" w:rsidRDefault="00C764DD" w:rsidP="0001442A">
            <w:pPr>
              <w:autoSpaceDE w:val="0"/>
              <w:autoSpaceDN w:val="0"/>
              <w:adjustRightInd w:val="0"/>
              <w:spacing w:before="40"/>
              <w:jc w:val="center"/>
              <w:rPr>
                <w:b/>
                <w:bCs/>
                <w:sz w:val="20"/>
                <w:szCs w:val="20"/>
              </w:rPr>
            </w:pPr>
            <w:r w:rsidRPr="001315D9">
              <w:rPr>
                <w:b/>
                <w:bCs/>
                <w:sz w:val="20"/>
                <w:szCs w:val="20"/>
              </w:rPr>
              <w:t>1998</w:t>
            </w:r>
          </w:p>
        </w:tc>
        <w:tc>
          <w:tcPr>
            <w:tcW w:w="1701" w:type="dxa"/>
            <w:tcBorders>
              <w:top w:val="single" w:sz="6" w:space="0" w:color="auto"/>
            </w:tcBorders>
            <w:vAlign w:val="center"/>
          </w:tcPr>
          <w:p w14:paraId="3F25AB40" w14:textId="77777777" w:rsidR="00C764DD" w:rsidRPr="001315D9" w:rsidRDefault="00C764DD" w:rsidP="00DB37E6">
            <w:pPr>
              <w:autoSpaceDE w:val="0"/>
              <w:autoSpaceDN w:val="0"/>
              <w:adjustRightInd w:val="0"/>
              <w:spacing w:before="40"/>
              <w:ind w:right="34"/>
              <w:jc w:val="right"/>
              <w:rPr>
                <w:bCs/>
                <w:sz w:val="20"/>
                <w:szCs w:val="20"/>
              </w:rPr>
            </w:pPr>
            <w:r w:rsidRPr="001315D9">
              <w:rPr>
                <w:bCs/>
                <w:sz w:val="20"/>
                <w:szCs w:val="20"/>
              </w:rPr>
              <w:t>&gt; 300 mil. Kč</w:t>
            </w:r>
          </w:p>
        </w:tc>
        <w:tc>
          <w:tcPr>
            <w:tcW w:w="2551" w:type="dxa"/>
            <w:tcBorders>
              <w:top w:val="single" w:sz="6" w:space="0" w:color="auto"/>
            </w:tcBorders>
            <w:vAlign w:val="center"/>
          </w:tcPr>
          <w:p w14:paraId="3F25AB41" w14:textId="77777777" w:rsidR="00C764DD" w:rsidRPr="001315D9" w:rsidRDefault="00C764DD" w:rsidP="00DB37E6">
            <w:pPr>
              <w:autoSpaceDE w:val="0"/>
              <w:autoSpaceDN w:val="0"/>
              <w:adjustRightInd w:val="0"/>
              <w:spacing w:before="40"/>
              <w:ind w:right="33"/>
              <w:jc w:val="right"/>
              <w:rPr>
                <w:bCs/>
                <w:sz w:val="20"/>
                <w:szCs w:val="20"/>
              </w:rPr>
            </w:pPr>
            <w:r w:rsidRPr="001315D9">
              <w:rPr>
                <w:bCs/>
                <w:sz w:val="20"/>
                <w:szCs w:val="20"/>
              </w:rPr>
              <w:t>&gt; 100 mil. Kč</w:t>
            </w:r>
          </w:p>
        </w:tc>
        <w:tc>
          <w:tcPr>
            <w:tcW w:w="3508" w:type="dxa"/>
            <w:tcBorders>
              <w:top w:val="single" w:sz="6" w:space="0" w:color="auto"/>
            </w:tcBorders>
            <w:vAlign w:val="center"/>
          </w:tcPr>
          <w:p w14:paraId="3F25AB42" w14:textId="6626C310" w:rsidR="00C764DD" w:rsidRPr="001315D9" w:rsidRDefault="003B0DD8" w:rsidP="00DB37E6">
            <w:pPr>
              <w:autoSpaceDE w:val="0"/>
              <w:autoSpaceDN w:val="0"/>
              <w:adjustRightInd w:val="0"/>
              <w:spacing w:before="40"/>
              <w:ind w:left="318" w:right="-2"/>
              <w:rPr>
                <w:bCs/>
                <w:sz w:val="20"/>
                <w:szCs w:val="20"/>
              </w:rPr>
            </w:pPr>
            <w:r>
              <w:rPr>
                <w:bCs/>
                <w:sz w:val="20"/>
                <w:szCs w:val="20"/>
              </w:rPr>
              <w:t>N</w:t>
            </w:r>
            <w:r w:rsidR="00C764DD" w:rsidRPr="001315D9">
              <w:rPr>
                <w:bCs/>
                <w:sz w:val="20"/>
                <w:szCs w:val="20"/>
              </w:rPr>
              <w:t>estanovena</w:t>
            </w:r>
          </w:p>
        </w:tc>
      </w:tr>
      <w:tr w:rsidR="00C764DD" w:rsidRPr="001315D9" w14:paraId="3F25AB48" w14:textId="77777777" w:rsidTr="0068575C">
        <w:tc>
          <w:tcPr>
            <w:tcW w:w="1276" w:type="dxa"/>
          </w:tcPr>
          <w:p w14:paraId="3F25AB44" w14:textId="77777777" w:rsidR="00C764DD" w:rsidRPr="001315D9" w:rsidRDefault="00C764DD" w:rsidP="0001442A">
            <w:pPr>
              <w:autoSpaceDE w:val="0"/>
              <w:autoSpaceDN w:val="0"/>
              <w:adjustRightInd w:val="0"/>
              <w:spacing w:before="40"/>
              <w:jc w:val="center"/>
              <w:rPr>
                <w:b/>
                <w:bCs/>
                <w:sz w:val="20"/>
                <w:szCs w:val="20"/>
              </w:rPr>
            </w:pPr>
            <w:r w:rsidRPr="001315D9">
              <w:rPr>
                <w:b/>
                <w:bCs/>
                <w:sz w:val="20"/>
                <w:szCs w:val="20"/>
              </w:rPr>
              <w:t>2005</w:t>
            </w:r>
          </w:p>
        </w:tc>
        <w:tc>
          <w:tcPr>
            <w:tcW w:w="1701" w:type="dxa"/>
            <w:vAlign w:val="center"/>
          </w:tcPr>
          <w:p w14:paraId="3F25AB45" w14:textId="77777777" w:rsidR="00C764DD" w:rsidRPr="001315D9" w:rsidRDefault="00C764DD" w:rsidP="00DB37E6">
            <w:pPr>
              <w:autoSpaceDE w:val="0"/>
              <w:autoSpaceDN w:val="0"/>
              <w:adjustRightInd w:val="0"/>
              <w:spacing w:before="40"/>
              <w:ind w:right="34"/>
              <w:jc w:val="right"/>
              <w:rPr>
                <w:bCs/>
                <w:sz w:val="20"/>
                <w:szCs w:val="20"/>
              </w:rPr>
            </w:pPr>
            <w:r w:rsidRPr="001315D9">
              <w:rPr>
                <w:bCs/>
                <w:sz w:val="20"/>
                <w:szCs w:val="20"/>
              </w:rPr>
              <w:t>&gt; 500 mil. Kč</w:t>
            </w:r>
          </w:p>
        </w:tc>
        <w:tc>
          <w:tcPr>
            <w:tcW w:w="2551" w:type="dxa"/>
            <w:vAlign w:val="center"/>
          </w:tcPr>
          <w:p w14:paraId="3F25AB46" w14:textId="77777777" w:rsidR="00C764DD" w:rsidRPr="001315D9" w:rsidRDefault="00C764DD" w:rsidP="00DB37E6">
            <w:pPr>
              <w:autoSpaceDE w:val="0"/>
              <w:autoSpaceDN w:val="0"/>
              <w:adjustRightInd w:val="0"/>
              <w:spacing w:before="40"/>
              <w:ind w:right="33"/>
              <w:jc w:val="right"/>
              <w:rPr>
                <w:bCs/>
                <w:sz w:val="20"/>
                <w:szCs w:val="20"/>
              </w:rPr>
            </w:pPr>
            <w:r w:rsidRPr="001315D9">
              <w:rPr>
                <w:bCs/>
                <w:sz w:val="20"/>
                <w:szCs w:val="20"/>
              </w:rPr>
              <w:t>&gt; 250 mil. Kč</w:t>
            </w:r>
          </w:p>
        </w:tc>
        <w:tc>
          <w:tcPr>
            <w:tcW w:w="3508" w:type="dxa"/>
            <w:vAlign w:val="center"/>
          </w:tcPr>
          <w:p w14:paraId="3F25AB47" w14:textId="78163764" w:rsidR="00C764DD" w:rsidRPr="001315D9" w:rsidRDefault="003B0DD8" w:rsidP="00DB37E6">
            <w:pPr>
              <w:autoSpaceDE w:val="0"/>
              <w:autoSpaceDN w:val="0"/>
              <w:adjustRightInd w:val="0"/>
              <w:spacing w:before="40"/>
              <w:ind w:left="318"/>
              <w:rPr>
                <w:bCs/>
                <w:sz w:val="20"/>
                <w:szCs w:val="20"/>
              </w:rPr>
            </w:pPr>
            <w:r>
              <w:rPr>
                <w:bCs/>
                <w:sz w:val="20"/>
                <w:szCs w:val="20"/>
              </w:rPr>
              <w:t>M</w:t>
            </w:r>
            <w:r w:rsidR="00656396" w:rsidRPr="00656396">
              <w:rPr>
                <w:bCs/>
                <w:sz w:val="20"/>
                <w:szCs w:val="20"/>
              </w:rPr>
              <w:t>inimálně 100 % (min. 20 %)</w:t>
            </w:r>
          </w:p>
        </w:tc>
      </w:tr>
      <w:tr w:rsidR="00C764DD" w:rsidRPr="001315D9" w14:paraId="3F25AB4D" w14:textId="77777777" w:rsidTr="0068575C">
        <w:tc>
          <w:tcPr>
            <w:tcW w:w="1276" w:type="dxa"/>
          </w:tcPr>
          <w:p w14:paraId="3F25AB49" w14:textId="77777777" w:rsidR="00C764DD" w:rsidRPr="001315D9" w:rsidRDefault="00C764DD" w:rsidP="0001442A">
            <w:pPr>
              <w:autoSpaceDE w:val="0"/>
              <w:autoSpaceDN w:val="0"/>
              <w:adjustRightInd w:val="0"/>
              <w:spacing w:before="40"/>
              <w:jc w:val="center"/>
              <w:rPr>
                <w:b/>
                <w:bCs/>
                <w:sz w:val="20"/>
                <w:szCs w:val="20"/>
              </w:rPr>
            </w:pPr>
            <w:r w:rsidRPr="001315D9">
              <w:rPr>
                <w:b/>
                <w:bCs/>
                <w:sz w:val="20"/>
                <w:szCs w:val="20"/>
              </w:rPr>
              <w:t>2010</w:t>
            </w:r>
          </w:p>
        </w:tc>
        <w:tc>
          <w:tcPr>
            <w:tcW w:w="1701" w:type="dxa"/>
            <w:vAlign w:val="center"/>
          </w:tcPr>
          <w:p w14:paraId="3F25AB4A" w14:textId="77777777" w:rsidR="00C764DD" w:rsidRPr="001315D9" w:rsidRDefault="00C764DD" w:rsidP="00DB37E6">
            <w:pPr>
              <w:autoSpaceDE w:val="0"/>
              <w:autoSpaceDN w:val="0"/>
              <w:adjustRightInd w:val="0"/>
              <w:spacing w:before="40"/>
              <w:ind w:right="34"/>
              <w:jc w:val="right"/>
              <w:rPr>
                <w:bCs/>
                <w:sz w:val="20"/>
                <w:szCs w:val="20"/>
              </w:rPr>
            </w:pPr>
            <w:r w:rsidRPr="001315D9">
              <w:rPr>
                <w:bCs/>
                <w:sz w:val="20"/>
                <w:szCs w:val="20"/>
              </w:rPr>
              <w:t>&gt; 1 000 mil. Kč</w:t>
            </w:r>
          </w:p>
        </w:tc>
        <w:tc>
          <w:tcPr>
            <w:tcW w:w="2551" w:type="dxa"/>
            <w:vAlign w:val="center"/>
          </w:tcPr>
          <w:p w14:paraId="3F25AB4B" w14:textId="77777777" w:rsidR="00C764DD" w:rsidRPr="001315D9" w:rsidRDefault="00C764DD" w:rsidP="00DB37E6">
            <w:pPr>
              <w:autoSpaceDE w:val="0"/>
              <w:autoSpaceDN w:val="0"/>
              <w:adjustRightInd w:val="0"/>
              <w:spacing w:before="40"/>
              <w:ind w:right="33"/>
              <w:jc w:val="right"/>
              <w:rPr>
                <w:bCs/>
                <w:sz w:val="20"/>
                <w:szCs w:val="20"/>
              </w:rPr>
            </w:pPr>
            <w:r w:rsidRPr="001315D9">
              <w:rPr>
                <w:bCs/>
                <w:sz w:val="20"/>
                <w:szCs w:val="20"/>
              </w:rPr>
              <w:t>&gt; 500 mil. Kč</w:t>
            </w:r>
          </w:p>
        </w:tc>
        <w:tc>
          <w:tcPr>
            <w:tcW w:w="3508" w:type="dxa"/>
            <w:vAlign w:val="center"/>
          </w:tcPr>
          <w:p w14:paraId="3F25AB4C" w14:textId="0757FDD4" w:rsidR="00C764DD" w:rsidRPr="001315D9" w:rsidRDefault="003B0DD8" w:rsidP="00DB37E6">
            <w:pPr>
              <w:autoSpaceDE w:val="0"/>
              <w:autoSpaceDN w:val="0"/>
              <w:adjustRightInd w:val="0"/>
              <w:spacing w:before="40"/>
              <w:ind w:left="318"/>
              <w:rPr>
                <w:bCs/>
                <w:sz w:val="20"/>
                <w:szCs w:val="20"/>
              </w:rPr>
            </w:pPr>
            <w:r>
              <w:rPr>
                <w:bCs/>
                <w:sz w:val="20"/>
                <w:szCs w:val="20"/>
              </w:rPr>
              <w:t>M</w:t>
            </w:r>
            <w:r w:rsidR="00656396">
              <w:rPr>
                <w:bCs/>
                <w:sz w:val="20"/>
                <w:szCs w:val="20"/>
              </w:rPr>
              <w:t>aximálně 100 % (min. 20 %)</w:t>
            </w:r>
          </w:p>
        </w:tc>
      </w:tr>
    </w:tbl>
    <w:p w14:paraId="3F25AB4E" w14:textId="347AE7FE" w:rsidR="004F3049" w:rsidRPr="00A77368" w:rsidRDefault="004F3049" w:rsidP="0001442A">
      <w:pPr>
        <w:autoSpaceDE w:val="0"/>
        <w:autoSpaceDN w:val="0"/>
        <w:adjustRightInd w:val="0"/>
        <w:spacing w:before="40"/>
        <w:ind w:left="142"/>
        <w:jc w:val="both"/>
        <w:rPr>
          <w:rFonts w:cs="Arial"/>
          <w:b/>
          <w:bCs/>
          <w:sz w:val="18"/>
          <w:szCs w:val="18"/>
        </w:rPr>
      </w:pPr>
      <w:r w:rsidRPr="00A77368">
        <w:rPr>
          <w:rFonts w:cs="Arial"/>
          <w:b/>
          <w:bCs/>
          <w:sz w:val="18"/>
          <w:szCs w:val="18"/>
        </w:rPr>
        <w:t xml:space="preserve">Zdroj: </w:t>
      </w:r>
      <w:r w:rsidR="00656396" w:rsidRPr="00A77368">
        <w:rPr>
          <w:rFonts w:cs="Arial"/>
          <w:bCs/>
          <w:sz w:val="18"/>
          <w:szCs w:val="18"/>
        </w:rPr>
        <w:t xml:space="preserve">Zásady </w:t>
      </w:r>
      <w:r w:rsidR="00335CC8">
        <w:rPr>
          <w:rFonts w:cs="Arial"/>
          <w:bCs/>
          <w:sz w:val="18"/>
          <w:szCs w:val="18"/>
        </w:rPr>
        <w:t>z</w:t>
      </w:r>
      <w:r w:rsidR="003B0DD8">
        <w:rPr>
          <w:rFonts w:cs="Arial"/>
          <w:bCs/>
          <w:sz w:val="18"/>
          <w:szCs w:val="18"/>
        </w:rPr>
        <w:t xml:space="preserve"> let </w:t>
      </w:r>
      <w:r w:rsidR="00656396" w:rsidRPr="00A77368">
        <w:rPr>
          <w:rFonts w:cs="Arial"/>
          <w:bCs/>
          <w:sz w:val="18"/>
          <w:szCs w:val="18"/>
        </w:rPr>
        <w:t>1998, 2005 a 2010</w:t>
      </w:r>
      <w:r w:rsidR="003B0DD8">
        <w:rPr>
          <w:rFonts w:cs="Arial"/>
          <w:bCs/>
          <w:sz w:val="18"/>
          <w:szCs w:val="18"/>
        </w:rPr>
        <w:t>.</w:t>
      </w:r>
    </w:p>
    <w:p w14:paraId="05E74DC4" w14:textId="77777777" w:rsidR="006B5FBB" w:rsidRDefault="006B5FBB" w:rsidP="00DB37E6">
      <w:pPr>
        <w:autoSpaceDE w:val="0"/>
        <w:autoSpaceDN w:val="0"/>
        <w:adjustRightInd w:val="0"/>
        <w:ind w:left="709"/>
        <w:jc w:val="both"/>
        <w:rPr>
          <w:rFonts w:cs="Arial"/>
          <w:bCs/>
          <w:sz w:val="22"/>
          <w:szCs w:val="22"/>
        </w:rPr>
      </w:pPr>
    </w:p>
    <w:p w14:paraId="3F25AB4F" w14:textId="55B1634A" w:rsidR="00515461" w:rsidRDefault="00515461" w:rsidP="00DB37E6">
      <w:pPr>
        <w:autoSpaceDE w:val="0"/>
        <w:autoSpaceDN w:val="0"/>
        <w:adjustRightInd w:val="0"/>
        <w:ind w:left="284"/>
        <w:jc w:val="both"/>
        <w:rPr>
          <w:rFonts w:cs="Arial"/>
          <w:bCs/>
          <w:sz w:val="22"/>
          <w:szCs w:val="22"/>
        </w:rPr>
      </w:pPr>
      <w:r w:rsidRPr="00B94012">
        <w:rPr>
          <w:rFonts w:cs="Arial"/>
          <w:bCs/>
          <w:sz w:val="22"/>
          <w:szCs w:val="22"/>
        </w:rPr>
        <w:t>Zásad</w:t>
      </w:r>
      <w:r>
        <w:rPr>
          <w:rFonts w:cs="Arial"/>
          <w:bCs/>
          <w:sz w:val="22"/>
          <w:szCs w:val="22"/>
        </w:rPr>
        <w:t xml:space="preserve">y </w:t>
      </w:r>
      <w:r w:rsidRPr="00B94012">
        <w:rPr>
          <w:rFonts w:cs="Arial"/>
          <w:bCs/>
          <w:sz w:val="22"/>
          <w:szCs w:val="22"/>
        </w:rPr>
        <w:t xml:space="preserve">2010 </w:t>
      </w:r>
      <w:r>
        <w:rPr>
          <w:rFonts w:cs="Arial"/>
          <w:bCs/>
          <w:sz w:val="22"/>
          <w:szCs w:val="22"/>
        </w:rPr>
        <w:t xml:space="preserve">snížily maximální možnou </w:t>
      </w:r>
      <w:r w:rsidRPr="00B94012">
        <w:rPr>
          <w:rFonts w:cs="Arial"/>
          <w:bCs/>
          <w:sz w:val="22"/>
          <w:szCs w:val="22"/>
        </w:rPr>
        <w:t>požadovanou hodnotu offsetového závazku</w:t>
      </w:r>
      <w:r>
        <w:rPr>
          <w:rFonts w:cs="Arial"/>
          <w:bCs/>
          <w:sz w:val="22"/>
          <w:szCs w:val="22"/>
        </w:rPr>
        <w:t xml:space="preserve"> na 100 % kontraktační ceny bez DPH </w:t>
      </w:r>
      <w:r w:rsidRPr="00B94012">
        <w:rPr>
          <w:rFonts w:cs="Arial"/>
          <w:bCs/>
          <w:sz w:val="22"/>
          <w:szCs w:val="22"/>
        </w:rPr>
        <w:t>s ohledem na implementac</w:t>
      </w:r>
      <w:r>
        <w:rPr>
          <w:rFonts w:cs="Arial"/>
          <w:bCs/>
          <w:sz w:val="22"/>
          <w:szCs w:val="22"/>
        </w:rPr>
        <w:t>i</w:t>
      </w:r>
      <w:r w:rsidRPr="00B94012">
        <w:rPr>
          <w:rFonts w:cs="Arial"/>
          <w:bCs/>
          <w:sz w:val="22"/>
          <w:szCs w:val="22"/>
        </w:rPr>
        <w:t xml:space="preserve"> pravidel </w:t>
      </w:r>
      <w:r w:rsidR="003B0DD8">
        <w:rPr>
          <w:rFonts w:cs="Arial"/>
          <w:bCs/>
          <w:sz w:val="22"/>
          <w:szCs w:val="22"/>
        </w:rPr>
        <w:t xml:space="preserve">uvedených </w:t>
      </w:r>
      <w:r w:rsidR="00D920E5">
        <w:rPr>
          <w:rFonts w:cs="Arial"/>
          <w:bCs/>
          <w:sz w:val="22"/>
          <w:szCs w:val="22"/>
        </w:rPr>
        <w:t>v </w:t>
      </w:r>
      <w:r w:rsidR="003B0DD8">
        <w:rPr>
          <w:rFonts w:cs="Arial"/>
          <w:bCs/>
          <w:sz w:val="22"/>
          <w:szCs w:val="22"/>
        </w:rPr>
        <w:t>k</w:t>
      </w:r>
      <w:r w:rsidRPr="00B94012">
        <w:rPr>
          <w:rFonts w:cs="Arial"/>
          <w:bCs/>
          <w:sz w:val="22"/>
          <w:szCs w:val="22"/>
        </w:rPr>
        <w:t>odexu chování při uplatňování offsetů.</w:t>
      </w:r>
      <w:r w:rsidRPr="00B94012">
        <w:rPr>
          <w:rStyle w:val="Znakapoznpodarou"/>
          <w:rFonts w:cs="Arial"/>
          <w:bCs/>
          <w:sz w:val="22"/>
          <w:szCs w:val="22"/>
        </w:rPr>
        <w:footnoteReference w:id="14"/>
      </w:r>
    </w:p>
    <w:p w14:paraId="159EFBCC" w14:textId="77777777" w:rsidR="006B5FBB" w:rsidRDefault="006B5FBB" w:rsidP="00DB37E6">
      <w:pPr>
        <w:autoSpaceDE w:val="0"/>
        <w:autoSpaceDN w:val="0"/>
        <w:adjustRightInd w:val="0"/>
        <w:ind w:left="709"/>
        <w:jc w:val="both"/>
        <w:rPr>
          <w:rFonts w:cs="Arial"/>
          <w:bCs/>
          <w:sz w:val="22"/>
          <w:szCs w:val="22"/>
        </w:rPr>
      </w:pPr>
    </w:p>
    <w:p w14:paraId="3F25AB50" w14:textId="1CB00C2F" w:rsidR="003C3245" w:rsidRDefault="00656396" w:rsidP="00DB37E6">
      <w:pPr>
        <w:autoSpaceDE w:val="0"/>
        <w:autoSpaceDN w:val="0"/>
        <w:adjustRightInd w:val="0"/>
        <w:ind w:left="284"/>
        <w:jc w:val="both"/>
        <w:rPr>
          <w:rFonts w:cs="Arial"/>
          <w:bCs/>
          <w:sz w:val="22"/>
          <w:szCs w:val="22"/>
        </w:rPr>
      </w:pPr>
      <w:r w:rsidRPr="00656396">
        <w:rPr>
          <w:rFonts w:cs="Arial"/>
          <w:bCs/>
          <w:sz w:val="22"/>
          <w:szCs w:val="22"/>
        </w:rPr>
        <w:t>Limity se v</w:t>
      </w:r>
      <w:r w:rsidR="00957FF5" w:rsidRPr="00656396">
        <w:rPr>
          <w:rFonts w:cs="Arial"/>
          <w:bCs/>
          <w:sz w:val="22"/>
          <w:szCs w:val="22"/>
        </w:rPr>
        <w:t>ztahuj</w:t>
      </w:r>
      <w:r w:rsidRPr="00656396">
        <w:rPr>
          <w:rFonts w:cs="Arial"/>
          <w:bCs/>
          <w:sz w:val="22"/>
          <w:szCs w:val="22"/>
        </w:rPr>
        <w:t>í</w:t>
      </w:r>
      <w:r w:rsidR="00957FF5" w:rsidRPr="00656396">
        <w:rPr>
          <w:rFonts w:cs="Arial"/>
          <w:bCs/>
          <w:sz w:val="22"/>
          <w:szCs w:val="22"/>
        </w:rPr>
        <w:t xml:space="preserve"> pouze na hodnotu veřejné zakázky </w:t>
      </w:r>
      <w:r w:rsidRPr="00656396">
        <w:rPr>
          <w:rFonts w:cs="Arial"/>
          <w:bCs/>
          <w:sz w:val="22"/>
          <w:szCs w:val="22"/>
        </w:rPr>
        <w:t xml:space="preserve">tvořenou dodávkami a službami </w:t>
      </w:r>
      <w:r w:rsidR="00957FF5" w:rsidRPr="00656396">
        <w:rPr>
          <w:rFonts w:cs="Arial"/>
          <w:bCs/>
          <w:sz w:val="22"/>
          <w:szCs w:val="22"/>
        </w:rPr>
        <w:t>zahraničního dodavatele nebo</w:t>
      </w:r>
      <w:r w:rsidRPr="00656396">
        <w:rPr>
          <w:rFonts w:cs="Arial"/>
          <w:bCs/>
          <w:sz w:val="22"/>
          <w:szCs w:val="22"/>
        </w:rPr>
        <w:t xml:space="preserve"> subdodavatele, nikoli na celkovou cenu kontraktu, která </w:t>
      </w:r>
      <w:r w:rsidR="00367FB3">
        <w:rPr>
          <w:rFonts w:cs="Arial"/>
          <w:bCs/>
          <w:sz w:val="22"/>
          <w:szCs w:val="22"/>
        </w:rPr>
        <w:t>může</w:t>
      </w:r>
      <w:r w:rsidRPr="00656396">
        <w:rPr>
          <w:rFonts w:cs="Arial"/>
          <w:bCs/>
          <w:sz w:val="22"/>
          <w:szCs w:val="22"/>
        </w:rPr>
        <w:t xml:space="preserve"> </w:t>
      </w:r>
      <w:r w:rsidR="00367FB3" w:rsidRPr="00656396">
        <w:rPr>
          <w:rFonts w:cs="Arial"/>
          <w:bCs/>
          <w:sz w:val="22"/>
          <w:szCs w:val="22"/>
        </w:rPr>
        <w:t xml:space="preserve">zahrnovat </w:t>
      </w:r>
      <w:r w:rsidRPr="00656396">
        <w:rPr>
          <w:rFonts w:cs="Arial"/>
          <w:bCs/>
          <w:sz w:val="22"/>
          <w:szCs w:val="22"/>
        </w:rPr>
        <w:t>například provizi prostředníka.</w:t>
      </w:r>
      <w:r w:rsidR="0001442A">
        <w:rPr>
          <w:rFonts w:cs="Arial"/>
          <w:bCs/>
          <w:sz w:val="22"/>
          <w:szCs w:val="22"/>
        </w:rPr>
        <w:t xml:space="preserve"> </w:t>
      </w:r>
    </w:p>
    <w:p w14:paraId="0F2E7F4E" w14:textId="77777777" w:rsidR="006B5FBB" w:rsidRDefault="006B5FBB" w:rsidP="00DB37E6">
      <w:pPr>
        <w:autoSpaceDE w:val="0"/>
        <w:autoSpaceDN w:val="0"/>
        <w:adjustRightInd w:val="0"/>
        <w:ind w:left="709"/>
        <w:jc w:val="both"/>
        <w:rPr>
          <w:rFonts w:cs="Arial"/>
          <w:bCs/>
          <w:sz w:val="22"/>
          <w:szCs w:val="22"/>
        </w:rPr>
      </w:pPr>
    </w:p>
    <w:p w14:paraId="3F25AB51" w14:textId="28D017EE" w:rsidR="00957FF5" w:rsidRDefault="00656396" w:rsidP="00DB37E6">
      <w:pPr>
        <w:autoSpaceDE w:val="0"/>
        <w:autoSpaceDN w:val="0"/>
        <w:adjustRightInd w:val="0"/>
        <w:ind w:left="284"/>
        <w:jc w:val="both"/>
        <w:rPr>
          <w:rFonts w:cs="Arial"/>
          <w:sz w:val="22"/>
          <w:szCs w:val="22"/>
        </w:rPr>
      </w:pPr>
      <w:r w:rsidRPr="00656396">
        <w:rPr>
          <w:rFonts w:cs="Arial"/>
          <w:bCs/>
          <w:sz w:val="22"/>
          <w:szCs w:val="22"/>
        </w:rPr>
        <w:t>Teprve z</w:t>
      </w:r>
      <w:r w:rsidRPr="00656396">
        <w:rPr>
          <w:rFonts w:cs="Arial"/>
          <w:sz w:val="22"/>
          <w:szCs w:val="22"/>
        </w:rPr>
        <w:t>ákonem č. 248/2011 Sb.</w:t>
      </w:r>
      <w:r w:rsidRPr="00656396">
        <w:rPr>
          <w:rStyle w:val="Znakapoznpodarou"/>
          <w:rFonts w:cs="Arial"/>
          <w:sz w:val="22"/>
          <w:szCs w:val="22"/>
        </w:rPr>
        <w:footnoteReference w:id="15"/>
      </w:r>
      <w:r w:rsidRPr="00656396">
        <w:rPr>
          <w:rFonts w:cs="Arial"/>
          <w:sz w:val="22"/>
          <w:szCs w:val="22"/>
        </w:rPr>
        <w:t xml:space="preserve"> bylo umožněno, aby MO a MV realizovaly zahraniční obchod s vojenským materiálem přímo (bez prostředníků) a</w:t>
      </w:r>
      <w:r w:rsidR="005978E4">
        <w:rPr>
          <w:rFonts w:cs="Arial"/>
          <w:sz w:val="22"/>
          <w:szCs w:val="22"/>
        </w:rPr>
        <w:t xml:space="preserve"> </w:t>
      </w:r>
      <w:r w:rsidRPr="00656396">
        <w:rPr>
          <w:rFonts w:cs="Arial"/>
          <w:sz w:val="22"/>
          <w:szCs w:val="22"/>
        </w:rPr>
        <w:t>bez předchozího souhlasu vlády, pakliže jsou splněny podmínky §</w:t>
      </w:r>
      <w:r>
        <w:rPr>
          <w:rFonts w:cs="Arial"/>
          <w:sz w:val="22"/>
          <w:szCs w:val="22"/>
        </w:rPr>
        <w:t> </w:t>
      </w:r>
      <w:r w:rsidRPr="00656396">
        <w:rPr>
          <w:rFonts w:cs="Arial"/>
          <w:sz w:val="22"/>
          <w:szCs w:val="22"/>
        </w:rPr>
        <w:t>6</w:t>
      </w:r>
      <w:r>
        <w:rPr>
          <w:rFonts w:cs="Arial"/>
          <w:sz w:val="22"/>
          <w:szCs w:val="22"/>
        </w:rPr>
        <w:t> </w:t>
      </w:r>
      <w:r w:rsidRPr="00656396">
        <w:rPr>
          <w:rFonts w:cs="Arial"/>
          <w:sz w:val="22"/>
          <w:szCs w:val="22"/>
        </w:rPr>
        <w:t>odst. 1 ve spojení s</w:t>
      </w:r>
      <w:r w:rsidR="009469BF">
        <w:rPr>
          <w:rFonts w:cs="Arial"/>
          <w:sz w:val="22"/>
          <w:szCs w:val="22"/>
        </w:rPr>
        <w:t xml:space="preserve"> podmínkami </w:t>
      </w:r>
      <w:r w:rsidRPr="00656396">
        <w:rPr>
          <w:rFonts w:cs="Arial"/>
          <w:sz w:val="22"/>
          <w:szCs w:val="22"/>
        </w:rPr>
        <w:t>§ 12a.</w:t>
      </w:r>
    </w:p>
    <w:p w14:paraId="05D67DAD" w14:textId="77777777" w:rsidR="006B5FBB" w:rsidRPr="00656396" w:rsidRDefault="006B5FBB" w:rsidP="00DB37E6">
      <w:pPr>
        <w:autoSpaceDE w:val="0"/>
        <w:autoSpaceDN w:val="0"/>
        <w:adjustRightInd w:val="0"/>
        <w:ind w:left="709"/>
        <w:jc w:val="both"/>
        <w:rPr>
          <w:rFonts w:cs="Arial"/>
          <w:bCs/>
          <w:sz w:val="22"/>
          <w:szCs w:val="22"/>
        </w:rPr>
      </w:pPr>
    </w:p>
    <w:p w14:paraId="3F25AB52" w14:textId="5232C96C" w:rsidR="00B94012" w:rsidRPr="00470F93" w:rsidRDefault="00B94012" w:rsidP="00DB37E6">
      <w:pPr>
        <w:pStyle w:val="Odstavecseseznamem"/>
        <w:numPr>
          <w:ilvl w:val="0"/>
          <w:numId w:val="5"/>
        </w:numPr>
        <w:autoSpaceDE w:val="0"/>
        <w:autoSpaceDN w:val="0"/>
        <w:adjustRightInd w:val="0"/>
        <w:ind w:left="284" w:hanging="284"/>
        <w:jc w:val="both"/>
        <w:rPr>
          <w:rFonts w:cs="Arial"/>
          <w:b/>
          <w:bCs/>
          <w:sz w:val="22"/>
          <w:szCs w:val="22"/>
        </w:rPr>
      </w:pPr>
      <w:r w:rsidRPr="00470F93">
        <w:rPr>
          <w:rFonts w:cs="Arial"/>
          <w:b/>
          <w:bCs/>
          <w:sz w:val="22"/>
          <w:szCs w:val="22"/>
        </w:rPr>
        <w:t xml:space="preserve">Cena a náklady offsetů </w:t>
      </w:r>
      <w:r w:rsidRPr="00A77368">
        <w:rPr>
          <w:rFonts w:cs="Arial"/>
          <w:bCs/>
          <w:sz w:val="22"/>
          <w:szCs w:val="22"/>
        </w:rPr>
        <w:t>–</w:t>
      </w:r>
      <w:r w:rsidRPr="00470F93">
        <w:rPr>
          <w:rFonts w:cs="Arial"/>
          <w:b/>
          <w:bCs/>
          <w:sz w:val="22"/>
          <w:szCs w:val="22"/>
        </w:rPr>
        <w:t xml:space="preserve"> </w:t>
      </w:r>
      <w:r w:rsidRPr="00470F93">
        <w:rPr>
          <w:rFonts w:cs="Arial"/>
          <w:bCs/>
          <w:sz w:val="22"/>
          <w:szCs w:val="22"/>
        </w:rPr>
        <w:t>Požadavek, že závazek vyplývající z ustanovení o</w:t>
      </w:r>
      <w:r w:rsidR="00AD4AF5">
        <w:rPr>
          <w:rFonts w:cs="Arial"/>
          <w:bCs/>
          <w:sz w:val="22"/>
          <w:szCs w:val="22"/>
        </w:rPr>
        <w:t> </w:t>
      </w:r>
      <w:r w:rsidRPr="00470F93">
        <w:rPr>
          <w:rFonts w:cs="Arial"/>
          <w:bCs/>
          <w:sz w:val="22"/>
          <w:szCs w:val="22"/>
        </w:rPr>
        <w:t>offsetových programech nesmí mít za následek zvýšení kupní ceny (rozumí se u</w:t>
      </w:r>
      <w:r w:rsidR="00AD4AF5">
        <w:rPr>
          <w:rFonts w:cs="Arial"/>
          <w:bCs/>
          <w:sz w:val="22"/>
          <w:szCs w:val="22"/>
        </w:rPr>
        <w:t> </w:t>
      </w:r>
      <w:r w:rsidRPr="00470F93">
        <w:rPr>
          <w:rFonts w:cs="Arial"/>
          <w:bCs/>
          <w:sz w:val="22"/>
          <w:szCs w:val="22"/>
        </w:rPr>
        <w:t>veřejné zakázky), byl výslovně stanoven pouze v Pravidlech 1998.</w:t>
      </w:r>
      <w:r w:rsidRPr="00470F93">
        <w:rPr>
          <w:rFonts w:cs="Arial"/>
          <w:b/>
          <w:bCs/>
          <w:sz w:val="22"/>
          <w:szCs w:val="22"/>
        </w:rPr>
        <w:t xml:space="preserve"> </w:t>
      </w:r>
      <w:r w:rsidR="003C2FF6" w:rsidRPr="00470F93">
        <w:rPr>
          <w:rFonts w:cs="Arial"/>
          <w:bCs/>
          <w:sz w:val="22"/>
          <w:szCs w:val="22"/>
        </w:rPr>
        <w:t xml:space="preserve">Obdobně </w:t>
      </w:r>
      <w:r w:rsidRPr="00470F93">
        <w:rPr>
          <w:rFonts w:cs="Arial"/>
          <w:bCs/>
          <w:sz w:val="22"/>
          <w:szCs w:val="22"/>
        </w:rPr>
        <w:t>požadav</w:t>
      </w:r>
      <w:r w:rsidR="003C2FF6" w:rsidRPr="00470F93">
        <w:rPr>
          <w:rFonts w:cs="Arial"/>
          <w:bCs/>
          <w:sz w:val="22"/>
          <w:szCs w:val="22"/>
        </w:rPr>
        <w:t>e</w:t>
      </w:r>
      <w:r w:rsidRPr="00470F93">
        <w:rPr>
          <w:rFonts w:cs="Arial"/>
          <w:bCs/>
          <w:sz w:val="22"/>
          <w:szCs w:val="22"/>
        </w:rPr>
        <w:t>k, že náklady na předoffsetové a offsetové aktivity ponese uchazeč o offset, nikoli český partner</w:t>
      </w:r>
      <w:r w:rsidR="003C2FF6" w:rsidRPr="00470F93">
        <w:rPr>
          <w:rFonts w:cs="Arial"/>
          <w:bCs/>
          <w:sz w:val="22"/>
          <w:szCs w:val="22"/>
        </w:rPr>
        <w:t xml:space="preserve">, se </w:t>
      </w:r>
      <w:r w:rsidRPr="00470F93">
        <w:rPr>
          <w:rFonts w:cs="Arial"/>
          <w:bCs/>
          <w:sz w:val="22"/>
          <w:szCs w:val="22"/>
        </w:rPr>
        <w:t xml:space="preserve">v dalších Zásadách nevyskytoval. Zásady 2005 a Zásady 2010 </w:t>
      </w:r>
      <w:r w:rsidR="003C2FF6" w:rsidRPr="00470F93">
        <w:rPr>
          <w:rFonts w:cs="Arial"/>
          <w:bCs/>
          <w:sz w:val="22"/>
          <w:szCs w:val="22"/>
        </w:rPr>
        <w:t xml:space="preserve">však </w:t>
      </w:r>
      <w:r w:rsidRPr="00470F93">
        <w:rPr>
          <w:rFonts w:cs="Arial"/>
          <w:bCs/>
          <w:sz w:val="22"/>
          <w:szCs w:val="22"/>
        </w:rPr>
        <w:t>požadovaly, aby se do hodnoty plnění OFT nezahrnovaly žádné náklady vzniklé českému nebo zahraničnímu partnerovi OFT nebo nositeli offsetového závazku, případně jinému zainteresovanému subjektu, v souvislosti s přípravou, realizací, kontrolou a dalšími aktivitami souvisejícími s offsetovou transakcí.</w:t>
      </w:r>
    </w:p>
    <w:p w14:paraId="3F25AB53" w14:textId="50FD0CEB" w:rsidR="00470F93" w:rsidRPr="00470F93" w:rsidRDefault="00B94012" w:rsidP="00DB37E6">
      <w:pPr>
        <w:pStyle w:val="Odstavecseseznamem"/>
        <w:numPr>
          <w:ilvl w:val="0"/>
          <w:numId w:val="5"/>
        </w:numPr>
        <w:autoSpaceDE w:val="0"/>
        <w:autoSpaceDN w:val="0"/>
        <w:adjustRightInd w:val="0"/>
        <w:ind w:left="284" w:hanging="284"/>
        <w:jc w:val="both"/>
        <w:rPr>
          <w:rFonts w:cs="Arial"/>
          <w:bCs/>
          <w:sz w:val="22"/>
          <w:szCs w:val="22"/>
        </w:rPr>
      </w:pPr>
      <w:r w:rsidRPr="00470F93">
        <w:rPr>
          <w:rFonts w:cs="Arial"/>
          <w:b/>
          <w:bCs/>
          <w:sz w:val="22"/>
          <w:szCs w:val="22"/>
        </w:rPr>
        <w:t>Kauzalita</w:t>
      </w:r>
      <w:r w:rsidRPr="00470F93">
        <w:rPr>
          <w:rFonts w:cs="Arial"/>
          <w:bCs/>
          <w:sz w:val="22"/>
          <w:szCs w:val="22"/>
        </w:rPr>
        <w:t xml:space="preserve"> </w:t>
      </w:r>
      <w:r w:rsidR="003C2FF6" w:rsidRPr="00470F93">
        <w:rPr>
          <w:rFonts w:cs="Arial"/>
          <w:b/>
          <w:bCs/>
          <w:sz w:val="22"/>
          <w:szCs w:val="22"/>
        </w:rPr>
        <w:t>offsetů</w:t>
      </w:r>
      <w:r w:rsidR="00EE1737">
        <w:rPr>
          <w:rFonts w:cs="Arial"/>
          <w:b/>
          <w:bCs/>
          <w:sz w:val="22"/>
          <w:szCs w:val="22"/>
        </w:rPr>
        <w:t xml:space="preserve"> </w:t>
      </w:r>
      <w:r w:rsidR="00A77368" w:rsidRPr="00A77368">
        <w:rPr>
          <w:rFonts w:cs="Arial"/>
          <w:bCs/>
          <w:sz w:val="22"/>
          <w:szCs w:val="22"/>
        </w:rPr>
        <w:t>–</w:t>
      </w:r>
      <w:r w:rsidRPr="00A77368">
        <w:rPr>
          <w:rFonts w:cs="Arial"/>
          <w:bCs/>
          <w:sz w:val="22"/>
          <w:szCs w:val="22"/>
        </w:rPr>
        <w:t xml:space="preserve"> </w:t>
      </w:r>
      <w:r w:rsidRPr="00470F93">
        <w:rPr>
          <w:rFonts w:cs="Arial"/>
          <w:bCs/>
          <w:sz w:val="22"/>
          <w:szCs w:val="22"/>
        </w:rPr>
        <w:t xml:space="preserve">Zásady 1998 </w:t>
      </w:r>
      <w:r w:rsidR="00CD6709">
        <w:rPr>
          <w:rFonts w:cs="Arial"/>
          <w:bCs/>
          <w:sz w:val="22"/>
          <w:szCs w:val="22"/>
        </w:rPr>
        <w:t xml:space="preserve">a </w:t>
      </w:r>
      <w:r w:rsidR="009469BF" w:rsidRPr="00470F93">
        <w:rPr>
          <w:rFonts w:cs="Arial"/>
          <w:bCs/>
          <w:sz w:val="22"/>
          <w:szCs w:val="22"/>
        </w:rPr>
        <w:t xml:space="preserve">Zásady </w:t>
      </w:r>
      <w:r w:rsidR="00CD6709">
        <w:rPr>
          <w:rFonts w:cs="Arial"/>
          <w:bCs/>
          <w:sz w:val="22"/>
          <w:szCs w:val="22"/>
        </w:rPr>
        <w:t xml:space="preserve">2005 </w:t>
      </w:r>
      <w:r w:rsidRPr="00470F93">
        <w:rPr>
          <w:rFonts w:cs="Arial"/>
          <w:bCs/>
          <w:sz w:val="22"/>
          <w:szCs w:val="22"/>
        </w:rPr>
        <w:t>princip „kauzality“ OFT výslovně neupravily</w:t>
      </w:r>
      <w:r w:rsidR="00CD6709">
        <w:rPr>
          <w:rFonts w:cs="Arial"/>
          <w:bCs/>
          <w:sz w:val="22"/>
          <w:szCs w:val="22"/>
        </w:rPr>
        <w:t>.</w:t>
      </w:r>
      <w:r w:rsidRPr="00470F93">
        <w:rPr>
          <w:rFonts w:cs="Arial"/>
          <w:bCs/>
          <w:sz w:val="22"/>
          <w:szCs w:val="22"/>
        </w:rPr>
        <w:t xml:space="preserve"> Požadavek kauzality</w:t>
      </w:r>
      <w:r w:rsidR="003B47AF" w:rsidRPr="00470F93">
        <w:rPr>
          <w:rFonts w:cs="Arial"/>
          <w:bCs/>
          <w:sz w:val="22"/>
          <w:szCs w:val="22"/>
        </w:rPr>
        <w:t xml:space="preserve"> byl</w:t>
      </w:r>
      <w:r w:rsidRPr="00470F93">
        <w:rPr>
          <w:rFonts w:cs="Arial"/>
          <w:bCs/>
          <w:sz w:val="22"/>
          <w:szCs w:val="22"/>
        </w:rPr>
        <w:t xml:space="preserve"> nově uveden až v Zásadách 2010 </w:t>
      </w:r>
      <w:r w:rsidR="00D920E5">
        <w:rPr>
          <w:rFonts w:cs="Arial"/>
          <w:bCs/>
          <w:sz w:val="22"/>
          <w:szCs w:val="22"/>
        </w:rPr>
        <w:t>v </w:t>
      </w:r>
      <w:r w:rsidRPr="00470F93">
        <w:rPr>
          <w:rFonts w:cs="Arial"/>
          <w:bCs/>
          <w:sz w:val="22"/>
          <w:szCs w:val="22"/>
        </w:rPr>
        <w:t>souvislosti s</w:t>
      </w:r>
      <w:r w:rsidR="003B47AF" w:rsidRPr="00470F93">
        <w:rPr>
          <w:rFonts w:cs="Arial"/>
          <w:bCs/>
          <w:sz w:val="22"/>
          <w:szCs w:val="22"/>
        </w:rPr>
        <w:t xml:space="preserve"> posuzováním ze strany OFK, do jaké </w:t>
      </w:r>
      <w:r w:rsidR="009469BF">
        <w:rPr>
          <w:rFonts w:cs="Arial"/>
          <w:bCs/>
          <w:sz w:val="22"/>
          <w:szCs w:val="22"/>
        </w:rPr>
        <w:t>„</w:t>
      </w:r>
      <w:r w:rsidRPr="00470F93">
        <w:rPr>
          <w:rFonts w:cs="Arial"/>
          <w:bCs/>
          <w:i/>
          <w:sz w:val="22"/>
          <w:szCs w:val="22"/>
        </w:rPr>
        <w:t>míry a jakým způsobem přispěl</w:t>
      </w:r>
      <w:r w:rsidR="003B47AF" w:rsidRPr="00470F93">
        <w:rPr>
          <w:rFonts w:cs="Arial"/>
          <w:bCs/>
          <w:i/>
          <w:sz w:val="22"/>
          <w:szCs w:val="22"/>
        </w:rPr>
        <w:t xml:space="preserve"> Předkladatel</w:t>
      </w:r>
      <w:r w:rsidR="0001442A">
        <w:rPr>
          <w:rFonts w:cs="Arial"/>
          <w:bCs/>
          <w:i/>
          <w:sz w:val="22"/>
          <w:szCs w:val="22"/>
        </w:rPr>
        <w:t xml:space="preserve"> </w:t>
      </w:r>
      <w:r w:rsidRPr="00470F93">
        <w:rPr>
          <w:rFonts w:cs="Arial"/>
          <w:bCs/>
          <w:i/>
          <w:sz w:val="22"/>
          <w:szCs w:val="22"/>
        </w:rPr>
        <w:t xml:space="preserve">k faktu, že Zahraniční partner alokoval projekt průmyslové spolupráce právě do České republiky </w:t>
      </w:r>
      <w:r w:rsidR="009469BF">
        <w:rPr>
          <w:rFonts w:cs="Arial"/>
          <w:bCs/>
          <w:i/>
          <w:sz w:val="22"/>
          <w:szCs w:val="22"/>
        </w:rPr>
        <w:t>…“</w:t>
      </w:r>
    </w:p>
    <w:p w14:paraId="3F25AB54" w14:textId="26F37B25" w:rsidR="00B94012" w:rsidRPr="00470F93" w:rsidRDefault="00B94012" w:rsidP="00DB37E6">
      <w:pPr>
        <w:pStyle w:val="Odstavecseseznamem"/>
        <w:numPr>
          <w:ilvl w:val="0"/>
          <w:numId w:val="5"/>
        </w:numPr>
        <w:autoSpaceDE w:val="0"/>
        <w:autoSpaceDN w:val="0"/>
        <w:adjustRightInd w:val="0"/>
        <w:ind w:left="284" w:hanging="284"/>
        <w:jc w:val="both"/>
        <w:rPr>
          <w:rFonts w:cs="Arial"/>
          <w:bCs/>
          <w:sz w:val="22"/>
          <w:szCs w:val="22"/>
        </w:rPr>
      </w:pPr>
      <w:r w:rsidRPr="00470F93">
        <w:rPr>
          <w:rFonts w:cs="Arial"/>
          <w:b/>
          <w:bCs/>
          <w:sz w:val="22"/>
          <w:szCs w:val="22"/>
        </w:rPr>
        <w:lastRenderedPageBreak/>
        <w:t xml:space="preserve">Novost </w:t>
      </w:r>
      <w:r w:rsidR="003B47AF" w:rsidRPr="00470F93">
        <w:rPr>
          <w:rFonts w:cs="Arial"/>
          <w:b/>
          <w:bCs/>
          <w:sz w:val="22"/>
          <w:szCs w:val="22"/>
        </w:rPr>
        <w:t xml:space="preserve">offsetů </w:t>
      </w:r>
      <w:r w:rsidRPr="00A77368">
        <w:rPr>
          <w:rFonts w:cs="Arial"/>
          <w:bCs/>
          <w:sz w:val="22"/>
          <w:szCs w:val="22"/>
        </w:rPr>
        <w:t>–</w:t>
      </w:r>
      <w:r w:rsidRPr="00470F93">
        <w:rPr>
          <w:rFonts w:cs="Arial"/>
          <w:b/>
          <w:bCs/>
          <w:sz w:val="22"/>
          <w:szCs w:val="22"/>
        </w:rPr>
        <w:t xml:space="preserve"> </w:t>
      </w:r>
      <w:r w:rsidRPr="00470F93">
        <w:rPr>
          <w:rFonts w:cs="Arial"/>
          <w:bCs/>
          <w:sz w:val="22"/>
          <w:szCs w:val="22"/>
        </w:rPr>
        <w:t xml:space="preserve">Zásady 1998 požadavek novosti </w:t>
      </w:r>
      <w:r w:rsidR="00957FF5" w:rsidRPr="00470F93">
        <w:rPr>
          <w:rFonts w:cs="Arial"/>
          <w:bCs/>
          <w:sz w:val="22"/>
          <w:szCs w:val="22"/>
        </w:rPr>
        <w:t>offsetů</w:t>
      </w:r>
      <w:r w:rsidRPr="00470F93">
        <w:rPr>
          <w:rFonts w:cs="Arial"/>
          <w:bCs/>
          <w:sz w:val="22"/>
          <w:szCs w:val="22"/>
        </w:rPr>
        <w:t xml:space="preserve"> nedefinovaly, nicméně </w:t>
      </w:r>
      <w:r w:rsidR="00A162DA" w:rsidRPr="00470F93">
        <w:rPr>
          <w:rFonts w:cs="Arial"/>
          <w:bCs/>
          <w:sz w:val="22"/>
          <w:szCs w:val="22"/>
        </w:rPr>
        <w:t>MPO</w:t>
      </w:r>
      <w:r w:rsidR="00A162DA">
        <w:rPr>
          <w:rFonts w:cs="Arial"/>
          <w:bCs/>
          <w:sz w:val="22"/>
          <w:szCs w:val="22"/>
        </w:rPr>
        <w:t xml:space="preserve"> </w:t>
      </w:r>
      <w:r w:rsidRPr="00470F93">
        <w:rPr>
          <w:rFonts w:cs="Arial"/>
          <w:bCs/>
          <w:sz w:val="22"/>
          <w:szCs w:val="22"/>
        </w:rPr>
        <w:t xml:space="preserve">v Pravidlech 1998 </w:t>
      </w:r>
      <w:r w:rsidR="003B47AF" w:rsidRPr="00470F93">
        <w:rPr>
          <w:rFonts w:cs="Arial"/>
          <w:bCs/>
          <w:sz w:val="22"/>
          <w:szCs w:val="22"/>
        </w:rPr>
        <w:t xml:space="preserve">mj. </w:t>
      </w:r>
      <w:r w:rsidRPr="00470F93">
        <w:rPr>
          <w:rFonts w:cs="Arial"/>
          <w:bCs/>
          <w:sz w:val="22"/>
          <w:szCs w:val="22"/>
        </w:rPr>
        <w:t>stanovilo</w:t>
      </w:r>
      <w:r w:rsidR="003B47AF" w:rsidRPr="00470F93">
        <w:rPr>
          <w:rFonts w:cs="Arial"/>
          <w:bCs/>
          <w:sz w:val="22"/>
          <w:szCs w:val="22"/>
        </w:rPr>
        <w:t xml:space="preserve">, že </w:t>
      </w:r>
      <w:r w:rsidRPr="00470F93">
        <w:rPr>
          <w:rFonts w:cs="Arial"/>
          <w:bCs/>
          <w:sz w:val="22"/>
          <w:szCs w:val="22"/>
        </w:rPr>
        <w:t>všechny návrhy offsetových programů musí odrážet přírůstek nebo novost obchodní transakce</w:t>
      </w:r>
      <w:r w:rsidR="009469BF">
        <w:rPr>
          <w:rFonts w:cs="Arial"/>
          <w:bCs/>
          <w:sz w:val="22"/>
          <w:szCs w:val="22"/>
        </w:rPr>
        <w:t>,</w:t>
      </w:r>
      <w:r w:rsidR="003B47AF" w:rsidRPr="00470F93">
        <w:rPr>
          <w:rFonts w:cs="Arial"/>
          <w:bCs/>
          <w:sz w:val="22"/>
          <w:szCs w:val="22"/>
        </w:rPr>
        <w:t xml:space="preserve"> a u</w:t>
      </w:r>
      <w:r w:rsidRPr="00470F93">
        <w:rPr>
          <w:rFonts w:cs="Arial"/>
          <w:bCs/>
          <w:sz w:val="22"/>
          <w:szCs w:val="22"/>
        </w:rPr>
        <w:t xml:space="preserve"> offsetov</w:t>
      </w:r>
      <w:r w:rsidR="003B47AF" w:rsidRPr="00470F93">
        <w:rPr>
          <w:rFonts w:cs="Arial"/>
          <w:bCs/>
          <w:sz w:val="22"/>
          <w:szCs w:val="22"/>
        </w:rPr>
        <w:t>é</w:t>
      </w:r>
      <w:r w:rsidRPr="00470F93">
        <w:rPr>
          <w:rFonts w:cs="Arial"/>
          <w:bCs/>
          <w:sz w:val="22"/>
          <w:szCs w:val="22"/>
        </w:rPr>
        <w:t xml:space="preserve"> aktivit</w:t>
      </w:r>
      <w:r w:rsidR="003B47AF" w:rsidRPr="00470F93">
        <w:rPr>
          <w:rFonts w:cs="Arial"/>
          <w:bCs/>
          <w:sz w:val="22"/>
          <w:szCs w:val="22"/>
        </w:rPr>
        <w:t>y</w:t>
      </w:r>
      <w:r w:rsidRPr="00470F93">
        <w:rPr>
          <w:rFonts w:cs="Arial"/>
          <w:bCs/>
          <w:sz w:val="22"/>
          <w:szCs w:val="22"/>
        </w:rPr>
        <w:t xml:space="preserve"> exportu stanovilo, že sem náleží: „</w:t>
      </w:r>
      <w:r w:rsidRPr="00470F93">
        <w:rPr>
          <w:rFonts w:cs="Arial"/>
          <w:bCs/>
          <w:i/>
          <w:sz w:val="22"/>
          <w:szCs w:val="22"/>
        </w:rPr>
        <w:t>všechny nové nebo dodatečné exporty výrobků a</w:t>
      </w:r>
      <w:r w:rsidR="0001442A">
        <w:rPr>
          <w:rFonts w:cs="Arial"/>
          <w:bCs/>
          <w:i/>
          <w:sz w:val="22"/>
          <w:szCs w:val="22"/>
        </w:rPr>
        <w:t> </w:t>
      </w:r>
      <w:r w:rsidRPr="00470F93">
        <w:rPr>
          <w:rFonts w:cs="Arial"/>
          <w:bCs/>
          <w:i/>
          <w:sz w:val="22"/>
          <w:szCs w:val="22"/>
        </w:rPr>
        <w:t>služeb českého původu, tradiční vývozy nebudou do offsetových aktivit zahrnuty</w:t>
      </w:r>
      <w:r w:rsidRPr="00470F93">
        <w:rPr>
          <w:rFonts w:cs="Arial"/>
          <w:bCs/>
          <w:sz w:val="22"/>
          <w:szCs w:val="22"/>
        </w:rPr>
        <w:t>“.</w:t>
      </w:r>
      <w:r w:rsidR="0001442A">
        <w:rPr>
          <w:rFonts w:cs="Arial"/>
          <w:bCs/>
          <w:sz w:val="22"/>
          <w:szCs w:val="22"/>
        </w:rPr>
        <w:t xml:space="preserve"> </w:t>
      </w:r>
      <w:r w:rsidRPr="00470F93">
        <w:rPr>
          <w:rFonts w:cs="Arial"/>
          <w:bCs/>
          <w:sz w:val="22"/>
          <w:szCs w:val="22"/>
        </w:rPr>
        <w:t xml:space="preserve">Zásady 2005 poté stanovily </w:t>
      </w:r>
      <w:r w:rsidR="003B47AF" w:rsidRPr="00470F93">
        <w:rPr>
          <w:rFonts w:cs="Arial"/>
          <w:bCs/>
          <w:sz w:val="22"/>
          <w:szCs w:val="22"/>
        </w:rPr>
        <w:t xml:space="preserve">konkrétní </w:t>
      </w:r>
      <w:r w:rsidRPr="00470F93">
        <w:rPr>
          <w:rFonts w:cs="Arial"/>
          <w:bCs/>
          <w:sz w:val="22"/>
          <w:szCs w:val="22"/>
        </w:rPr>
        <w:t xml:space="preserve">definiční znaky </w:t>
      </w:r>
      <w:r w:rsidR="003B47AF" w:rsidRPr="00470F93">
        <w:rPr>
          <w:rFonts w:cs="Arial"/>
          <w:bCs/>
          <w:sz w:val="22"/>
          <w:szCs w:val="22"/>
        </w:rPr>
        <w:t xml:space="preserve">charakterizující </w:t>
      </w:r>
      <w:r w:rsidRPr="00470F93">
        <w:rPr>
          <w:rFonts w:cs="Arial"/>
          <w:bCs/>
          <w:sz w:val="22"/>
          <w:szCs w:val="22"/>
        </w:rPr>
        <w:t xml:space="preserve">novost </w:t>
      </w:r>
      <w:r w:rsidR="003B47AF" w:rsidRPr="00470F93">
        <w:rPr>
          <w:rFonts w:cs="Arial"/>
          <w:bCs/>
          <w:sz w:val="22"/>
          <w:szCs w:val="22"/>
        </w:rPr>
        <w:t>OFT</w:t>
      </w:r>
      <w:r w:rsidR="00957FF5" w:rsidRPr="00470F93">
        <w:rPr>
          <w:rFonts w:cs="Arial"/>
          <w:bCs/>
          <w:sz w:val="22"/>
          <w:szCs w:val="22"/>
        </w:rPr>
        <w:t xml:space="preserve">, které spočívaly </w:t>
      </w:r>
      <w:r w:rsidR="00D920E5">
        <w:rPr>
          <w:rFonts w:cs="Arial"/>
          <w:bCs/>
          <w:sz w:val="22"/>
          <w:szCs w:val="22"/>
        </w:rPr>
        <w:t>v </w:t>
      </w:r>
      <w:r w:rsidRPr="00470F93">
        <w:rPr>
          <w:rFonts w:cs="Arial"/>
          <w:bCs/>
          <w:i/>
          <w:sz w:val="22"/>
          <w:szCs w:val="22"/>
        </w:rPr>
        <w:t xml:space="preserve">nově </w:t>
      </w:r>
      <w:r w:rsidRPr="00470F93">
        <w:rPr>
          <w:rFonts w:cs="Arial"/>
          <w:bCs/>
          <w:sz w:val="22"/>
          <w:szCs w:val="22"/>
        </w:rPr>
        <w:t>založen</w:t>
      </w:r>
      <w:r w:rsidR="00957FF5" w:rsidRPr="00470F93">
        <w:rPr>
          <w:rFonts w:cs="Arial"/>
          <w:bCs/>
          <w:sz w:val="22"/>
          <w:szCs w:val="22"/>
        </w:rPr>
        <w:t>é</w:t>
      </w:r>
      <w:r w:rsidRPr="00470F93">
        <w:rPr>
          <w:rFonts w:cs="Arial"/>
          <w:bCs/>
          <w:sz w:val="22"/>
          <w:szCs w:val="22"/>
        </w:rPr>
        <w:t xml:space="preserve"> spolupráci s vyčíslitelnými a doložitelnými ekonomickými efekty pro českou stranu</w:t>
      </w:r>
      <w:r w:rsidR="00957FF5" w:rsidRPr="00470F93">
        <w:rPr>
          <w:rFonts w:cs="Arial"/>
          <w:bCs/>
          <w:sz w:val="22"/>
          <w:szCs w:val="22"/>
        </w:rPr>
        <w:t>.</w:t>
      </w:r>
      <w:r w:rsidR="00957FF5" w:rsidRPr="00470F93">
        <w:rPr>
          <w:rFonts w:cs="Arial"/>
          <w:bCs/>
          <w:i/>
          <w:sz w:val="22"/>
          <w:szCs w:val="22"/>
        </w:rPr>
        <w:t xml:space="preserve"> </w:t>
      </w:r>
      <w:r w:rsidR="00957FF5" w:rsidRPr="00DB37E6">
        <w:rPr>
          <w:rFonts w:cs="Arial"/>
          <w:bCs/>
          <w:sz w:val="22"/>
          <w:szCs w:val="22"/>
        </w:rPr>
        <w:t>V</w:t>
      </w:r>
      <w:r w:rsidRPr="00D920E5">
        <w:rPr>
          <w:rFonts w:cs="Arial"/>
          <w:bCs/>
          <w:sz w:val="22"/>
          <w:szCs w:val="22"/>
        </w:rPr>
        <w:t> </w:t>
      </w:r>
      <w:r w:rsidRPr="00470F93">
        <w:rPr>
          <w:rFonts w:cs="Arial"/>
          <w:bCs/>
          <w:sz w:val="22"/>
          <w:szCs w:val="22"/>
        </w:rPr>
        <w:t>případě OFT typu „podpora exportu“ stanovily</w:t>
      </w:r>
      <w:r w:rsidR="00957FF5" w:rsidRPr="00470F93">
        <w:rPr>
          <w:rFonts w:cs="Arial"/>
          <w:bCs/>
          <w:sz w:val="22"/>
          <w:szCs w:val="22"/>
        </w:rPr>
        <w:t xml:space="preserve">, že </w:t>
      </w:r>
      <w:r w:rsidR="00DF219B">
        <w:rPr>
          <w:rFonts w:cs="Arial"/>
          <w:bCs/>
          <w:sz w:val="22"/>
          <w:szCs w:val="22"/>
        </w:rPr>
        <w:t xml:space="preserve">se </w:t>
      </w:r>
      <w:r w:rsidR="00957FF5" w:rsidRPr="00470F93">
        <w:rPr>
          <w:rFonts w:cs="Arial"/>
          <w:bCs/>
          <w:sz w:val="22"/>
          <w:szCs w:val="22"/>
        </w:rPr>
        <w:t>tím</w:t>
      </w:r>
      <w:r w:rsidR="00DF219B">
        <w:rPr>
          <w:rFonts w:cs="Arial"/>
          <w:bCs/>
          <w:sz w:val="22"/>
          <w:szCs w:val="22"/>
        </w:rPr>
        <w:t>to termínem</w:t>
      </w:r>
      <w:r w:rsidR="00957FF5" w:rsidRPr="00470F93">
        <w:rPr>
          <w:rFonts w:cs="Arial"/>
          <w:bCs/>
          <w:sz w:val="22"/>
          <w:szCs w:val="22"/>
        </w:rPr>
        <w:t xml:space="preserve"> rozumí </w:t>
      </w:r>
      <w:r w:rsidRPr="00470F93">
        <w:rPr>
          <w:rFonts w:cs="Arial"/>
          <w:bCs/>
          <w:sz w:val="22"/>
          <w:szCs w:val="22"/>
        </w:rPr>
        <w:t>zprostředkování nových exportních zakázek tuzemským subjektům</w:t>
      </w:r>
      <w:r w:rsidR="00957FF5" w:rsidRPr="00470F93">
        <w:rPr>
          <w:rFonts w:cs="Arial"/>
          <w:bCs/>
          <w:sz w:val="22"/>
          <w:szCs w:val="22"/>
        </w:rPr>
        <w:t>,</w:t>
      </w:r>
      <w:r w:rsidRPr="00470F93">
        <w:rPr>
          <w:rFonts w:cs="Arial"/>
          <w:bCs/>
          <w:sz w:val="22"/>
          <w:szCs w:val="22"/>
        </w:rPr>
        <w:t xml:space="preserve"> uvedení dosud nevyváženého výrobku českého původu na zahranič</w:t>
      </w:r>
      <w:r w:rsidR="00DF219B">
        <w:rPr>
          <w:rFonts w:cs="Arial"/>
          <w:bCs/>
          <w:sz w:val="22"/>
          <w:szCs w:val="22"/>
        </w:rPr>
        <w:t>n</w:t>
      </w:r>
      <w:r w:rsidRPr="00470F93">
        <w:rPr>
          <w:rFonts w:cs="Arial"/>
          <w:bCs/>
          <w:sz w:val="22"/>
          <w:szCs w:val="22"/>
        </w:rPr>
        <w:t>í trhy, zajištění nových zahraničních odběratelů pro výrobky již exportované nebo markantní</w:t>
      </w:r>
      <w:r w:rsidR="00B945EB">
        <w:rPr>
          <w:rStyle w:val="Znakapoznpodarou"/>
          <w:rFonts w:cs="Arial"/>
          <w:bCs/>
          <w:sz w:val="22"/>
          <w:szCs w:val="22"/>
        </w:rPr>
        <w:footnoteReference w:id="16"/>
      </w:r>
      <w:r w:rsidRPr="00470F93">
        <w:rPr>
          <w:rFonts w:cs="Arial"/>
          <w:bCs/>
          <w:sz w:val="22"/>
          <w:szCs w:val="22"/>
        </w:rPr>
        <w:t xml:space="preserve"> navýšení stávajícího vývozu. Zásady 2010</w:t>
      </w:r>
      <w:r w:rsidR="00957FF5" w:rsidRPr="00470F93">
        <w:rPr>
          <w:rFonts w:cs="Arial"/>
          <w:bCs/>
          <w:sz w:val="22"/>
          <w:szCs w:val="22"/>
        </w:rPr>
        <w:t xml:space="preserve"> požadavek novosti definovaly obdobně jako Zásady 2005.</w:t>
      </w:r>
    </w:p>
    <w:p w14:paraId="3F25AB55" w14:textId="6AE6E093" w:rsidR="00A25312" w:rsidRPr="00C33DB4" w:rsidRDefault="00A25312" w:rsidP="00DB37E6">
      <w:pPr>
        <w:pStyle w:val="Odstavecseseznamem"/>
        <w:numPr>
          <w:ilvl w:val="0"/>
          <w:numId w:val="5"/>
        </w:numPr>
        <w:autoSpaceDE w:val="0"/>
        <w:autoSpaceDN w:val="0"/>
        <w:adjustRightInd w:val="0"/>
        <w:ind w:left="284" w:hanging="284"/>
        <w:jc w:val="both"/>
        <w:rPr>
          <w:rFonts w:cs="Arial"/>
          <w:bCs/>
          <w:sz w:val="22"/>
          <w:szCs w:val="22"/>
        </w:rPr>
      </w:pPr>
      <w:r w:rsidRPr="00470F93">
        <w:rPr>
          <w:rFonts w:cs="Arial"/>
          <w:b/>
          <w:bCs/>
          <w:sz w:val="22"/>
          <w:szCs w:val="22"/>
        </w:rPr>
        <w:t>Přímé offsety</w:t>
      </w:r>
      <w:r w:rsidRPr="00470F93">
        <w:rPr>
          <w:rFonts w:cs="Arial"/>
          <w:bCs/>
          <w:sz w:val="22"/>
          <w:szCs w:val="22"/>
        </w:rPr>
        <w:t xml:space="preserve"> – </w:t>
      </w:r>
      <w:r w:rsidRPr="00470F93">
        <w:rPr>
          <w:rFonts w:cs="Arial"/>
          <w:sz w:val="22"/>
          <w:szCs w:val="22"/>
        </w:rPr>
        <w:t xml:space="preserve">Oproti Zásadám a Pravidlům </w:t>
      </w:r>
      <w:r w:rsidR="004E4EAD">
        <w:rPr>
          <w:rFonts w:cs="Arial"/>
          <w:sz w:val="22"/>
          <w:szCs w:val="22"/>
        </w:rPr>
        <w:t xml:space="preserve">z let </w:t>
      </w:r>
      <w:r w:rsidRPr="00470F93">
        <w:rPr>
          <w:rFonts w:cs="Arial"/>
          <w:sz w:val="22"/>
          <w:szCs w:val="22"/>
        </w:rPr>
        <w:t>1998 a 2005 rozšířily Zásady a</w:t>
      </w:r>
      <w:r w:rsidR="00C75167">
        <w:rPr>
          <w:rFonts w:cs="Arial"/>
          <w:sz w:val="22"/>
          <w:szCs w:val="22"/>
        </w:rPr>
        <w:t> </w:t>
      </w:r>
      <w:r w:rsidRPr="00470F93">
        <w:rPr>
          <w:rFonts w:cs="Arial"/>
          <w:sz w:val="22"/>
          <w:szCs w:val="22"/>
        </w:rPr>
        <w:t xml:space="preserve">Pravidla </w:t>
      </w:r>
      <w:r w:rsidR="004E4EAD">
        <w:rPr>
          <w:rFonts w:cs="Arial"/>
          <w:sz w:val="22"/>
          <w:szCs w:val="22"/>
        </w:rPr>
        <w:t xml:space="preserve">z roku </w:t>
      </w:r>
      <w:r w:rsidRPr="00470F93">
        <w:rPr>
          <w:rFonts w:cs="Arial"/>
          <w:sz w:val="22"/>
          <w:szCs w:val="22"/>
        </w:rPr>
        <w:t>2010 kategori</w:t>
      </w:r>
      <w:r w:rsidR="004E4EAD">
        <w:rPr>
          <w:rFonts w:cs="Arial"/>
          <w:sz w:val="22"/>
          <w:szCs w:val="22"/>
        </w:rPr>
        <w:t>i</w:t>
      </w:r>
      <w:r w:rsidRPr="00470F93">
        <w:rPr>
          <w:rFonts w:cs="Arial"/>
          <w:sz w:val="22"/>
          <w:szCs w:val="22"/>
        </w:rPr>
        <w:t xml:space="preserve"> přímých offsetů i na projekty</w:t>
      </w:r>
      <w:r w:rsidR="004E4EAD">
        <w:rPr>
          <w:rFonts w:cs="Arial"/>
          <w:sz w:val="22"/>
          <w:szCs w:val="22"/>
        </w:rPr>
        <w:t xml:space="preserve"> bez přímé</w:t>
      </w:r>
      <w:r w:rsidRPr="00470F93">
        <w:rPr>
          <w:rFonts w:cs="Arial"/>
          <w:sz w:val="22"/>
          <w:szCs w:val="22"/>
        </w:rPr>
        <w:t xml:space="preserve"> </w:t>
      </w:r>
      <w:r w:rsidR="004E4EAD">
        <w:rPr>
          <w:rFonts w:cs="Arial"/>
          <w:sz w:val="22"/>
          <w:szCs w:val="22"/>
        </w:rPr>
        <w:t xml:space="preserve">účasti na </w:t>
      </w:r>
      <w:r w:rsidRPr="00470F93">
        <w:rPr>
          <w:rFonts w:cs="Arial"/>
          <w:sz w:val="22"/>
          <w:szCs w:val="22"/>
        </w:rPr>
        <w:t>veřejné zakázce. MPO přibližně po 11 letech od vydání Zásad 1998 upravilo kategorii přímých offsetů tak, že zahrnovala projekty průmyslové spolupráce pro podniky českého obranného a bezpečnostního, leteckého a kosmického průmyslu</w:t>
      </w:r>
      <w:r w:rsidR="00A162DA">
        <w:rPr>
          <w:rFonts w:cs="Arial"/>
          <w:sz w:val="22"/>
          <w:szCs w:val="22"/>
        </w:rPr>
        <w:t xml:space="preserve">. Stalo se </w:t>
      </w:r>
      <w:r w:rsidR="004E4EAD">
        <w:rPr>
          <w:rFonts w:cs="Arial"/>
          <w:sz w:val="22"/>
          <w:szCs w:val="22"/>
        </w:rPr>
        <w:t>tak ale</w:t>
      </w:r>
      <w:r w:rsidR="00A162DA">
        <w:rPr>
          <w:rFonts w:cs="Arial"/>
          <w:sz w:val="22"/>
          <w:szCs w:val="22"/>
        </w:rPr>
        <w:t xml:space="preserve"> </w:t>
      </w:r>
      <w:r w:rsidRPr="00470F93">
        <w:rPr>
          <w:rFonts w:cs="Arial"/>
          <w:sz w:val="22"/>
          <w:szCs w:val="22"/>
        </w:rPr>
        <w:t>bez ohledu na skutečnost, zda se</w:t>
      </w:r>
      <w:r w:rsidR="00A162DA">
        <w:rPr>
          <w:rFonts w:cs="Arial"/>
          <w:sz w:val="22"/>
          <w:szCs w:val="22"/>
        </w:rPr>
        <w:t xml:space="preserve"> v konkrétním případě jedná o offset spočívající v </w:t>
      </w:r>
      <w:r w:rsidRPr="00470F93">
        <w:rPr>
          <w:rFonts w:cs="Arial"/>
          <w:sz w:val="22"/>
          <w:szCs w:val="22"/>
        </w:rPr>
        <w:t>účast</w:t>
      </w:r>
      <w:r w:rsidR="00A162DA">
        <w:rPr>
          <w:rFonts w:cs="Arial"/>
          <w:sz w:val="22"/>
          <w:szCs w:val="22"/>
        </w:rPr>
        <w:t>i (podílu)</w:t>
      </w:r>
      <w:r w:rsidRPr="00470F93">
        <w:rPr>
          <w:rFonts w:cs="Arial"/>
          <w:sz w:val="22"/>
          <w:szCs w:val="22"/>
        </w:rPr>
        <w:t xml:space="preserve"> na plnění veřejné zakázky v oblasti obrany a bezpečnosti a </w:t>
      </w:r>
      <w:r w:rsidR="004E4EAD">
        <w:rPr>
          <w:rFonts w:cs="Arial"/>
          <w:sz w:val="22"/>
          <w:szCs w:val="22"/>
        </w:rPr>
        <w:t>zda tento offset splňuje podmínky</w:t>
      </w:r>
      <w:r w:rsidRPr="00470F93">
        <w:rPr>
          <w:rFonts w:cs="Arial"/>
          <w:sz w:val="22"/>
          <w:szCs w:val="22"/>
        </w:rPr>
        <w:t xml:space="preserve"> čl. 346 </w:t>
      </w:r>
      <w:r w:rsidRPr="00EC1DF3">
        <w:rPr>
          <w:rFonts w:cs="Arial"/>
          <w:sz w:val="22"/>
          <w:szCs w:val="22"/>
        </w:rPr>
        <w:t>TFEU</w:t>
      </w:r>
      <w:r w:rsidR="00EC1DF3" w:rsidRPr="00EC1DF3">
        <w:rPr>
          <w:rFonts w:cs="Arial"/>
          <w:sz w:val="22"/>
          <w:szCs w:val="22"/>
        </w:rPr>
        <w:t>.</w:t>
      </w:r>
    </w:p>
    <w:p w14:paraId="3F25AB56" w14:textId="468DA688" w:rsidR="00C33DB4" w:rsidRPr="00470F93" w:rsidRDefault="00C33DB4" w:rsidP="00DB37E6">
      <w:pPr>
        <w:pStyle w:val="Odstavecseseznamem"/>
        <w:numPr>
          <w:ilvl w:val="0"/>
          <w:numId w:val="5"/>
        </w:numPr>
        <w:autoSpaceDE w:val="0"/>
        <w:autoSpaceDN w:val="0"/>
        <w:adjustRightInd w:val="0"/>
        <w:ind w:left="284" w:hanging="284"/>
        <w:jc w:val="both"/>
        <w:rPr>
          <w:rFonts w:cs="Arial"/>
          <w:bCs/>
          <w:sz w:val="22"/>
          <w:szCs w:val="22"/>
        </w:rPr>
      </w:pPr>
      <w:r>
        <w:rPr>
          <w:rFonts w:cs="Arial"/>
          <w:b/>
          <w:bCs/>
          <w:sz w:val="22"/>
          <w:szCs w:val="22"/>
        </w:rPr>
        <w:t xml:space="preserve">Valorizace hodnoty OFT </w:t>
      </w:r>
      <w:r w:rsidR="00F6465D">
        <w:rPr>
          <w:rFonts w:cs="Arial"/>
          <w:bCs/>
          <w:sz w:val="22"/>
          <w:szCs w:val="22"/>
        </w:rPr>
        <w:t>–</w:t>
      </w:r>
      <w:r>
        <w:rPr>
          <w:rFonts w:cs="Arial"/>
          <w:bCs/>
          <w:sz w:val="22"/>
          <w:szCs w:val="22"/>
        </w:rPr>
        <w:t xml:space="preserve"> </w:t>
      </w:r>
      <w:r w:rsidRPr="00C33DB4">
        <w:rPr>
          <w:rFonts w:cs="Arial"/>
          <w:bCs/>
          <w:sz w:val="22"/>
          <w:szCs w:val="22"/>
        </w:rPr>
        <w:t xml:space="preserve">Zásady </w:t>
      </w:r>
      <w:r w:rsidR="004E4EAD" w:rsidRPr="00C33DB4">
        <w:rPr>
          <w:rFonts w:cs="Arial"/>
          <w:bCs/>
          <w:sz w:val="22"/>
          <w:szCs w:val="22"/>
        </w:rPr>
        <w:t xml:space="preserve">1998 </w:t>
      </w:r>
      <w:r w:rsidRPr="00C33DB4">
        <w:rPr>
          <w:rFonts w:cs="Arial"/>
          <w:bCs/>
          <w:sz w:val="22"/>
          <w:szCs w:val="22"/>
        </w:rPr>
        <w:t>a Pravidla 1998 umožňovaly OFK</w:t>
      </w:r>
      <w:r>
        <w:rPr>
          <w:rFonts w:cs="Arial"/>
          <w:bCs/>
          <w:sz w:val="22"/>
          <w:szCs w:val="22"/>
        </w:rPr>
        <w:t xml:space="preserve"> </w:t>
      </w:r>
      <w:r w:rsidR="00656396">
        <w:rPr>
          <w:rFonts w:cs="Arial"/>
          <w:bCs/>
          <w:sz w:val="22"/>
          <w:szCs w:val="22"/>
        </w:rPr>
        <w:t xml:space="preserve">navýšit </w:t>
      </w:r>
      <w:r w:rsidRPr="00C33DB4">
        <w:rPr>
          <w:rFonts w:cs="Arial"/>
          <w:bCs/>
          <w:sz w:val="22"/>
          <w:szCs w:val="22"/>
        </w:rPr>
        <w:t>hodnotu českého obsahu OFT za použití koeficientů</w:t>
      </w:r>
      <w:r w:rsidR="004E4EAD">
        <w:rPr>
          <w:rFonts w:cs="Arial"/>
          <w:bCs/>
          <w:sz w:val="22"/>
          <w:szCs w:val="22"/>
        </w:rPr>
        <w:t xml:space="preserve"> zohledňujících</w:t>
      </w:r>
      <w:r w:rsidRPr="00C33DB4">
        <w:rPr>
          <w:rFonts w:cs="Arial"/>
          <w:bCs/>
          <w:sz w:val="22"/>
          <w:szCs w:val="22"/>
        </w:rPr>
        <w:t xml:space="preserve"> význam přínosu pro českou stranu (progresivní technologie, dlouhodobé investice) nebo zvýšené riziko zahraničního dodavatele. Koeficienty měly sloužit jako stimulátor pro prosazení preference vybraných projektů</w:t>
      </w:r>
      <w:r>
        <w:rPr>
          <w:rFonts w:cs="Arial"/>
          <w:bCs/>
          <w:sz w:val="22"/>
          <w:szCs w:val="22"/>
        </w:rPr>
        <w:t>.</w:t>
      </w:r>
      <w:r w:rsidRPr="00C33DB4">
        <w:rPr>
          <w:rFonts w:cs="Arial"/>
          <w:bCs/>
          <w:sz w:val="22"/>
          <w:szCs w:val="22"/>
        </w:rPr>
        <w:t xml:space="preserve"> Hodnota českého obsahu transakce se měla vynásobit koeficientem stanoveným OFK.</w:t>
      </w:r>
      <w:r>
        <w:rPr>
          <w:rFonts w:cs="Arial"/>
          <w:bCs/>
          <w:sz w:val="22"/>
          <w:szCs w:val="22"/>
        </w:rPr>
        <w:t xml:space="preserve"> </w:t>
      </w:r>
      <w:r w:rsidRPr="00066365">
        <w:rPr>
          <w:rFonts w:cs="Arial"/>
          <w:bCs/>
          <w:sz w:val="22"/>
          <w:szCs w:val="22"/>
        </w:rPr>
        <w:t>Stanovení koeficientů pro jednotlivé oblasti mělo podle MPO vycházet z klasifikace OECD.</w:t>
      </w:r>
      <w:r w:rsidRPr="00066365">
        <w:rPr>
          <w:rStyle w:val="Znakapoznpodarou"/>
          <w:rFonts w:cs="Arial"/>
          <w:bCs/>
          <w:sz w:val="22"/>
          <w:szCs w:val="22"/>
        </w:rPr>
        <w:footnoteReference w:id="17"/>
      </w:r>
      <w:r>
        <w:rPr>
          <w:rFonts w:cs="Arial"/>
          <w:bCs/>
        </w:rPr>
        <w:t xml:space="preserve"> </w:t>
      </w:r>
      <w:r w:rsidR="00066365" w:rsidRPr="00066365">
        <w:rPr>
          <w:rFonts w:cs="Arial"/>
          <w:bCs/>
          <w:sz w:val="22"/>
          <w:szCs w:val="22"/>
        </w:rPr>
        <w:t>Metodika použ</w:t>
      </w:r>
      <w:r w:rsidR="003417CC">
        <w:rPr>
          <w:rFonts w:cs="Arial"/>
          <w:bCs/>
          <w:sz w:val="22"/>
          <w:szCs w:val="22"/>
        </w:rPr>
        <w:t>ívání</w:t>
      </w:r>
      <w:r w:rsidR="00066365" w:rsidRPr="00066365">
        <w:rPr>
          <w:rFonts w:cs="Arial"/>
          <w:bCs/>
          <w:sz w:val="22"/>
          <w:szCs w:val="22"/>
        </w:rPr>
        <w:t xml:space="preserve"> koeficientů pro valorizaci hodnot OFT, zejména z hlediska objektivnosti jejich přiřazení a</w:t>
      </w:r>
      <w:r w:rsidR="0001442A">
        <w:rPr>
          <w:rFonts w:cs="Arial"/>
          <w:bCs/>
          <w:sz w:val="22"/>
          <w:szCs w:val="22"/>
        </w:rPr>
        <w:t> </w:t>
      </w:r>
      <w:r w:rsidR="00066365" w:rsidRPr="00066365">
        <w:rPr>
          <w:rFonts w:cs="Arial"/>
          <w:bCs/>
          <w:sz w:val="22"/>
          <w:szCs w:val="22"/>
        </w:rPr>
        <w:t>posuzování jednotlivých OFT, nebyla</w:t>
      </w:r>
      <w:r w:rsidR="003417CC">
        <w:rPr>
          <w:rFonts w:cs="Arial"/>
          <w:bCs/>
          <w:sz w:val="22"/>
          <w:szCs w:val="22"/>
        </w:rPr>
        <w:t xml:space="preserve"> ze strany</w:t>
      </w:r>
      <w:r w:rsidR="00066365" w:rsidRPr="00066365">
        <w:rPr>
          <w:rFonts w:cs="Arial"/>
          <w:bCs/>
          <w:sz w:val="22"/>
          <w:szCs w:val="22"/>
        </w:rPr>
        <w:t xml:space="preserve"> </w:t>
      </w:r>
      <w:r w:rsidR="008B6476">
        <w:rPr>
          <w:rFonts w:cs="Arial"/>
          <w:bCs/>
          <w:sz w:val="22"/>
          <w:szCs w:val="22"/>
        </w:rPr>
        <w:t xml:space="preserve">MPO </w:t>
      </w:r>
      <w:r w:rsidR="00066365" w:rsidRPr="00066365">
        <w:rPr>
          <w:rFonts w:cs="Arial"/>
          <w:bCs/>
          <w:sz w:val="22"/>
          <w:szCs w:val="22"/>
        </w:rPr>
        <w:t>doložena.</w:t>
      </w:r>
    </w:p>
    <w:p w14:paraId="4E0F6B7E" w14:textId="77777777" w:rsidR="006B5FBB" w:rsidRDefault="006B5FBB" w:rsidP="00DB37E6">
      <w:pPr>
        <w:jc w:val="both"/>
        <w:rPr>
          <w:b/>
          <w:sz w:val="22"/>
          <w:szCs w:val="22"/>
        </w:rPr>
      </w:pPr>
    </w:p>
    <w:p w14:paraId="3F25AB58" w14:textId="11E86100" w:rsidR="003E7B1C" w:rsidRDefault="00D920E5" w:rsidP="00DB37E6">
      <w:pPr>
        <w:jc w:val="both"/>
        <w:rPr>
          <w:b/>
          <w:sz w:val="22"/>
          <w:szCs w:val="22"/>
        </w:rPr>
      </w:pPr>
      <w:r>
        <w:rPr>
          <w:b/>
          <w:sz w:val="22"/>
          <w:szCs w:val="22"/>
        </w:rPr>
        <w:t>K </w:t>
      </w:r>
      <w:r w:rsidR="009E2407" w:rsidRPr="001C1C65">
        <w:rPr>
          <w:b/>
          <w:sz w:val="22"/>
          <w:szCs w:val="22"/>
        </w:rPr>
        <w:t xml:space="preserve">rozšíření definice přímých offsetů </w:t>
      </w:r>
      <w:r w:rsidR="003417CC" w:rsidRPr="001C1C65">
        <w:rPr>
          <w:b/>
          <w:sz w:val="22"/>
          <w:szCs w:val="22"/>
        </w:rPr>
        <w:t xml:space="preserve">přistoupilo </w:t>
      </w:r>
      <w:r w:rsidR="009E2407" w:rsidRPr="001C1C65">
        <w:rPr>
          <w:b/>
          <w:sz w:val="22"/>
          <w:szCs w:val="22"/>
        </w:rPr>
        <w:t xml:space="preserve">MPO </w:t>
      </w:r>
      <w:r w:rsidR="00DA2AD8" w:rsidRPr="001C1C65">
        <w:rPr>
          <w:b/>
          <w:sz w:val="22"/>
          <w:szCs w:val="22"/>
        </w:rPr>
        <w:t xml:space="preserve">teprve ve chvíli, kdy toto vylučovalo komunitární právo. </w:t>
      </w:r>
      <w:r w:rsidR="00FF46B8" w:rsidRPr="001C1C65">
        <w:rPr>
          <w:b/>
          <w:sz w:val="22"/>
          <w:szCs w:val="22"/>
        </w:rPr>
        <w:t>V prvním a druhé</w:t>
      </w:r>
      <w:r w:rsidR="00AD4AF5">
        <w:rPr>
          <w:b/>
          <w:sz w:val="22"/>
          <w:szCs w:val="22"/>
        </w:rPr>
        <w:t>m</w:t>
      </w:r>
      <w:r w:rsidR="00FF46B8" w:rsidRPr="001C1C65">
        <w:rPr>
          <w:b/>
          <w:sz w:val="22"/>
          <w:szCs w:val="22"/>
        </w:rPr>
        <w:t xml:space="preserve"> období offsetové politiky (od června 1998 do června 2010) Zásady</w:t>
      </w:r>
      <w:r w:rsidR="00AE67FF" w:rsidRPr="001C1C65">
        <w:rPr>
          <w:b/>
          <w:sz w:val="22"/>
          <w:szCs w:val="22"/>
        </w:rPr>
        <w:t xml:space="preserve"> definovaly přímé offsety jako projekty vztahující se bezprostředně k realizaci předmětu veřejné zakázky</w:t>
      </w:r>
      <w:r w:rsidR="00AE67FF" w:rsidRPr="001C1C65">
        <w:rPr>
          <w:rStyle w:val="Znakapoznpodarou"/>
          <w:b/>
          <w:sz w:val="22"/>
          <w:szCs w:val="22"/>
        </w:rPr>
        <w:footnoteReference w:id="18"/>
      </w:r>
      <w:r w:rsidR="00FF46B8" w:rsidRPr="001C1C65">
        <w:rPr>
          <w:b/>
          <w:sz w:val="22"/>
          <w:szCs w:val="22"/>
        </w:rPr>
        <w:t xml:space="preserve">. Toto vymezení však nezohledňovalo reálné </w:t>
      </w:r>
      <w:r w:rsidR="00DA2AD8" w:rsidRPr="001C1C65">
        <w:rPr>
          <w:b/>
          <w:sz w:val="22"/>
          <w:szCs w:val="22"/>
        </w:rPr>
        <w:t xml:space="preserve">možnosti a kapacity </w:t>
      </w:r>
      <w:r w:rsidR="007D524F">
        <w:rPr>
          <w:b/>
          <w:sz w:val="22"/>
          <w:szCs w:val="22"/>
        </w:rPr>
        <w:t xml:space="preserve">českého </w:t>
      </w:r>
      <w:r w:rsidR="00DA2AD8" w:rsidRPr="001C1C65">
        <w:rPr>
          <w:b/>
          <w:sz w:val="22"/>
          <w:szCs w:val="22"/>
        </w:rPr>
        <w:t xml:space="preserve">průmyslu </w:t>
      </w:r>
      <w:r w:rsidR="00FF46B8" w:rsidRPr="001C1C65">
        <w:rPr>
          <w:b/>
          <w:sz w:val="22"/>
          <w:szCs w:val="22"/>
        </w:rPr>
        <w:t xml:space="preserve">v podobě </w:t>
      </w:r>
      <w:r w:rsidR="00AE67FF" w:rsidRPr="001C1C65">
        <w:rPr>
          <w:b/>
          <w:sz w:val="22"/>
          <w:szCs w:val="22"/>
        </w:rPr>
        <w:t xml:space="preserve">přímého </w:t>
      </w:r>
      <w:r w:rsidR="00FF46B8" w:rsidRPr="001C1C65">
        <w:rPr>
          <w:b/>
          <w:sz w:val="22"/>
          <w:szCs w:val="22"/>
        </w:rPr>
        <w:t>podílu na</w:t>
      </w:r>
      <w:r w:rsidR="00AE67FF" w:rsidRPr="001C1C65">
        <w:rPr>
          <w:b/>
          <w:sz w:val="22"/>
          <w:szCs w:val="22"/>
        </w:rPr>
        <w:t xml:space="preserve"> plnění </w:t>
      </w:r>
      <w:r w:rsidR="00FF46B8" w:rsidRPr="001C1C65">
        <w:rPr>
          <w:b/>
          <w:sz w:val="22"/>
          <w:szCs w:val="22"/>
        </w:rPr>
        <w:t>veřejn</w:t>
      </w:r>
      <w:r w:rsidR="00A6744D">
        <w:rPr>
          <w:b/>
          <w:sz w:val="22"/>
          <w:szCs w:val="22"/>
        </w:rPr>
        <w:t>ých</w:t>
      </w:r>
      <w:r w:rsidR="00FF46B8" w:rsidRPr="001C1C65">
        <w:rPr>
          <w:b/>
          <w:sz w:val="22"/>
          <w:szCs w:val="22"/>
        </w:rPr>
        <w:t xml:space="preserve"> zakáz</w:t>
      </w:r>
      <w:r w:rsidR="00A6744D">
        <w:rPr>
          <w:b/>
          <w:sz w:val="22"/>
          <w:szCs w:val="22"/>
        </w:rPr>
        <w:t>e</w:t>
      </w:r>
      <w:r w:rsidR="00AE67FF" w:rsidRPr="001C1C65">
        <w:rPr>
          <w:b/>
          <w:sz w:val="22"/>
          <w:szCs w:val="22"/>
        </w:rPr>
        <w:t>k.</w:t>
      </w:r>
      <w:r w:rsidR="003417CC">
        <w:rPr>
          <w:b/>
          <w:sz w:val="22"/>
          <w:szCs w:val="22"/>
        </w:rPr>
        <w:t xml:space="preserve"> </w:t>
      </w:r>
      <w:r w:rsidR="00A7073F">
        <w:rPr>
          <w:b/>
          <w:sz w:val="22"/>
          <w:szCs w:val="22"/>
        </w:rPr>
        <w:t xml:space="preserve">MPO </w:t>
      </w:r>
      <w:r w:rsidR="003E7B1C" w:rsidRPr="001C1C65">
        <w:rPr>
          <w:b/>
          <w:sz w:val="22"/>
          <w:szCs w:val="22"/>
        </w:rPr>
        <w:t>navrhlo vládě řešení, které v konečném důsledku vede k zastavení jakýchkoliv offsetových aktivit v souvislosti s novými veřejnými zakázkami, jejichž předmětem je vojenský materiál pořizovaný s ohledem na nezbytnost ochrany podstatných bezpečnostních zájmů České republiky.</w:t>
      </w:r>
      <w:r w:rsidR="0001442A">
        <w:rPr>
          <w:b/>
          <w:sz w:val="22"/>
          <w:szCs w:val="22"/>
        </w:rPr>
        <w:t xml:space="preserve"> </w:t>
      </w:r>
      <w:r w:rsidR="003E7B1C" w:rsidRPr="001C1C65">
        <w:rPr>
          <w:b/>
          <w:sz w:val="22"/>
          <w:szCs w:val="22"/>
        </w:rPr>
        <w:t>Přitom uplatnění přímých offsetů, které respektují striktní výklad čl. 3</w:t>
      </w:r>
      <w:r w:rsidR="00A7073F">
        <w:rPr>
          <w:b/>
          <w:sz w:val="22"/>
          <w:szCs w:val="22"/>
        </w:rPr>
        <w:t>4</w:t>
      </w:r>
      <w:r w:rsidR="003E7B1C" w:rsidRPr="001C1C65">
        <w:rPr>
          <w:b/>
          <w:sz w:val="22"/>
          <w:szCs w:val="22"/>
        </w:rPr>
        <w:t xml:space="preserve">6 TFEU, není v rozporu s komunitárním </w:t>
      </w:r>
      <w:r w:rsidR="003E7B1C" w:rsidRPr="00EE1737">
        <w:rPr>
          <w:b/>
          <w:sz w:val="22"/>
          <w:szCs w:val="22"/>
        </w:rPr>
        <w:t>právem</w:t>
      </w:r>
      <w:r w:rsidR="003E7B1C" w:rsidRPr="008B6476">
        <w:rPr>
          <w:b/>
          <w:sz w:val="22"/>
          <w:szCs w:val="22"/>
        </w:rPr>
        <w:t>.</w:t>
      </w:r>
      <w:r w:rsidR="0001442A">
        <w:rPr>
          <w:b/>
          <w:sz w:val="22"/>
          <w:szCs w:val="22"/>
        </w:rPr>
        <w:t xml:space="preserve"> </w:t>
      </w:r>
      <w:r w:rsidR="00A7073F">
        <w:rPr>
          <w:b/>
          <w:sz w:val="22"/>
          <w:szCs w:val="22"/>
        </w:rPr>
        <w:t>Vláda p</w:t>
      </w:r>
      <w:r w:rsidR="00A7073F" w:rsidRPr="001C1C65">
        <w:rPr>
          <w:b/>
          <w:sz w:val="22"/>
          <w:szCs w:val="22"/>
        </w:rPr>
        <w:t>řijetí</w:t>
      </w:r>
      <w:r w:rsidR="00A7073F">
        <w:rPr>
          <w:b/>
          <w:sz w:val="22"/>
          <w:szCs w:val="22"/>
        </w:rPr>
        <w:t>m</w:t>
      </w:r>
      <w:r w:rsidR="00A7073F" w:rsidRPr="001C1C65">
        <w:rPr>
          <w:b/>
          <w:sz w:val="22"/>
          <w:szCs w:val="22"/>
        </w:rPr>
        <w:t xml:space="preserve"> usn</w:t>
      </w:r>
      <w:r w:rsidR="00A7073F">
        <w:rPr>
          <w:b/>
          <w:sz w:val="22"/>
          <w:szCs w:val="22"/>
        </w:rPr>
        <w:t>esení ze dne 15. 8. 2012 č. 594</w:t>
      </w:r>
      <w:r w:rsidR="00A7073F" w:rsidRPr="001C1C65">
        <w:rPr>
          <w:b/>
          <w:sz w:val="22"/>
          <w:szCs w:val="22"/>
        </w:rPr>
        <w:t xml:space="preserve"> </w:t>
      </w:r>
      <w:r w:rsidR="00A7073F">
        <w:rPr>
          <w:b/>
          <w:sz w:val="22"/>
          <w:szCs w:val="22"/>
        </w:rPr>
        <w:t xml:space="preserve">navrhované řešení přijala. </w:t>
      </w:r>
    </w:p>
    <w:p w14:paraId="2D7B9FB7" w14:textId="77777777" w:rsidR="006B5FBB" w:rsidRPr="001C1C65" w:rsidRDefault="006B5FBB" w:rsidP="00DB37E6">
      <w:pPr>
        <w:jc w:val="both"/>
        <w:rPr>
          <w:b/>
          <w:sz w:val="22"/>
          <w:szCs w:val="22"/>
        </w:rPr>
      </w:pPr>
    </w:p>
    <w:p w14:paraId="3F25AB59" w14:textId="0CB500B9" w:rsidR="00973EF5" w:rsidRPr="001C1C65" w:rsidRDefault="00773C7A" w:rsidP="00DB37E6">
      <w:pPr>
        <w:pStyle w:val="Nadpis2"/>
        <w:spacing w:before="0"/>
        <w:rPr>
          <w:rFonts w:eastAsia="Calibri"/>
          <w:sz w:val="22"/>
          <w:szCs w:val="22"/>
          <w:lang w:eastAsia="en-US"/>
        </w:rPr>
      </w:pPr>
      <w:r>
        <w:rPr>
          <w:rFonts w:eastAsia="Calibri"/>
          <w:sz w:val="22"/>
          <w:szCs w:val="22"/>
          <w:lang w:eastAsia="en-US"/>
        </w:rPr>
        <w:t xml:space="preserve">2. </w:t>
      </w:r>
      <w:r w:rsidR="00973EF5" w:rsidRPr="001C1C65">
        <w:rPr>
          <w:rFonts w:eastAsia="Calibri"/>
          <w:sz w:val="22"/>
          <w:szCs w:val="22"/>
          <w:lang w:eastAsia="en-US"/>
        </w:rPr>
        <w:t>Realizované programy průmyslové spolupráce, jejich p</w:t>
      </w:r>
      <w:r w:rsidR="003249EE" w:rsidRPr="001C1C65">
        <w:rPr>
          <w:rFonts w:eastAsia="Calibri"/>
          <w:sz w:val="22"/>
          <w:szCs w:val="22"/>
          <w:lang w:eastAsia="en-US"/>
        </w:rPr>
        <w:t>riority a cíle</w:t>
      </w:r>
    </w:p>
    <w:p w14:paraId="3F25AB5A" w14:textId="239F5FC8" w:rsidR="007C74DC" w:rsidRDefault="007C74DC" w:rsidP="0001442A">
      <w:pPr>
        <w:jc w:val="both"/>
        <w:rPr>
          <w:sz w:val="22"/>
          <w:szCs w:val="22"/>
        </w:rPr>
      </w:pPr>
      <w:r w:rsidRPr="001C1C65">
        <w:rPr>
          <w:sz w:val="22"/>
          <w:szCs w:val="22"/>
        </w:rPr>
        <w:t>V ČR bylo realizováno celkem 11 PPS</w:t>
      </w:r>
      <w:r w:rsidR="0005603B">
        <w:rPr>
          <w:sz w:val="22"/>
          <w:szCs w:val="22"/>
        </w:rPr>
        <w:t>. O</w:t>
      </w:r>
      <w:r w:rsidR="00C463CA" w:rsidRPr="001C1C65">
        <w:rPr>
          <w:sz w:val="22"/>
          <w:szCs w:val="22"/>
        </w:rPr>
        <w:t xml:space="preserve">sm PPS souvisí </w:t>
      </w:r>
      <w:r w:rsidR="00D920E5">
        <w:rPr>
          <w:sz w:val="22"/>
          <w:szCs w:val="22"/>
        </w:rPr>
        <w:t>s </w:t>
      </w:r>
      <w:r w:rsidRPr="001C1C65">
        <w:rPr>
          <w:sz w:val="22"/>
          <w:szCs w:val="22"/>
        </w:rPr>
        <w:t xml:space="preserve">uzavřením smluv </w:t>
      </w:r>
      <w:r w:rsidR="00C463CA" w:rsidRPr="001C1C65">
        <w:rPr>
          <w:sz w:val="22"/>
          <w:szCs w:val="22"/>
        </w:rPr>
        <w:t>ze strany MO, jejichž předmětem bylo</w:t>
      </w:r>
      <w:r w:rsidR="0001442A">
        <w:rPr>
          <w:sz w:val="22"/>
          <w:szCs w:val="22"/>
        </w:rPr>
        <w:t xml:space="preserve"> </w:t>
      </w:r>
      <w:r w:rsidRPr="001C1C65">
        <w:rPr>
          <w:sz w:val="22"/>
          <w:szCs w:val="22"/>
        </w:rPr>
        <w:t>pořízení majetku a služeb v oblasti obrany</w:t>
      </w:r>
      <w:r w:rsidR="0005603B">
        <w:rPr>
          <w:sz w:val="22"/>
          <w:szCs w:val="22"/>
        </w:rPr>
        <w:t>.</w:t>
      </w:r>
      <w:r w:rsidR="0001442A">
        <w:rPr>
          <w:sz w:val="22"/>
          <w:szCs w:val="22"/>
        </w:rPr>
        <w:t xml:space="preserve"> </w:t>
      </w:r>
      <w:r w:rsidR="0005603B">
        <w:rPr>
          <w:sz w:val="22"/>
          <w:szCs w:val="22"/>
        </w:rPr>
        <w:t>V</w:t>
      </w:r>
      <w:r w:rsidR="00C463CA" w:rsidRPr="001C1C65">
        <w:rPr>
          <w:sz w:val="22"/>
          <w:szCs w:val="22"/>
        </w:rPr>
        <w:t>e dvou případech se jednalo o PPS souvis</w:t>
      </w:r>
      <w:r w:rsidR="009C019C">
        <w:rPr>
          <w:sz w:val="22"/>
          <w:szCs w:val="22"/>
        </w:rPr>
        <w:t>ející</w:t>
      </w:r>
      <w:r w:rsidR="00C463CA" w:rsidRPr="001C1C65">
        <w:rPr>
          <w:sz w:val="22"/>
          <w:szCs w:val="22"/>
        </w:rPr>
        <w:t xml:space="preserve"> se smlouvami</w:t>
      </w:r>
      <w:r w:rsidR="009C019C">
        <w:rPr>
          <w:sz w:val="22"/>
          <w:szCs w:val="22"/>
        </w:rPr>
        <w:t>,</w:t>
      </w:r>
      <w:r w:rsidR="001C1C65" w:rsidRPr="001C1C65">
        <w:rPr>
          <w:sz w:val="22"/>
          <w:szCs w:val="22"/>
        </w:rPr>
        <w:t xml:space="preserve"> </w:t>
      </w:r>
      <w:r w:rsidR="00335CC8">
        <w:rPr>
          <w:sz w:val="22"/>
          <w:szCs w:val="22"/>
        </w:rPr>
        <w:t xml:space="preserve">které </w:t>
      </w:r>
      <w:r w:rsidR="009C019C" w:rsidRPr="001C1C65">
        <w:rPr>
          <w:sz w:val="22"/>
          <w:szCs w:val="22"/>
        </w:rPr>
        <w:t>uzavřelo MV</w:t>
      </w:r>
      <w:r w:rsidR="009C019C">
        <w:rPr>
          <w:sz w:val="22"/>
          <w:szCs w:val="22"/>
        </w:rPr>
        <w:t xml:space="preserve"> a které řešily</w:t>
      </w:r>
      <w:r w:rsidR="001C1C65" w:rsidRPr="001C1C65">
        <w:rPr>
          <w:sz w:val="22"/>
          <w:szCs w:val="22"/>
        </w:rPr>
        <w:t xml:space="preserve"> potřeby složek integrovaného </w:t>
      </w:r>
      <w:r w:rsidR="00C55132">
        <w:rPr>
          <w:sz w:val="22"/>
          <w:szCs w:val="22"/>
        </w:rPr>
        <w:t xml:space="preserve">záchranného </w:t>
      </w:r>
      <w:r w:rsidR="001C1C65" w:rsidRPr="001C1C65">
        <w:rPr>
          <w:sz w:val="22"/>
          <w:szCs w:val="22"/>
        </w:rPr>
        <w:t>systému</w:t>
      </w:r>
      <w:r w:rsidR="00C463CA" w:rsidRPr="001C1C65">
        <w:rPr>
          <w:sz w:val="22"/>
          <w:szCs w:val="22"/>
        </w:rPr>
        <w:t xml:space="preserve">, a v jednom případě </w:t>
      </w:r>
      <w:r w:rsidR="009C019C">
        <w:rPr>
          <w:sz w:val="22"/>
          <w:szCs w:val="22"/>
        </w:rPr>
        <w:t xml:space="preserve">šlo </w:t>
      </w:r>
      <w:r w:rsidR="00C463CA" w:rsidRPr="001C1C65">
        <w:rPr>
          <w:sz w:val="22"/>
          <w:szCs w:val="22"/>
        </w:rPr>
        <w:t xml:space="preserve">o PPS související s pořízením </w:t>
      </w:r>
      <w:r w:rsidR="00C463CA" w:rsidRPr="001C1C65">
        <w:rPr>
          <w:sz w:val="22"/>
          <w:szCs w:val="22"/>
        </w:rPr>
        <w:lastRenderedPageBreak/>
        <w:t xml:space="preserve">sedmi elektrických </w:t>
      </w:r>
      <w:r w:rsidR="003E7B1C">
        <w:rPr>
          <w:sz w:val="22"/>
          <w:szCs w:val="22"/>
        </w:rPr>
        <w:t xml:space="preserve">vlakových </w:t>
      </w:r>
      <w:r w:rsidR="00C463CA" w:rsidRPr="001C1C65">
        <w:rPr>
          <w:sz w:val="22"/>
          <w:szCs w:val="22"/>
        </w:rPr>
        <w:t>jednotek Pendolino</w:t>
      </w:r>
      <w:r w:rsidR="00947759">
        <w:rPr>
          <w:rStyle w:val="Znakapoznpodarou"/>
          <w:sz w:val="22"/>
          <w:szCs w:val="22"/>
        </w:rPr>
        <w:footnoteReference w:id="19"/>
      </w:r>
      <w:r w:rsidR="00C463CA" w:rsidRPr="001C1C65">
        <w:rPr>
          <w:sz w:val="22"/>
          <w:szCs w:val="22"/>
        </w:rPr>
        <w:t xml:space="preserve"> tehdejší státní organizací České dráhy.</w:t>
      </w:r>
      <w:r w:rsidR="0001442A">
        <w:rPr>
          <w:sz w:val="22"/>
          <w:szCs w:val="22"/>
        </w:rPr>
        <w:t xml:space="preserve"> </w:t>
      </w:r>
      <w:r w:rsidR="00623152">
        <w:rPr>
          <w:sz w:val="22"/>
          <w:szCs w:val="22"/>
        </w:rPr>
        <w:t>PPS P</w:t>
      </w:r>
      <w:r w:rsidR="00623152" w:rsidRPr="00A32475">
        <w:rPr>
          <w:sz w:val="22"/>
          <w:szCs w:val="22"/>
        </w:rPr>
        <w:t>endolino byl k 31. 1. 2007 ukončen</w:t>
      </w:r>
      <w:r w:rsidR="00A32475" w:rsidRPr="00A32475">
        <w:rPr>
          <w:sz w:val="22"/>
          <w:szCs w:val="22"/>
        </w:rPr>
        <w:t xml:space="preserve"> s celkovou uznanou hodnotou plnění </w:t>
      </w:r>
      <w:r w:rsidR="00A32475" w:rsidRPr="00E105E8">
        <w:rPr>
          <w:sz w:val="22"/>
          <w:szCs w:val="22"/>
        </w:rPr>
        <w:t>1 826,6</w:t>
      </w:r>
      <w:r w:rsidR="005978E4">
        <w:rPr>
          <w:sz w:val="22"/>
          <w:szCs w:val="22"/>
        </w:rPr>
        <w:t> </w:t>
      </w:r>
      <w:r w:rsidR="00A32475" w:rsidRPr="00E105E8">
        <w:rPr>
          <w:sz w:val="22"/>
          <w:szCs w:val="22"/>
        </w:rPr>
        <w:t>mil.</w:t>
      </w:r>
      <w:r w:rsidR="005978E4">
        <w:rPr>
          <w:sz w:val="22"/>
          <w:szCs w:val="22"/>
        </w:rPr>
        <w:t> </w:t>
      </w:r>
      <w:r w:rsidR="00A32475" w:rsidRPr="00E105E8">
        <w:rPr>
          <w:sz w:val="22"/>
          <w:szCs w:val="22"/>
        </w:rPr>
        <w:t>Kč.</w:t>
      </w:r>
      <w:r w:rsidR="00A32475">
        <w:rPr>
          <w:sz w:val="22"/>
          <w:szCs w:val="22"/>
        </w:rPr>
        <w:t xml:space="preserve"> </w:t>
      </w:r>
    </w:p>
    <w:p w14:paraId="7AAB03D9" w14:textId="77777777" w:rsidR="006B5FBB" w:rsidRPr="001C1C65" w:rsidRDefault="006B5FBB" w:rsidP="0001442A">
      <w:pPr>
        <w:jc w:val="both"/>
        <w:rPr>
          <w:sz w:val="22"/>
          <w:szCs w:val="22"/>
        </w:rPr>
      </w:pPr>
    </w:p>
    <w:p w14:paraId="3F25AB5B" w14:textId="0AB0EDEB" w:rsidR="00C463CA" w:rsidRDefault="00700174" w:rsidP="00DB37E6">
      <w:pPr>
        <w:jc w:val="both"/>
        <w:rPr>
          <w:sz w:val="22"/>
          <w:szCs w:val="22"/>
        </w:rPr>
      </w:pPr>
      <w:r w:rsidRPr="001C1C65">
        <w:rPr>
          <w:sz w:val="22"/>
          <w:szCs w:val="22"/>
        </w:rPr>
        <w:t xml:space="preserve">V následujících grafech jsou uvedeny </w:t>
      </w:r>
      <w:r w:rsidR="002B4658">
        <w:rPr>
          <w:sz w:val="22"/>
          <w:szCs w:val="22"/>
        </w:rPr>
        <w:t xml:space="preserve">PPS kontrolované </w:t>
      </w:r>
      <w:r w:rsidR="00293EA5">
        <w:rPr>
          <w:sz w:val="22"/>
          <w:szCs w:val="22"/>
        </w:rPr>
        <w:t>u</w:t>
      </w:r>
      <w:r w:rsidR="009C019C">
        <w:rPr>
          <w:sz w:val="22"/>
          <w:szCs w:val="22"/>
        </w:rPr>
        <w:t xml:space="preserve"> </w:t>
      </w:r>
      <w:r w:rsidR="00293EA5">
        <w:rPr>
          <w:sz w:val="22"/>
          <w:szCs w:val="22"/>
        </w:rPr>
        <w:t>MO</w:t>
      </w:r>
      <w:r w:rsidR="009C019C">
        <w:rPr>
          <w:sz w:val="22"/>
          <w:szCs w:val="22"/>
        </w:rPr>
        <w:t xml:space="preserve"> </w:t>
      </w:r>
      <w:r w:rsidR="002B4658">
        <w:rPr>
          <w:sz w:val="22"/>
          <w:szCs w:val="22"/>
        </w:rPr>
        <w:t>(</w:t>
      </w:r>
      <w:r w:rsidR="00361ADA" w:rsidRPr="001C1C65">
        <w:rPr>
          <w:sz w:val="22"/>
          <w:szCs w:val="22"/>
        </w:rPr>
        <w:t>CASA</w:t>
      </w:r>
      <w:r w:rsidR="00361ADA">
        <w:rPr>
          <w:sz w:val="22"/>
          <w:szCs w:val="22"/>
        </w:rPr>
        <w:t xml:space="preserve">, </w:t>
      </w:r>
      <w:r w:rsidR="00361ADA" w:rsidRPr="001C1C65">
        <w:rPr>
          <w:sz w:val="22"/>
          <w:szCs w:val="22"/>
        </w:rPr>
        <w:t>LOV IVECO,</w:t>
      </w:r>
      <w:r w:rsidR="00361ADA" w:rsidRPr="00361ADA">
        <w:rPr>
          <w:sz w:val="22"/>
          <w:szCs w:val="22"/>
        </w:rPr>
        <w:t xml:space="preserve"> </w:t>
      </w:r>
      <w:r w:rsidR="00361ADA" w:rsidRPr="001C1C65">
        <w:rPr>
          <w:sz w:val="22"/>
          <w:szCs w:val="22"/>
        </w:rPr>
        <w:t>KOT PANDUR, ATS TATRA,</w:t>
      </w:r>
      <w:r w:rsidR="0001442A">
        <w:rPr>
          <w:sz w:val="22"/>
          <w:szCs w:val="22"/>
        </w:rPr>
        <w:t xml:space="preserve"> </w:t>
      </w:r>
      <w:r w:rsidR="00361ADA" w:rsidRPr="001C1C65">
        <w:rPr>
          <w:sz w:val="22"/>
          <w:szCs w:val="22"/>
        </w:rPr>
        <w:t xml:space="preserve">AIRBUS, RBS-70, ARTHUR </w:t>
      </w:r>
      <w:r w:rsidR="00361ADA">
        <w:rPr>
          <w:sz w:val="22"/>
          <w:szCs w:val="22"/>
        </w:rPr>
        <w:t xml:space="preserve">a </w:t>
      </w:r>
      <w:r w:rsidR="002B4658" w:rsidRPr="001C1C65">
        <w:rPr>
          <w:sz w:val="22"/>
          <w:szCs w:val="22"/>
        </w:rPr>
        <w:t>GRIPEN)</w:t>
      </w:r>
      <w:r w:rsidR="00361ADA">
        <w:rPr>
          <w:sz w:val="22"/>
          <w:szCs w:val="22"/>
        </w:rPr>
        <w:t xml:space="preserve"> a u MV (</w:t>
      </w:r>
      <w:r w:rsidR="00361ADA" w:rsidRPr="001C1C65">
        <w:rPr>
          <w:sz w:val="22"/>
          <w:szCs w:val="22"/>
        </w:rPr>
        <w:t xml:space="preserve">EUROCOPTER </w:t>
      </w:r>
      <w:r w:rsidR="00361ADA">
        <w:rPr>
          <w:sz w:val="22"/>
          <w:szCs w:val="22"/>
        </w:rPr>
        <w:t>a</w:t>
      </w:r>
      <w:r w:rsidR="0001442A">
        <w:rPr>
          <w:sz w:val="22"/>
          <w:szCs w:val="22"/>
        </w:rPr>
        <w:t> </w:t>
      </w:r>
      <w:r w:rsidR="00361ADA" w:rsidRPr="001C1C65">
        <w:rPr>
          <w:sz w:val="22"/>
          <w:szCs w:val="22"/>
        </w:rPr>
        <w:t>PEGAS)</w:t>
      </w:r>
      <w:r w:rsidRPr="001C1C65">
        <w:rPr>
          <w:sz w:val="22"/>
          <w:szCs w:val="22"/>
        </w:rPr>
        <w:t>.</w:t>
      </w:r>
      <w:r w:rsidR="001C1C65" w:rsidRPr="001C1C65">
        <w:rPr>
          <w:sz w:val="22"/>
          <w:szCs w:val="22"/>
        </w:rPr>
        <w:t xml:space="preserve"> </w:t>
      </w:r>
      <w:r w:rsidR="008D5263">
        <w:rPr>
          <w:sz w:val="22"/>
          <w:szCs w:val="22"/>
        </w:rPr>
        <w:t xml:space="preserve">Základní </w:t>
      </w:r>
      <w:r w:rsidR="001C1C65" w:rsidRPr="001C1C65">
        <w:rPr>
          <w:sz w:val="22"/>
          <w:szCs w:val="22"/>
        </w:rPr>
        <w:t>informace</w:t>
      </w:r>
      <w:r w:rsidR="002B4658">
        <w:rPr>
          <w:sz w:val="22"/>
          <w:szCs w:val="22"/>
        </w:rPr>
        <w:t xml:space="preserve"> </w:t>
      </w:r>
      <w:r w:rsidR="00CD6709">
        <w:rPr>
          <w:sz w:val="22"/>
          <w:szCs w:val="22"/>
        </w:rPr>
        <w:t>a</w:t>
      </w:r>
      <w:r w:rsidR="002B4658">
        <w:rPr>
          <w:sz w:val="22"/>
          <w:szCs w:val="22"/>
        </w:rPr>
        <w:t> </w:t>
      </w:r>
      <w:r w:rsidR="00CD6709">
        <w:rPr>
          <w:sz w:val="22"/>
          <w:szCs w:val="22"/>
        </w:rPr>
        <w:t xml:space="preserve">výchozí parametry pro sjednání offsetových závazků </w:t>
      </w:r>
      <w:r w:rsidR="002B4658">
        <w:rPr>
          <w:sz w:val="22"/>
          <w:szCs w:val="22"/>
        </w:rPr>
        <w:t xml:space="preserve">v jednotlivých </w:t>
      </w:r>
      <w:r w:rsidR="001C1C65" w:rsidRPr="001C1C65">
        <w:rPr>
          <w:sz w:val="22"/>
          <w:szCs w:val="22"/>
        </w:rPr>
        <w:t>PPS</w:t>
      </w:r>
      <w:r w:rsidR="008D5263">
        <w:rPr>
          <w:sz w:val="22"/>
          <w:szCs w:val="22"/>
        </w:rPr>
        <w:t xml:space="preserve"> jsou obsahem</w:t>
      </w:r>
      <w:r w:rsidR="00293EA5">
        <w:rPr>
          <w:sz w:val="22"/>
          <w:szCs w:val="22"/>
        </w:rPr>
        <w:t xml:space="preserve"> </w:t>
      </w:r>
      <w:r w:rsidR="00293EA5" w:rsidRPr="00A77368">
        <w:rPr>
          <w:sz w:val="22"/>
          <w:szCs w:val="22"/>
        </w:rPr>
        <w:t>přílo</w:t>
      </w:r>
      <w:r w:rsidR="008D5263" w:rsidRPr="00A77368">
        <w:rPr>
          <w:sz w:val="22"/>
          <w:szCs w:val="22"/>
        </w:rPr>
        <w:t>hy</w:t>
      </w:r>
      <w:r w:rsidR="00293EA5" w:rsidRPr="00A77368">
        <w:rPr>
          <w:sz w:val="22"/>
          <w:szCs w:val="22"/>
        </w:rPr>
        <w:t xml:space="preserve"> č. 3</w:t>
      </w:r>
      <w:r w:rsidR="00293EA5">
        <w:rPr>
          <w:sz w:val="22"/>
          <w:szCs w:val="22"/>
        </w:rPr>
        <w:t xml:space="preserve">. </w:t>
      </w:r>
      <w:r w:rsidR="002B4658">
        <w:rPr>
          <w:sz w:val="22"/>
          <w:szCs w:val="22"/>
        </w:rPr>
        <w:t>V této příloze </w:t>
      </w:r>
      <w:r w:rsidR="00377E8B">
        <w:rPr>
          <w:sz w:val="22"/>
          <w:szCs w:val="22"/>
        </w:rPr>
        <w:t xml:space="preserve">je </w:t>
      </w:r>
      <w:r w:rsidR="002B4658">
        <w:rPr>
          <w:sz w:val="22"/>
          <w:szCs w:val="22"/>
        </w:rPr>
        <w:t>rovněž uveden</w:t>
      </w:r>
      <w:r w:rsidR="00377E8B">
        <w:rPr>
          <w:sz w:val="22"/>
          <w:szCs w:val="22"/>
        </w:rPr>
        <w:t>o</w:t>
      </w:r>
      <w:r w:rsidR="0001442A">
        <w:rPr>
          <w:sz w:val="22"/>
          <w:szCs w:val="22"/>
        </w:rPr>
        <w:t>,</w:t>
      </w:r>
      <w:r w:rsidR="002B4658">
        <w:rPr>
          <w:sz w:val="22"/>
          <w:szCs w:val="22"/>
        </w:rPr>
        <w:t xml:space="preserve"> </w:t>
      </w:r>
      <w:r w:rsidR="00377E8B">
        <w:rPr>
          <w:sz w:val="22"/>
          <w:szCs w:val="22"/>
        </w:rPr>
        <w:t>zda a</w:t>
      </w:r>
      <w:r w:rsidR="002B4658">
        <w:rPr>
          <w:sz w:val="22"/>
          <w:szCs w:val="22"/>
        </w:rPr>
        <w:t xml:space="preserve"> kdy zadavatelé uzavřeli další smlouvy nebo dodatky smluv, kterými došlo ke změnám v obsahu </w:t>
      </w:r>
      <w:r w:rsidR="00C80DCC">
        <w:rPr>
          <w:sz w:val="22"/>
          <w:szCs w:val="22"/>
        </w:rPr>
        <w:t xml:space="preserve">původního </w:t>
      </w:r>
      <w:r w:rsidR="002B4658">
        <w:rPr>
          <w:sz w:val="22"/>
          <w:szCs w:val="22"/>
        </w:rPr>
        <w:t>plnění</w:t>
      </w:r>
      <w:r w:rsidR="009C019C">
        <w:rPr>
          <w:sz w:val="22"/>
          <w:szCs w:val="22"/>
        </w:rPr>
        <w:t>,</w:t>
      </w:r>
      <w:r w:rsidR="002B4658">
        <w:rPr>
          <w:sz w:val="22"/>
          <w:szCs w:val="22"/>
        </w:rPr>
        <w:t xml:space="preserve"> a tudíž </w:t>
      </w:r>
      <w:r w:rsidR="00C80DCC">
        <w:rPr>
          <w:sz w:val="22"/>
          <w:szCs w:val="22"/>
        </w:rPr>
        <w:t xml:space="preserve">i </w:t>
      </w:r>
      <w:r w:rsidR="009C019C">
        <w:rPr>
          <w:sz w:val="22"/>
          <w:szCs w:val="22"/>
        </w:rPr>
        <w:t xml:space="preserve">ke </w:t>
      </w:r>
      <w:r w:rsidR="002B4658">
        <w:rPr>
          <w:sz w:val="22"/>
          <w:szCs w:val="22"/>
        </w:rPr>
        <w:t xml:space="preserve">změnám </w:t>
      </w:r>
      <w:r w:rsidR="00093D6D">
        <w:rPr>
          <w:sz w:val="22"/>
          <w:szCs w:val="22"/>
        </w:rPr>
        <w:t xml:space="preserve">kupní </w:t>
      </w:r>
      <w:r w:rsidR="002B4658">
        <w:rPr>
          <w:sz w:val="22"/>
          <w:szCs w:val="22"/>
        </w:rPr>
        <w:t>ceny, která je rozhodná pro stanovení výše offsetového závazku v konkrétním PPS.</w:t>
      </w:r>
    </w:p>
    <w:p w14:paraId="0DBF89E8" w14:textId="77777777" w:rsidR="006B5FBB" w:rsidRDefault="006B5FBB" w:rsidP="00DB37E6">
      <w:pPr>
        <w:jc w:val="both"/>
        <w:rPr>
          <w:sz w:val="22"/>
          <w:szCs w:val="22"/>
        </w:rPr>
      </w:pPr>
    </w:p>
    <w:p w14:paraId="3F25AB5C" w14:textId="2F25CC90" w:rsidR="008D5263" w:rsidRDefault="00EE5235" w:rsidP="00DB37E6">
      <w:pPr>
        <w:jc w:val="both"/>
        <w:rPr>
          <w:sz w:val="22"/>
          <w:szCs w:val="22"/>
        </w:rPr>
      </w:pPr>
      <w:r>
        <w:rPr>
          <w:sz w:val="22"/>
          <w:szCs w:val="22"/>
        </w:rPr>
        <w:t>V</w:t>
      </w:r>
      <w:r w:rsidRPr="00EB5BB8">
        <w:rPr>
          <w:sz w:val="22"/>
          <w:szCs w:val="22"/>
        </w:rPr>
        <w:t xml:space="preserve"> grafu č. 1 </w:t>
      </w:r>
      <w:r>
        <w:rPr>
          <w:sz w:val="22"/>
          <w:szCs w:val="22"/>
        </w:rPr>
        <w:t xml:space="preserve">jsou </w:t>
      </w:r>
      <w:r w:rsidR="0052334B">
        <w:rPr>
          <w:sz w:val="22"/>
          <w:szCs w:val="22"/>
        </w:rPr>
        <w:t xml:space="preserve">v závorkách </w:t>
      </w:r>
      <w:r w:rsidR="003532B1">
        <w:rPr>
          <w:sz w:val="22"/>
          <w:szCs w:val="22"/>
        </w:rPr>
        <w:t xml:space="preserve">u názvů </w:t>
      </w:r>
      <w:r>
        <w:rPr>
          <w:sz w:val="22"/>
          <w:szCs w:val="22"/>
        </w:rPr>
        <w:t>jednotliv</w:t>
      </w:r>
      <w:r w:rsidR="003532B1">
        <w:rPr>
          <w:sz w:val="22"/>
          <w:szCs w:val="22"/>
        </w:rPr>
        <w:t>ých</w:t>
      </w:r>
      <w:r>
        <w:rPr>
          <w:sz w:val="22"/>
          <w:szCs w:val="22"/>
        </w:rPr>
        <w:t xml:space="preserve"> PPS </w:t>
      </w:r>
      <w:r w:rsidR="009C019C" w:rsidRPr="00EB5BB8">
        <w:rPr>
          <w:sz w:val="22"/>
          <w:szCs w:val="22"/>
        </w:rPr>
        <w:t xml:space="preserve">uvedeny </w:t>
      </w:r>
      <w:r w:rsidRPr="00EB5BB8">
        <w:rPr>
          <w:sz w:val="22"/>
          <w:szCs w:val="22"/>
        </w:rPr>
        <w:t>informac</w:t>
      </w:r>
      <w:r w:rsidR="0079610F">
        <w:rPr>
          <w:sz w:val="22"/>
          <w:szCs w:val="22"/>
        </w:rPr>
        <w:t>e</w:t>
      </w:r>
      <w:r w:rsidRPr="00EB5BB8">
        <w:rPr>
          <w:sz w:val="22"/>
          <w:szCs w:val="22"/>
        </w:rPr>
        <w:t xml:space="preserve"> o datu </w:t>
      </w:r>
      <w:r w:rsidR="002B4658">
        <w:rPr>
          <w:sz w:val="22"/>
          <w:szCs w:val="22"/>
        </w:rPr>
        <w:t>u</w:t>
      </w:r>
      <w:r w:rsidRPr="00EB5BB8">
        <w:rPr>
          <w:sz w:val="22"/>
          <w:szCs w:val="22"/>
        </w:rPr>
        <w:t>zavření offsetové dohody</w:t>
      </w:r>
      <w:r w:rsidR="0079610F">
        <w:rPr>
          <w:sz w:val="22"/>
          <w:szCs w:val="22"/>
        </w:rPr>
        <w:t>.</w:t>
      </w:r>
      <w:r>
        <w:rPr>
          <w:sz w:val="22"/>
          <w:szCs w:val="22"/>
        </w:rPr>
        <w:t xml:space="preserve"> Graf dále zachycuje nastavenou dobu plnění PPS v měsících spolu s vyznačením </w:t>
      </w:r>
      <w:r w:rsidR="00CE1904">
        <w:rPr>
          <w:sz w:val="22"/>
          <w:szCs w:val="22"/>
        </w:rPr>
        <w:t xml:space="preserve">počtu </w:t>
      </w:r>
      <w:r w:rsidR="00293EA5">
        <w:rPr>
          <w:sz w:val="22"/>
          <w:szCs w:val="22"/>
        </w:rPr>
        <w:t>měsíců</w:t>
      </w:r>
      <w:r w:rsidR="00CE1904">
        <w:rPr>
          <w:sz w:val="22"/>
          <w:szCs w:val="22"/>
        </w:rPr>
        <w:t>, které uplynuly</w:t>
      </w:r>
      <w:r w:rsidR="00614A64">
        <w:rPr>
          <w:sz w:val="22"/>
          <w:szCs w:val="22"/>
        </w:rPr>
        <w:t xml:space="preserve"> </w:t>
      </w:r>
      <w:r>
        <w:rPr>
          <w:sz w:val="22"/>
          <w:szCs w:val="22"/>
        </w:rPr>
        <w:t>k</w:t>
      </w:r>
      <w:r w:rsidR="00293EA5">
        <w:rPr>
          <w:sz w:val="22"/>
          <w:szCs w:val="22"/>
        </w:rPr>
        <w:t>e dni</w:t>
      </w:r>
      <w:r w:rsidR="0052334B">
        <w:rPr>
          <w:sz w:val="22"/>
          <w:szCs w:val="22"/>
        </w:rPr>
        <w:t xml:space="preserve"> </w:t>
      </w:r>
      <w:r>
        <w:rPr>
          <w:sz w:val="22"/>
          <w:szCs w:val="22"/>
        </w:rPr>
        <w:t>31. 12. 2011 a</w:t>
      </w:r>
      <w:r w:rsidR="007D524F">
        <w:rPr>
          <w:sz w:val="22"/>
          <w:szCs w:val="22"/>
        </w:rPr>
        <w:t> </w:t>
      </w:r>
      <w:r w:rsidR="00CE1904">
        <w:rPr>
          <w:sz w:val="22"/>
          <w:szCs w:val="22"/>
        </w:rPr>
        <w:t xml:space="preserve">které </w:t>
      </w:r>
      <w:r>
        <w:rPr>
          <w:sz w:val="22"/>
          <w:szCs w:val="22"/>
        </w:rPr>
        <w:t xml:space="preserve">zbývají </w:t>
      </w:r>
      <w:r w:rsidR="009C019C">
        <w:rPr>
          <w:sz w:val="22"/>
          <w:szCs w:val="22"/>
        </w:rPr>
        <w:t>do</w:t>
      </w:r>
      <w:r>
        <w:rPr>
          <w:sz w:val="22"/>
          <w:szCs w:val="22"/>
        </w:rPr>
        <w:t xml:space="preserve"> splnění PPS</w:t>
      </w:r>
      <w:r w:rsidR="00CE1904">
        <w:rPr>
          <w:sz w:val="22"/>
          <w:szCs w:val="22"/>
        </w:rPr>
        <w:t xml:space="preserve"> </w:t>
      </w:r>
      <w:r w:rsidR="0052334B">
        <w:rPr>
          <w:sz w:val="22"/>
          <w:szCs w:val="22"/>
        </w:rPr>
        <w:t>dle</w:t>
      </w:r>
      <w:r w:rsidR="00CE1904">
        <w:rPr>
          <w:sz w:val="22"/>
          <w:szCs w:val="22"/>
        </w:rPr>
        <w:t xml:space="preserve"> termínu stanov</w:t>
      </w:r>
      <w:r w:rsidR="00230C82">
        <w:rPr>
          <w:sz w:val="22"/>
          <w:szCs w:val="22"/>
        </w:rPr>
        <w:t>en</w:t>
      </w:r>
      <w:r w:rsidR="00CE1904">
        <w:rPr>
          <w:sz w:val="22"/>
          <w:szCs w:val="22"/>
        </w:rPr>
        <w:t xml:space="preserve">ého </w:t>
      </w:r>
      <w:r w:rsidR="0052334B">
        <w:rPr>
          <w:sz w:val="22"/>
          <w:szCs w:val="22"/>
        </w:rPr>
        <w:t>v </w:t>
      </w:r>
      <w:r w:rsidR="00CE1904">
        <w:rPr>
          <w:sz w:val="22"/>
          <w:szCs w:val="22"/>
        </w:rPr>
        <w:t>příslušn</w:t>
      </w:r>
      <w:r w:rsidR="0052334B">
        <w:rPr>
          <w:sz w:val="22"/>
          <w:szCs w:val="22"/>
        </w:rPr>
        <w:t>é</w:t>
      </w:r>
      <w:r w:rsidR="00CE1904">
        <w:rPr>
          <w:sz w:val="22"/>
          <w:szCs w:val="22"/>
        </w:rPr>
        <w:t xml:space="preserve"> offsetov</w:t>
      </w:r>
      <w:r w:rsidR="0052334B">
        <w:rPr>
          <w:sz w:val="22"/>
          <w:szCs w:val="22"/>
        </w:rPr>
        <w:t>é</w:t>
      </w:r>
      <w:r w:rsidR="00CE1904">
        <w:rPr>
          <w:sz w:val="22"/>
          <w:szCs w:val="22"/>
        </w:rPr>
        <w:t xml:space="preserve"> dohod</w:t>
      </w:r>
      <w:r w:rsidR="0052334B">
        <w:rPr>
          <w:sz w:val="22"/>
          <w:szCs w:val="22"/>
        </w:rPr>
        <w:t>ě</w:t>
      </w:r>
      <w:r>
        <w:rPr>
          <w:sz w:val="22"/>
          <w:szCs w:val="22"/>
        </w:rPr>
        <w:t>.</w:t>
      </w:r>
      <w:r w:rsidRPr="00EB5BB8">
        <w:rPr>
          <w:sz w:val="22"/>
          <w:szCs w:val="22"/>
        </w:rPr>
        <w:t xml:space="preserve"> </w:t>
      </w:r>
      <w:r w:rsidR="0052334B">
        <w:rPr>
          <w:sz w:val="22"/>
          <w:szCs w:val="22"/>
        </w:rPr>
        <w:t>R</w:t>
      </w:r>
      <w:r w:rsidR="007D524F">
        <w:rPr>
          <w:sz w:val="22"/>
          <w:szCs w:val="22"/>
        </w:rPr>
        <w:t>ámeč</w:t>
      </w:r>
      <w:r w:rsidR="0052334B">
        <w:rPr>
          <w:sz w:val="22"/>
          <w:szCs w:val="22"/>
        </w:rPr>
        <w:t>ky</w:t>
      </w:r>
      <w:r w:rsidR="007D524F">
        <w:rPr>
          <w:sz w:val="22"/>
          <w:szCs w:val="22"/>
        </w:rPr>
        <w:t xml:space="preserve"> </w:t>
      </w:r>
      <w:r w:rsidR="00293EA5">
        <w:rPr>
          <w:sz w:val="22"/>
          <w:szCs w:val="22"/>
        </w:rPr>
        <w:t>vztažen</w:t>
      </w:r>
      <w:r w:rsidR="0052334B">
        <w:rPr>
          <w:sz w:val="22"/>
          <w:szCs w:val="22"/>
        </w:rPr>
        <w:t>é</w:t>
      </w:r>
      <w:r w:rsidR="00293EA5">
        <w:rPr>
          <w:sz w:val="22"/>
          <w:szCs w:val="22"/>
        </w:rPr>
        <w:t xml:space="preserve"> k časové ose jednotlivých PPS </w:t>
      </w:r>
      <w:r w:rsidR="0052334B">
        <w:rPr>
          <w:sz w:val="22"/>
          <w:szCs w:val="22"/>
        </w:rPr>
        <w:t>obsahují</w:t>
      </w:r>
      <w:r>
        <w:rPr>
          <w:sz w:val="22"/>
          <w:szCs w:val="22"/>
        </w:rPr>
        <w:t xml:space="preserve"> </w:t>
      </w:r>
      <w:r w:rsidR="007D524F">
        <w:rPr>
          <w:sz w:val="22"/>
          <w:szCs w:val="22"/>
        </w:rPr>
        <w:t xml:space="preserve">termíny, ke kterým zadavatelé </w:t>
      </w:r>
      <w:r>
        <w:rPr>
          <w:sz w:val="22"/>
          <w:szCs w:val="22"/>
        </w:rPr>
        <w:t>uzna</w:t>
      </w:r>
      <w:r w:rsidR="007D524F">
        <w:rPr>
          <w:sz w:val="22"/>
          <w:szCs w:val="22"/>
        </w:rPr>
        <w:t>l</w:t>
      </w:r>
      <w:r w:rsidR="00CE1904">
        <w:rPr>
          <w:sz w:val="22"/>
          <w:szCs w:val="22"/>
        </w:rPr>
        <w:t>i</w:t>
      </w:r>
      <w:r>
        <w:rPr>
          <w:sz w:val="22"/>
          <w:szCs w:val="22"/>
        </w:rPr>
        <w:t xml:space="preserve"> hodnot</w:t>
      </w:r>
      <w:r w:rsidR="007D524F">
        <w:rPr>
          <w:sz w:val="22"/>
          <w:szCs w:val="22"/>
        </w:rPr>
        <w:t>y</w:t>
      </w:r>
      <w:r>
        <w:rPr>
          <w:sz w:val="22"/>
          <w:szCs w:val="22"/>
        </w:rPr>
        <w:t xml:space="preserve"> plnění</w:t>
      </w:r>
      <w:r w:rsidR="00293EA5">
        <w:rPr>
          <w:sz w:val="22"/>
          <w:szCs w:val="22"/>
        </w:rPr>
        <w:t xml:space="preserve">, </w:t>
      </w:r>
      <w:r w:rsidR="0052334B">
        <w:rPr>
          <w:sz w:val="22"/>
          <w:szCs w:val="22"/>
        </w:rPr>
        <w:t>a</w:t>
      </w:r>
      <w:r w:rsidR="00C04058">
        <w:rPr>
          <w:sz w:val="22"/>
          <w:szCs w:val="22"/>
        </w:rPr>
        <w:t> </w:t>
      </w:r>
      <w:r w:rsidR="0052334B">
        <w:rPr>
          <w:sz w:val="22"/>
          <w:szCs w:val="22"/>
        </w:rPr>
        <w:t>zároveň jsou v nich uvedeny i</w:t>
      </w:r>
      <w:r w:rsidR="008D5263">
        <w:rPr>
          <w:sz w:val="22"/>
          <w:szCs w:val="22"/>
        </w:rPr>
        <w:t xml:space="preserve"> </w:t>
      </w:r>
      <w:r w:rsidR="00293EA5">
        <w:rPr>
          <w:sz w:val="22"/>
          <w:szCs w:val="22"/>
        </w:rPr>
        <w:t>uznan</w:t>
      </w:r>
      <w:r w:rsidR="0052334B">
        <w:rPr>
          <w:sz w:val="22"/>
          <w:szCs w:val="22"/>
        </w:rPr>
        <w:t>é</w:t>
      </w:r>
      <w:r w:rsidR="00293EA5">
        <w:rPr>
          <w:sz w:val="22"/>
          <w:szCs w:val="22"/>
        </w:rPr>
        <w:t xml:space="preserve"> hodnot</w:t>
      </w:r>
      <w:r w:rsidR="0052334B">
        <w:rPr>
          <w:sz w:val="22"/>
          <w:szCs w:val="22"/>
        </w:rPr>
        <w:t>y</w:t>
      </w:r>
      <w:r w:rsidR="00293EA5">
        <w:rPr>
          <w:sz w:val="22"/>
          <w:szCs w:val="22"/>
        </w:rPr>
        <w:t xml:space="preserve"> plnění </w:t>
      </w:r>
      <w:r>
        <w:rPr>
          <w:sz w:val="22"/>
          <w:szCs w:val="22"/>
        </w:rPr>
        <w:t>PPS v procentech</w:t>
      </w:r>
      <w:r w:rsidRPr="007D524F">
        <w:rPr>
          <w:sz w:val="22"/>
          <w:szCs w:val="22"/>
        </w:rPr>
        <w:t>.</w:t>
      </w:r>
      <w:r w:rsidR="0083723A" w:rsidRPr="007D524F">
        <w:rPr>
          <w:sz w:val="22"/>
          <w:szCs w:val="22"/>
        </w:rPr>
        <w:t xml:space="preserve"> Oranžov</w:t>
      </w:r>
      <w:r w:rsidR="00293EA5">
        <w:rPr>
          <w:sz w:val="22"/>
          <w:szCs w:val="22"/>
        </w:rPr>
        <w:t>ě jsou zvýrazněny</w:t>
      </w:r>
      <w:r w:rsidR="007D524F" w:rsidRPr="007D524F">
        <w:rPr>
          <w:sz w:val="22"/>
          <w:szCs w:val="22"/>
        </w:rPr>
        <w:t xml:space="preserve"> rámečky </w:t>
      </w:r>
      <w:r w:rsidR="00293EA5">
        <w:rPr>
          <w:sz w:val="22"/>
          <w:szCs w:val="22"/>
        </w:rPr>
        <w:t xml:space="preserve">u PPS, </w:t>
      </w:r>
      <w:r w:rsidR="0083723A" w:rsidRPr="007D524F">
        <w:rPr>
          <w:sz w:val="22"/>
          <w:szCs w:val="22"/>
        </w:rPr>
        <w:t>u kterých zadavatel</w:t>
      </w:r>
      <w:r w:rsidR="00293EA5">
        <w:rPr>
          <w:sz w:val="22"/>
          <w:szCs w:val="22"/>
        </w:rPr>
        <w:t xml:space="preserve"> smluvní straně</w:t>
      </w:r>
      <w:r w:rsidR="0083723A" w:rsidRPr="007D524F">
        <w:rPr>
          <w:sz w:val="22"/>
          <w:szCs w:val="22"/>
        </w:rPr>
        <w:t xml:space="preserve"> potvrdil splnění podmínek PPS</w:t>
      </w:r>
      <w:r w:rsidR="00293EA5">
        <w:rPr>
          <w:sz w:val="22"/>
          <w:szCs w:val="22"/>
        </w:rPr>
        <w:t>, tj.</w:t>
      </w:r>
      <w:r w:rsidR="00CE1904">
        <w:rPr>
          <w:sz w:val="22"/>
          <w:szCs w:val="22"/>
        </w:rPr>
        <w:t> </w:t>
      </w:r>
      <w:r w:rsidR="0083723A" w:rsidRPr="007D524F">
        <w:rPr>
          <w:sz w:val="22"/>
          <w:szCs w:val="22"/>
        </w:rPr>
        <w:t xml:space="preserve">dosažení </w:t>
      </w:r>
      <w:r w:rsidR="00293EA5">
        <w:rPr>
          <w:sz w:val="22"/>
          <w:szCs w:val="22"/>
        </w:rPr>
        <w:t xml:space="preserve">minimální požadované </w:t>
      </w:r>
      <w:r w:rsidR="0083723A" w:rsidRPr="007D524F">
        <w:rPr>
          <w:sz w:val="22"/>
          <w:szCs w:val="22"/>
        </w:rPr>
        <w:t>hodnot</w:t>
      </w:r>
      <w:r w:rsidR="00293EA5">
        <w:rPr>
          <w:sz w:val="22"/>
          <w:szCs w:val="22"/>
        </w:rPr>
        <w:t>y</w:t>
      </w:r>
      <w:r w:rsidR="0083723A" w:rsidRPr="007D524F">
        <w:rPr>
          <w:sz w:val="22"/>
          <w:szCs w:val="22"/>
        </w:rPr>
        <w:t xml:space="preserve"> přímých i nepřímých offsetů</w:t>
      </w:r>
      <w:r w:rsidR="008D5263">
        <w:rPr>
          <w:sz w:val="22"/>
          <w:szCs w:val="22"/>
        </w:rPr>
        <w:t>.</w:t>
      </w:r>
    </w:p>
    <w:p w14:paraId="081A3651" w14:textId="77777777" w:rsidR="006B5FBB" w:rsidRDefault="006B5FBB" w:rsidP="00DB37E6">
      <w:pPr>
        <w:jc w:val="both"/>
        <w:rPr>
          <w:sz w:val="22"/>
          <w:szCs w:val="22"/>
        </w:rPr>
      </w:pPr>
    </w:p>
    <w:p w14:paraId="3F25AB5D" w14:textId="364DF9B8" w:rsidR="008B6476" w:rsidRPr="00EB5BB8" w:rsidRDefault="008B6476" w:rsidP="00DB37E6">
      <w:pPr>
        <w:jc w:val="both"/>
        <w:rPr>
          <w:sz w:val="22"/>
          <w:szCs w:val="22"/>
        </w:rPr>
      </w:pPr>
      <w:r w:rsidRPr="00EB5BB8">
        <w:rPr>
          <w:sz w:val="22"/>
          <w:szCs w:val="22"/>
        </w:rPr>
        <w:t>Celkem čtyři PPS (AIRBUS, RBS-70, ARTHUR, EUROCOPTER) byly již ukončeny</w:t>
      </w:r>
      <w:r>
        <w:rPr>
          <w:sz w:val="22"/>
          <w:szCs w:val="22"/>
        </w:rPr>
        <w:t xml:space="preserve"> a smluvní strany považují offsetový závazek za splněný</w:t>
      </w:r>
      <w:r w:rsidRPr="00EB5BB8">
        <w:rPr>
          <w:sz w:val="22"/>
          <w:szCs w:val="22"/>
        </w:rPr>
        <w:t>.</w:t>
      </w:r>
      <w:r>
        <w:rPr>
          <w:sz w:val="22"/>
          <w:szCs w:val="22"/>
        </w:rPr>
        <w:t xml:space="preserve"> V případě PPS AIRBUS a PPS RBS-70 uznané hodnoty plnění výrazně překročily výši offsetového závazku.</w:t>
      </w:r>
      <w:r w:rsidRPr="00EB5BB8">
        <w:rPr>
          <w:sz w:val="22"/>
          <w:szCs w:val="22"/>
        </w:rPr>
        <w:t xml:space="preserve"> V případě PPS GRIPEN </w:t>
      </w:r>
      <w:r>
        <w:rPr>
          <w:sz w:val="22"/>
          <w:szCs w:val="22"/>
        </w:rPr>
        <w:t xml:space="preserve">zadavatel uznal hodnotu plnění překračující </w:t>
      </w:r>
      <w:r w:rsidRPr="00EB5BB8">
        <w:rPr>
          <w:sz w:val="22"/>
          <w:szCs w:val="22"/>
        </w:rPr>
        <w:t>celkov</w:t>
      </w:r>
      <w:r>
        <w:rPr>
          <w:sz w:val="22"/>
          <w:szCs w:val="22"/>
        </w:rPr>
        <w:t>ou</w:t>
      </w:r>
      <w:r w:rsidRPr="00EB5BB8">
        <w:rPr>
          <w:sz w:val="22"/>
          <w:szCs w:val="22"/>
        </w:rPr>
        <w:t xml:space="preserve"> hodnot</w:t>
      </w:r>
      <w:r>
        <w:rPr>
          <w:sz w:val="22"/>
          <w:szCs w:val="22"/>
        </w:rPr>
        <w:t>u</w:t>
      </w:r>
      <w:r w:rsidRPr="00EB5BB8">
        <w:rPr>
          <w:sz w:val="22"/>
          <w:szCs w:val="22"/>
        </w:rPr>
        <w:t xml:space="preserve"> offsetového závazku, plnění </w:t>
      </w:r>
      <w:r>
        <w:rPr>
          <w:sz w:val="22"/>
          <w:szCs w:val="22"/>
        </w:rPr>
        <w:t>v </w:t>
      </w:r>
      <w:r w:rsidRPr="00EB5BB8">
        <w:rPr>
          <w:sz w:val="22"/>
          <w:szCs w:val="22"/>
        </w:rPr>
        <w:t>kategori</w:t>
      </w:r>
      <w:r>
        <w:rPr>
          <w:sz w:val="22"/>
          <w:szCs w:val="22"/>
        </w:rPr>
        <w:t>i</w:t>
      </w:r>
      <w:r w:rsidRPr="00EB5BB8">
        <w:rPr>
          <w:sz w:val="22"/>
          <w:szCs w:val="22"/>
        </w:rPr>
        <w:t xml:space="preserve"> přímých offsetů </w:t>
      </w:r>
      <w:r>
        <w:rPr>
          <w:sz w:val="22"/>
          <w:szCs w:val="22"/>
        </w:rPr>
        <w:t xml:space="preserve">však </w:t>
      </w:r>
      <w:r w:rsidRPr="00EB5BB8">
        <w:rPr>
          <w:sz w:val="22"/>
          <w:szCs w:val="22"/>
        </w:rPr>
        <w:t>nedosáhl</w:t>
      </w:r>
      <w:r>
        <w:rPr>
          <w:sz w:val="22"/>
          <w:szCs w:val="22"/>
        </w:rPr>
        <w:t>o</w:t>
      </w:r>
      <w:r w:rsidRPr="00EB5BB8">
        <w:rPr>
          <w:sz w:val="22"/>
          <w:szCs w:val="22"/>
        </w:rPr>
        <w:t xml:space="preserve"> ke dni 31. 12. 2011 minimální výše 20 % </w:t>
      </w:r>
      <w:r>
        <w:rPr>
          <w:sz w:val="22"/>
          <w:szCs w:val="22"/>
        </w:rPr>
        <w:t xml:space="preserve">sjednané </w:t>
      </w:r>
      <w:r w:rsidRPr="00EB5BB8">
        <w:rPr>
          <w:sz w:val="22"/>
          <w:szCs w:val="22"/>
        </w:rPr>
        <w:t>hodnoty</w:t>
      </w:r>
      <w:r>
        <w:rPr>
          <w:sz w:val="22"/>
          <w:szCs w:val="22"/>
        </w:rPr>
        <w:t xml:space="preserve"> PPS</w:t>
      </w:r>
      <w:r w:rsidRPr="00EB5BB8">
        <w:rPr>
          <w:sz w:val="22"/>
          <w:szCs w:val="22"/>
        </w:rPr>
        <w:t xml:space="preserve">. Nejnižší míra plnění offsetového závazku </w:t>
      </w:r>
      <w:r>
        <w:rPr>
          <w:sz w:val="22"/>
          <w:szCs w:val="22"/>
        </w:rPr>
        <w:t xml:space="preserve">byla zjištěna </w:t>
      </w:r>
      <w:r w:rsidRPr="00EB5BB8">
        <w:rPr>
          <w:sz w:val="22"/>
          <w:szCs w:val="22"/>
        </w:rPr>
        <w:t xml:space="preserve">u </w:t>
      </w:r>
      <w:r w:rsidR="0052334B">
        <w:rPr>
          <w:sz w:val="22"/>
          <w:szCs w:val="22"/>
        </w:rPr>
        <w:t xml:space="preserve">programů </w:t>
      </w:r>
      <w:r w:rsidRPr="00EB5BB8">
        <w:rPr>
          <w:sz w:val="22"/>
          <w:szCs w:val="22"/>
        </w:rPr>
        <w:t>LOV</w:t>
      </w:r>
      <w:r w:rsidR="0052334B">
        <w:rPr>
          <w:sz w:val="22"/>
          <w:szCs w:val="22"/>
        </w:rPr>
        <w:t> </w:t>
      </w:r>
      <w:r w:rsidRPr="00EB5BB8">
        <w:rPr>
          <w:sz w:val="22"/>
          <w:szCs w:val="22"/>
        </w:rPr>
        <w:t>IVECO (12,5 %) a CASA (30,4 %)</w:t>
      </w:r>
      <w:r>
        <w:rPr>
          <w:sz w:val="22"/>
          <w:szCs w:val="22"/>
        </w:rPr>
        <w:t xml:space="preserve">, jedná se však o PPS zahájené </w:t>
      </w:r>
      <w:r w:rsidR="00AD4AF5">
        <w:rPr>
          <w:sz w:val="22"/>
          <w:szCs w:val="22"/>
        </w:rPr>
        <w:t xml:space="preserve">až </w:t>
      </w:r>
      <w:r>
        <w:rPr>
          <w:sz w:val="22"/>
          <w:szCs w:val="22"/>
        </w:rPr>
        <w:t xml:space="preserve">v roce 2009. </w:t>
      </w:r>
    </w:p>
    <w:p w14:paraId="3F25AB5E" w14:textId="77777777" w:rsidR="008B6476" w:rsidRDefault="008B6476" w:rsidP="0001442A">
      <w:pPr>
        <w:rPr>
          <w:b/>
          <w:sz w:val="20"/>
          <w:szCs w:val="20"/>
        </w:rPr>
      </w:pPr>
    </w:p>
    <w:p w14:paraId="3F25AB5F" w14:textId="77C4BF7C" w:rsidR="001C1C65" w:rsidRPr="0001442A" w:rsidRDefault="001C1C65" w:rsidP="0001442A">
      <w:pPr>
        <w:rPr>
          <w:sz w:val="22"/>
          <w:szCs w:val="22"/>
        </w:rPr>
      </w:pPr>
      <w:r w:rsidRPr="0001442A">
        <w:rPr>
          <w:b/>
          <w:sz w:val="22"/>
          <w:szCs w:val="22"/>
        </w:rPr>
        <w:t>Graf č. 1</w:t>
      </w:r>
      <w:r w:rsidR="0052334B">
        <w:rPr>
          <w:b/>
          <w:sz w:val="22"/>
          <w:szCs w:val="22"/>
        </w:rPr>
        <w:t xml:space="preserve"> –</w:t>
      </w:r>
      <w:r w:rsidR="0001442A" w:rsidRPr="0001442A">
        <w:rPr>
          <w:sz w:val="22"/>
          <w:szCs w:val="22"/>
        </w:rPr>
        <w:t xml:space="preserve"> </w:t>
      </w:r>
      <w:r w:rsidRPr="0001442A">
        <w:rPr>
          <w:b/>
          <w:sz w:val="22"/>
          <w:szCs w:val="22"/>
        </w:rPr>
        <w:t>Přehled plnění offsetových závazků u realizovaných PPS</w:t>
      </w:r>
      <w:r w:rsidRPr="0001442A">
        <w:rPr>
          <w:sz w:val="22"/>
          <w:szCs w:val="22"/>
        </w:rPr>
        <w:t xml:space="preserve"> </w:t>
      </w:r>
    </w:p>
    <w:p w14:paraId="3F25AB60" w14:textId="5491B6AC" w:rsidR="00EE680A" w:rsidRPr="001C1C65" w:rsidRDefault="00F320E5" w:rsidP="0001442A">
      <w:pPr>
        <w:spacing w:before="120" w:after="120"/>
        <w:jc w:val="both"/>
        <w:rPr>
          <w:sz w:val="22"/>
          <w:szCs w:val="22"/>
        </w:rPr>
      </w:pPr>
      <w:r>
        <w:rPr>
          <w:noProof/>
        </w:rPr>
        <w:drawing>
          <wp:inline distT="0" distB="0" distL="0" distR="0" wp14:anchorId="2C117B38" wp14:editId="18CB914B">
            <wp:extent cx="5761355" cy="266752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1355" cy="2667521"/>
                    </a:xfrm>
                    <a:prstGeom prst="rect">
                      <a:avLst/>
                    </a:prstGeom>
                  </pic:spPr>
                </pic:pic>
              </a:graphicData>
            </a:graphic>
          </wp:inline>
        </w:drawing>
      </w:r>
    </w:p>
    <w:p w14:paraId="3F25AB61" w14:textId="7014B479" w:rsidR="00700174" w:rsidRPr="0001442A" w:rsidRDefault="001C1C65" w:rsidP="0001442A">
      <w:pPr>
        <w:jc w:val="both"/>
        <w:rPr>
          <w:sz w:val="18"/>
          <w:szCs w:val="18"/>
        </w:rPr>
      </w:pPr>
      <w:r w:rsidRPr="0001442A">
        <w:rPr>
          <w:b/>
          <w:sz w:val="18"/>
          <w:szCs w:val="18"/>
        </w:rPr>
        <w:t>Zdroj:</w:t>
      </w:r>
      <w:r w:rsidRPr="0001442A">
        <w:rPr>
          <w:sz w:val="18"/>
          <w:szCs w:val="18"/>
        </w:rPr>
        <w:t xml:space="preserve"> </w:t>
      </w:r>
      <w:r w:rsidR="00295F12">
        <w:rPr>
          <w:sz w:val="18"/>
          <w:szCs w:val="18"/>
        </w:rPr>
        <w:t>d</w:t>
      </w:r>
      <w:r w:rsidRPr="0001442A">
        <w:rPr>
          <w:sz w:val="18"/>
          <w:szCs w:val="18"/>
        </w:rPr>
        <w:t>oklady MO, MV a MPO</w:t>
      </w:r>
      <w:r w:rsidR="00295F12">
        <w:rPr>
          <w:sz w:val="18"/>
          <w:szCs w:val="18"/>
        </w:rPr>
        <w:t xml:space="preserve"> </w:t>
      </w:r>
      <w:r w:rsidR="00295F12" w:rsidRPr="0001442A">
        <w:rPr>
          <w:sz w:val="18"/>
          <w:szCs w:val="18"/>
        </w:rPr>
        <w:t xml:space="preserve">předložené </w:t>
      </w:r>
      <w:r w:rsidR="00295F12">
        <w:rPr>
          <w:sz w:val="18"/>
          <w:szCs w:val="18"/>
        </w:rPr>
        <w:t>ke kontrole</w:t>
      </w:r>
      <w:r w:rsidRPr="0001442A">
        <w:rPr>
          <w:sz w:val="18"/>
          <w:szCs w:val="18"/>
        </w:rPr>
        <w:t>.</w:t>
      </w:r>
    </w:p>
    <w:p w14:paraId="3F25AB62" w14:textId="655C7BAB" w:rsidR="0005603B" w:rsidRDefault="0005603B" w:rsidP="0001442A">
      <w:pPr>
        <w:spacing w:before="60"/>
        <w:jc w:val="both"/>
        <w:rPr>
          <w:sz w:val="18"/>
          <w:szCs w:val="18"/>
        </w:rPr>
      </w:pPr>
      <w:r w:rsidRPr="0001442A">
        <w:rPr>
          <w:b/>
          <w:sz w:val="18"/>
          <w:szCs w:val="18"/>
        </w:rPr>
        <w:t>Pozn</w:t>
      </w:r>
      <w:r w:rsidR="00295F12">
        <w:rPr>
          <w:b/>
          <w:sz w:val="18"/>
          <w:szCs w:val="18"/>
        </w:rPr>
        <w:t>.</w:t>
      </w:r>
      <w:r w:rsidRPr="0001442A">
        <w:rPr>
          <w:b/>
          <w:sz w:val="18"/>
          <w:szCs w:val="18"/>
        </w:rPr>
        <w:t>:</w:t>
      </w:r>
      <w:r w:rsidRPr="0001442A">
        <w:rPr>
          <w:sz w:val="18"/>
          <w:szCs w:val="18"/>
        </w:rPr>
        <w:t xml:space="preserve"> Offsetov</w:t>
      </w:r>
      <w:r w:rsidR="00192985" w:rsidRPr="0001442A">
        <w:rPr>
          <w:sz w:val="18"/>
          <w:szCs w:val="18"/>
        </w:rPr>
        <w:t>é</w:t>
      </w:r>
      <w:r w:rsidRPr="0001442A">
        <w:rPr>
          <w:sz w:val="18"/>
          <w:szCs w:val="18"/>
        </w:rPr>
        <w:t xml:space="preserve"> závazk</w:t>
      </w:r>
      <w:r w:rsidR="00192985" w:rsidRPr="0001442A">
        <w:rPr>
          <w:sz w:val="18"/>
          <w:szCs w:val="18"/>
        </w:rPr>
        <w:t>y</w:t>
      </w:r>
      <w:r w:rsidRPr="0001442A">
        <w:rPr>
          <w:sz w:val="18"/>
          <w:szCs w:val="18"/>
        </w:rPr>
        <w:t xml:space="preserve"> vznik</w:t>
      </w:r>
      <w:r w:rsidR="00192985" w:rsidRPr="0001442A">
        <w:rPr>
          <w:sz w:val="18"/>
          <w:szCs w:val="18"/>
        </w:rPr>
        <w:t>ly</w:t>
      </w:r>
      <w:r w:rsidRPr="0001442A">
        <w:rPr>
          <w:sz w:val="18"/>
          <w:szCs w:val="18"/>
        </w:rPr>
        <w:t xml:space="preserve"> uzavřením kontrakt</w:t>
      </w:r>
      <w:r w:rsidR="00192985" w:rsidRPr="0001442A">
        <w:rPr>
          <w:sz w:val="18"/>
          <w:szCs w:val="18"/>
        </w:rPr>
        <w:t>ů</w:t>
      </w:r>
      <w:r w:rsidRPr="0001442A">
        <w:rPr>
          <w:sz w:val="18"/>
          <w:szCs w:val="18"/>
        </w:rPr>
        <w:t xml:space="preserve"> (veřejn</w:t>
      </w:r>
      <w:r w:rsidR="00192985" w:rsidRPr="0001442A">
        <w:rPr>
          <w:sz w:val="18"/>
          <w:szCs w:val="18"/>
        </w:rPr>
        <w:t>ých</w:t>
      </w:r>
      <w:r w:rsidRPr="0001442A">
        <w:rPr>
          <w:sz w:val="18"/>
          <w:szCs w:val="18"/>
        </w:rPr>
        <w:t xml:space="preserve"> zakáz</w:t>
      </w:r>
      <w:r w:rsidR="00192985" w:rsidRPr="0001442A">
        <w:rPr>
          <w:sz w:val="18"/>
          <w:szCs w:val="18"/>
        </w:rPr>
        <w:t>e</w:t>
      </w:r>
      <w:r w:rsidRPr="0001442A">
        <w:rPr>
          <w:sz w:val="18"/>
          <w:szCs w:val="18"/>
        </w:rPr>
        <w:t>k). Offsetov</w:t>
      </w:r>
      <w:r w:rsidR="00192985" w:rsidRPr="0001442A">
        <w:rPr>
          <w:sz w:val="18"/>
          <w:szCs w:val="18"/>
        </w:rPr>
        <w:t>é</w:t>
      </w:r>
      <w:r w:rsidRPr="0001442A">
        <w:rPr>
          <w:sz w:val="18"/>
          <w:szCs w:val="18"/>
        </w:rPr>
        <w:t xml:space="preserve"> dohod</w:t>
      </w:r>
      <w:r w:rsidR="00192985" w:rsidRPr="0001442A">
        <w:rPr>
          <w:sz w:val="18"/>
          <w:szCs w:val="18"/>
        </w:rPr>
        <w:t>y</w:t>
      </w:r>
      <w:r w:rsidRPr="0001442A">
        <w:rPr>
          <w:sz w:val="18"/>
          <w:szCs w:val="18"/>
        </w:rPr>
        <w:t xml:space="preserve"> byl</w:t>
      </w:r>
      <w:r w:rsidR="00192985" w:rsidRPr="0001442A">
        <w:rPr>
          <w:sz w:val="18"/>
          <w:szCs w:val="18"/>
        </w:rPr>
        <w:t>y</w:t>
      </w:r>
      <w:r w:rsidRPr="0001442A">
        <w:rPr>
          <w:sz w:val="18"/>
          <w:szCs w:val="18"/>
        </w:rPr>
        <w:t xml:space="preserve"> zpravidla rozhodujícím milníkem pro zahájení realizace PPS, pokud se nejednalo o předoffsety nebo OFT předkládané před uzavřením offsetové dohody.</w:t>
      </w:r>
      <w:r w:rsidR="0001442A" w:rsidRPr="0001442A">
        <w:rPr>
          <w:sz w:val="18"/>
          <w:szCs w:val="18"/>
        </w:rPr>
        <w:t xml:space="preserve"> </w:t>
      </w:r>
    </w:p>
    <w:p w14:paraId="3F25AB63" w14:textId="77777777" w:rsidR="0001442A" w:rsidRPr="0001442A" w:rsidRDefault="0001442A" w:rsidP="00DB37E6">
      <w:pPr>
        <w:jc w:val="both"/>
        <w:rPr>
          <w:sz w:val="18"/>
          <w:szCs w:val="18"/>
        </w:rPr>
      </w:pPr>
    </w:p>
    <w:p w14:paraId="3F25AB64" w14:textId="2BB87877" w:rsidR="0079610F" w:rsidRDefault="00623152" w:rsidP="00DB37E6">
      <w:pPr>
        <w:jc w:val="both"/>
        <w:rPr>
          <w:sz w:val="22"/>
          <w:szCs w:val="22"/>
        </w:rPr>
      </w:pPr>
      <w:r w:rsidRPr="00EB5BB8">
        <w:rPr>
          <w:sz w:val="22"/>
          <w:szCs w:val="22"/>
        </w:rPr>
        <w:lastRenderedPageBreak/>
        <w:t>Následující graf č. 2 zobrazuje plnění kontrolovaných PPS</w:t>
      </w:r>
      <w:r w:rsidR="00CE1904">
        <w:rPr>
          <w:sz w:val="22"/>
          <w:szCs w:val="22"/>
        </w:rPr>
        <w:t xml:space="preserve">. Uznané plnění offsetového závazku (šedý sloupec) je uvedeno </w:t>
      </w:r>
      <w:r w:rsidRPr="00EB5BB8">
        <w:rPr>
          <w:sz w:val="22"/>
          <w:szCs w:val="22"/>
        </w:rPr>
        <w:t>v absolutních číslech</w:t>
      </w:r>
      <w:r w:rsidR="00CE1904">
        <w:rPr>
          <w:sz w:val="22"/>
          <w:szCs w:val="22"/>
        </w:rPr>
        <w:t xml:space="preserve"> a porovnáno s</w:t>
      </w:r>
      <w:r w:rsidRPr="00EB5BB8">
        <w:rPr>
          <w:sz w:val="22"/>
          <w:szCs w:val="22"/>
        </w:rPr>
        <w:t> celkov</w:t>
      </w:r>
      <w:r w:rsidR="00CE1904">
        <w:rPr>
          <w:sz w:val="22"/>
          <w:szCs w:val="22"/>
        </w:rPr>
        <w:t>ou</w:t>
      </w:r>
      <w:r w:rsidRPr="00EB5BB8">
        <w:rPr>
          <w:sz w:val="22"/>
          <w:szCs w:val="22"/>
        </w:rPr>
        <w:t xml:space="preserve"> hodnot</w:t>
      </w:r>
      <w:r w:rsidR="00CE1904">
        <w:rPr>
          <w:sz w:val="22"/>
          <w:szCs w:val="22"/>
        </w:rPr>
        <w:t>ou</w:t>
      </w:r>
      <w:r w:rsidRPr="00EB5BB8">
        <w:rPr>
          <w:sz w:val="22"/>
          <w:szCs w:val="22"/>
        </w:rPr>
        <w:t xml:space="preserve"> offsetového závazku</w:t>
      </w:r>
      <w:r w:rsidR="00CE1904">
        <w:rPr>
          <w:sz w:val="22"/>
          <w:szCs w:val="22"/>
        </w:rPr>
        <w:t xml:space="preserve"> (červený sloupec)</w:t>
      </w:r>
      <w:r w:rsidRPr="00EB5BB8">
        <w:rPr>
          <w:sz w:val="22"/>
          <w:szCs w:val="22"/>
        </w:rPr>
        <w:t>.</w:t>
      </w:r>
      <w:r w:rsidR="008D5263">
        <w:rPr>
          <w:sz w:val="22"/>
          <w:szCs w:val="22"/>
        </w:rPr>
        <w:t xml:space="preserve"> </w:t>
      </w:r>
      <w:r w:rsidR="0079610F">
        <w:rPr>
          <w:sz w:val="22"/>
          <w:szCs w:val="22"/>
        </w:rPr>
        <w:t xml:space="preserve">Jak je z grafu zřejmé, PPS GRIPEN a PPS KOT PANDUR </w:t>
      </w:r>
      <w:r w:rsidR="00157D08">
        <w:rPr>
          <w:sz w:val="22"/>
          <w:szCs w:val="22"/>
        </w:rPr>
        <w:t xml:space="preserve">jsou </w:t>
      </w:r>
      <w:r w:rsidR="0079610F">
        <w:rPr>
          <w:sz w:val="22"/>
          <w:szCs w:val="22"/>
        </w:rPr>
        <w:t xml:space="preserve">offsetovými programy s nejvyšší offsetovým závazkem. Mezi PPS s nejnižším offsetovým závazkem patří PPS ATS TATRA a PPS RBS-70, u nichž </w:t>
      </w:r>
      <w:r w:rsidR="00967FC1">
        <w:rPr>
          <w:sz w:val="22"/>
          <w:szCs w:val="22"/>
        </w:rPr>
        <w:t xml:space="preserve">je </w:t>
      </w:r>
      <w:r w:rsidR="0079610F">
        <w:rPr>
          <w:sz w:val="22"/>
          <w:szCs w:val="22"/>
        </w:rPr>
        <w:t>výše offsetového závazku nižší než 1 mld. Kč</w:t>
      </w:r>
      <w:r w:rsidR="00405B0D">
        <w:rPr>
          <w:sz w:val="22"/>
          <w:szCs w:val="22"/>
        </w:rPr>
        <w:t>.</w:t>
      </w:r>
      <w:r w:rsidR="0079610F">
        <w:rPr>
          <w:sz w:val="22"/>
          <w:szCs w:val="22"/>
        </w:rPr>
        <w:t xml:space="preserve"> </w:t>
      </w:r>
    </w:p>
    <w:p w14:paraId="70A27B45" w14:textId="77777777" w:rsidR="006B5FBB" w:rsidRDefault="006B5FBB" w:rsidP="00DB37E6">
      <w:pPr>
        <w:jc w:val="both"/>
        <w:rPr>
          <w:sz w:val="22"/>
          <w:szCs w:val="22"/>
        </w:rPr>
      </w:pPr>
    </w:p>
    <w:p w14:paraId="3F25AB65" w14:textId="31ED93A6" w:rsidR="00623152" w:rsidRDefault="008D5263" w:rsidP="00DB37E6">
      <w:pPr>
        <w:jc w:val="both"/>
        <w:rPr>
          <w:sz w:val="22"/>
          <w:szCs w:val="22"/>
        </w:rPr>
      </w:pPr>
      <w:r>
        <w:rPr>
          <w:sz w:val="22"/>
          <w:szCs w:val="22"/>
        </w:rPr>
        <w:t xml:space="preserve">Obdobně jako u grafu č. 1 se jedná o hodnoty, které </w:t>
      </w:r>
      <w:r w:rsidR="00CE1904">
        <w:rPr>
          <w:sz w:val="22"/>
          <w:szCs w:val="22"/>
        </w:rPr>
        <w:t xml:space="preserve">byly </w:t>
      </w:r>
      <w:r>
        <w:rPr>
          <w:sz w:val="22"/>
          <w:szCs w:val="22"/>
        </w:rPr>
        <w:t>dokladovány kontrolovanými osobami</w:t>
      </w:r>
      <w:r w:rsidR="00CE1904">
        <w:rPr>
          <w:sz w:val="22"/>
          <w:szCs w:val="22"/>
        </w:rPr>
        <w:t xml:space="preserve"> odpovědnými za PPS.</w:t>
      </w:r>
      <w:r w:rsidR="0001442A">
        <w:rPr>
          <w:sz w:val="22"/>
          <w:szCs w:val="22"/>
        </w:rPr>
        <w:t xml:space="preserve"> </w:t>
      </w:r>
      <w:r w:rsidR="00CE1904">
        <w:rPr>
          <w:sz w:val="22"/>
          <w:szCs w:val="22"/>
        </w:rPr>
        <w:t>Z</w:t>
      </w:r>
      <w:r>
        <w:rPr>
          <w:sz w:val="22"/>
          <w:szCs w:val="22"/>
        </w:rPr>
        <w:t xml:space="preserve">jištění </w:t>
      </w:r>
      <w:r w:rsidR="00DE7C22">
        <w:rPr>
          <w:sz w:val="22"/>
          <w:szCs w:val="22"/>
        </w:rPr>
        <w:t xml:space="preserve">NKÚ, která </w:t>
      </w:r>
      <w:r w:rsidR="00594072">
        <w:rPr>
          <w:sz w:val="22"/>
          <w:szCs w:val="22"/>
        </w:rPr>
        <w:t xml:space="preserve">u některých PPS </w:t>
      </w:r>
      <w:r w:rsidR="00DE7C22">
        <w:rPr>
          <w:sz w:val="22"/>
          <w:szCs w:val="22"/>
        </w:rPr>
        <w:t>zpochybňují dosaženou míru plnění</w:t>
      </w:r>
      <w:r w:rsidR="00CE1904">
        <w:rPr>
          <w:sz w:val="22"/>
          <w:szCs w:val="22"/>
        </w:rPr>
        <w:t>,</w:t>
      </w:r>
      <w:r w:rsidR="0001442A">
        <w:rPr>
          <w:sz w:val="22"/>
          <w:szCs w:val="22"/>
        </w:rPr>
        <w:t xml:space="preserve"> </w:t>
      </w:r>
      <w:r w:rsidR="00CE1904">
        <w:rPr>
          <w:sz w:val="22"/>
          <w:szCs w:val="22"/>
        </w:rPr>
        <w:t>jsou</w:t>
      </w:r>
      <w:r w:rsidR="00967FC1">
        <w:rPr>
          <w:sz w:val="22"/>
          <w:szCs w:val="22"/>
        </w:rPr>
        <w:t xml:space="preserve"> blíže rozvedena</w:t>
      </w:r>
      <w:r w:rsidR="00DE7C22">
        <w:rPr>
          <w:sz w:val="22"/>
          <w:szCs w:val="22"/>
        </w:rPr>
        <w:t xml:space="preserve"> v kapitole 4</w:t>
      </w:r>
      <w:r w:rsidR="00B05741">
        <w:rPr>
          <w:sz w:val="22"/>
          <w:szCs w:val="22"/>
        </w:rPr>
        <w:t>.2</w:t>
      </w:r>
      <w:r w:rsidR="00DE7C22">
        <w:rPr>
          <w:sz w:val="22"/>
          <w:szCs w:val="22"/>
        </w:rPr>
        <w:t>.</w:t>
      </w:r>
      <w:r w:rsidR="0001442A">
        <w:rPr>
          <w:sz w:val="22"/>
          <w:szCs w:val="22"/>
        </w:rPr>
        <w:t xml:space="preserve"> </w:t>
      </w:r>
    </w:p>
    <w:p w14:paraId="3F25AB66" w14:textId="3B6C7D38" w:rsidR="005978E4" w:rsidRDefault="005978E4">
      <w:pPr>
        <w:rPr>
          <w:sz w:val="22"/>
          <w:szCs w:val="22"/>
        </w:rPr>
      </w:pPr>
    </w:p>
    <w:p w14:paraId="3F25AB71" w14:textId="566BB25C" w:rsidR="00F12834" w:rsidRPr="0001442A" w:rsidRDefault="00623152" w:rsidP="005F0E6A">
      <w:pPr>
        <w:spacing w:after="120"/>
        <w:jc w:val="both"/>
        <w:rPr>
          <w:sz w:val="22"/>
          <w:szCs w:val="22"/>
        </w:rPr>
      </w:pPr>
      <w:r w:rsidRPr="0001442A">
        <w:rPr>
          <w:b/>
          <w:sz w:val="22"/>
          <w:szCs w:val="22"/>
        </w:rPr>
        <w:t xml:space="preserve">Graf č. </w:t>
      </w:r>
      <w:r w:rsidRPr="00164A0F">
        <w:rPr>
          <w:b/>
          <w:sz w:val="22"/>
          <w:szCs w:val="22"/>
        </w:rPr>
        <w:t>2</w:t>
      </w:r>
      <w:r w:rsidR="0001442A" w:rsidRPr="00145B8A">
        <w:rPr>
          <w:b/>
          <w:sz w:val="22"/>
          <w:szCs w:val="22"/>
        </w:rPr>
        <w:t xml:space="preserve"> </w:t>
      </w:r>
      <w:r w:rsidR="00164A0F" w:rsidRPr="00145B8A">
        <w:rPr>
          <w:b/>
          <w:sz w:val="22"/>
          <w:szCs w:val="22"/>
        </w:rPr>
        <w:t xml:space="preserve">– </w:t>
      </w:r>
      <w:r w:rsidR="00F12834" w:rsidRPr="0001442A">
        <w:rPr>
          <w:b/>
          <w:sz w:val="22"/>
          <w:szCs w:val="22"/>
        </w:rPr>
        <w:t xml:space="preserve">Přehled </w:t>
      </w:r>
      <w:r w:rsidR="00CE1904" w:rsidRPr="0001442A">
        <w:rPr>
          <w:b/>
          <w:sz w:val="22"/>
          <w:szCs w:val="22"/>
        </w:rPr>
        <w:t xml:space="preserve">uznaného plnění </w:t>
      </w:r>
      <w:r w:rsidR="00F12834" w:rsidRPr="0001442A">
        <w:rPr>
          <w:b/>
          <w:sz w:val="22"/>
          <w:szCs w:val="22"/>
        </w:rPr>
        <w:t xml:space="preserve">PPS </w:t>
      </w:r>
      <w:r w:rsidR="00CE1904" w:rsidRPr="0001442A">
        <w:rPr>
          <w:b/>
          <w:sz w:val="22"/>
          <w:szCs w:val="22"/>
        </w:rPr>
        <w:t>v poměru k hodnotě offsetových závazků</w:t>
      </w:r>
      <w:r w:rsidR="0001442A" w:rsidRPr="0001442A">
        <w:rPr>
          <w:sz w:val="22"/>
          <w:szCs w:val="22"/>
        </w:rPr>
        <w:t xml:space="preserve"> </w:t>
      </w:r>
    </w:p>
    <w:p w14:paraId="3F25AB72" w14:textId="6BD196B3" w:rsidR="00E37998" w:rsidRDefault="00E179ED" w:rsidP="0001442A">
      <w:pPr>
        <w:jc w:val="both"/>
        <w:rPr>
          <w:sz w:val="20"/>
          <w:szCs w:val="20"/>
        </w:rPr>
      </w:pPr>
      <w:r>
        <w:rPr>
          <w:noProof/>
        </w:rPr>
        <w:drawing>
          <wp:inline distT="0" distB="0" distL="0" distR="0" wp14:anchorId="628F38BA" wp14:editId="122EE618">
            <wp:extent cx="5761355" cy="246661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1355" cy="2466615"/>
                    </a:xfrm>
                    <a:prstGeom prst="rect">
                      <a:avLst/>
                    </a:prstGeom>
                  </pic:spPr>
                </pic:pic>
              </a:graphicData>
            </a:graphic>
          </wp:inline>
        </w:drawing>
      </w:r>
    </w:p>
    <w:p w14:paraId="26B19EA3" w14:textId="77777777" w:rsidR="00ED284D" w:rsidRDefault="00ED284D" w:rsidP="0001442A">
      <w:pPr>
        <w:jc w:val="both"/>
        <w:rPr>
          <w:b/>
          <w:sz w:val="18"/>
          <w:szCs w:val="18"/>
        </w:rPr>
      </w:pPr>
    </w:p>
    <w:p w14:paraId="3F25AB74" w14:textId="7139C32D" w:rsidR="000079EA" w:rsidRPr="00635A29" w:rsidRDefault="000079EA" w:rsidP="0001442A">
      <w:pPr>
        <w:jc w:val="both"/>
        <w:rPr>
          <w:sz w:val="18"/>
          <w:szCs w:val="18"/>
        </w:rPr>
      </w:pPr>
      <w:r w:rsidRPr="00635A29">
        <w:rPr>
          <w:b/>
          <w:sz w:val="18"/>
          <w:szCs w:val="18"/>
        </w:rPr>
        <w:t>Zdroj:</w:t>
      </w:r>
      <w:r w:rsidRPr="00635A29">
        <w:rPr>
          <w:sz w:val="18"/>
          <w:szCs w:val="18"/>
        </w:rPr>
        <w:t xml:space="preserve"> </w:t>
      </w:r>
      <w:r w:rsidR="00967FC1">
        <w:rPr>
          <w:sz w:val="18"/>
          <w:szCs w:val="18"/>
        </w:rPr>
        <w:t>d</w:t>
      </w:r>
      <w:r w:rsidRPr="00635A29">
        <w:rPr>
          <w:sz w:val="18"/>
          <w:szCs w:val="18"/>
        </w:rPr>
        <w:t>oklady MO, MV a MPO</w:t>
      </w:r>
      <w:r w:rsidR="00967FC1">
        <w:rPr>
          <w:sz w:val="18"/>
          <w:szCs w:val="18"/>
        </w:rPr>
        <w:t xml:space="preserve"> </w:t>
      </w:r>
      <w:r w:rsidR="00967FC1" w:rsidRPr="00635A29">
        <w:rPr>
          <w:sz w:val="18"/>
          <w:szCs w:val="18"/>
        </w:rPr>
        <w:t xml:space="preserve">předložené </w:t>
      </w:r>
      <w:r w:rsidR="00967FC1">
        <w:rPr>
          <w:sz w:val="18"/>
          <w:szCs w:val="18"/>
        </w:rPr>
        <w:t>ke kontrole</w:t>
      </w:r>
      <w:r w:rsidRPr="00635A29">
        <w:rPr>
          <w:sz w:val="18"/>
          <w:szCs w:val="18"/>
        </w:rPr>
        <w:t>.</w:t>
      </w:r>
    </w:p>
    <w:p w14:paraId="3F25AB75" w14:textId="5001928E" w:rsidR="00DE7C22" w:rsidRPr="00635A29" w:rsidRDefault="00DE7C22" w:rsidP="0001442A">
      <w:pPr>
        <w:jc w:val="both"/>
        <w:rPr>
          <w:sz w:val="18"/>
          <w:szCs w:val="18"/>
        </w:rPr>
      </w:pPr>
      <w:r w:rsidRPr="00635A29">
        <w:rPr>
          <w:b/>
          <w:sz w:val="18"/>
          <w:szCs w:val="18"/>
        </w:rPr>
        <w:t>Pozn</w:t>
      </w:r>
      <w:r w:rsidR="00967FC1">
        <w:rPr>
          <w:b/>
          <w:sz w:val="18"/>
          <w:szCs w:val="18"/>
        </w:rPr>
        <w:t>.</w:t>
      </w:r>
      <w:r w:rsidRPr="00635A29">
        <w:rPr>
          <w:b/>
          <w:sz w:val="18"/>
          <w:szCs w:val="18"/>
        </w:rPr>
        <w:t>:</w:t>
      </w:r>
      <w:r w:rsidRPr="00635A29">
        <w:rPr>
          <w:sz w:val="18"/>
          <w:szCs w:val="18"/>
        </w:rPr>
        <w:t xml:space="preserve"> Hodnoty </w:t>
      </w:r>
      <w:r w:rsidR="007D3DBE" w:rsidRPr="00635A29">
        <w:rPr>
          <w:sz w:val="18"/>
          <w:szCs w:val="18"/>
        </w:rPr>
        <w:t xml:space="preserve">offsetových závazků </w:t>
      </w:r>
      <w:r w:rsidRPr="00635A29">
        <w:rPr>
          <w:sz w:val="18"/>
          <w:szCs w:val="18"/>
        </w:rPr>
        <w:t>a plněných OFT byly zaokrouhleny</w:t>
      </w:r>
      <w:r w:rsidR="00157D08" w:rsidRPr="00635A29">
        <w:rPr>
          <w:sz w:val="18"/>
          <w:szCs w:val="18"/>
        </w:rPr>
        <w:t xml:space="preserve"> na mil</w:t>
      </w:r>
      <w:r w:rsidR="0001251F" w:rsidRPr="00635A29">
        <w:rPr>
          <w:sz w:val="18"/>
          <w:szCs w:val="18"/>
        </w:rPr>
        <w:t>i</w:t>
      </w:r>
      <w:r w:rsidR="00157D08" w:rsidRPr="00635A29">
        <w:rPr>
          <w:sz w:val="18"/>
          <w:szCs w:val="18"/>
        </w:rPr>
        <w:t>ony Kč</w:t>
      </w:r>
      <w:r w:rsidRPr="00635A29">
        <w:rPr>
          <w:sz w:val="18"/>
          <w:szCs w:val="18"/>
        </w:rPr>
        <w:t>.</w:t>
      </w:r>
    </w:p>
    <w:p w14:paraId="3F25AB76" w14:textId="77777777" w:rsidR="00157D08" w:rsidRDefault="00157D08" w:rsidP="005F0E6A">
      <w:pPr>
        <w:pStyle w:val="Bn"/>
        <w:spacing w:before="0" w:line="240" w:lineRule="auto"/>
        <w:rPr>
          <w:lang w:eastAsia="en-US"/>
        </w:rPr>
      </w:pPr>
    </w:p>
    <w:p w14:paraId="3F25AB77" w14:textId="7020FE40" w:rsidR="00A32475" w:rsidRDefault="00A32475" w:rsidP="005F0E6A">
      <w:pPr>
        <w:pStyle w:val="Bn"/>
        <w:spacing w:before="0" w:line="240" w:lineRule="auto"/>
        <w:ind w:firstLine="0"/>
        <w:rPr>
          <w:lang w:eastAsia="en-US"/>
        </w:rPr>
      </w:pPr>
      <w:r w:rsidRPr="00A6744D">
        <w:rPr>
          <w:lang w:eastAsia="en-US"/>
        </w:rPr>
        <w:t xml:space="preserve">Plnění jednotlivých PPS bylo kontrolováno za celé období jejich trvání, resp. do 31. 12. 2011, neboť doklady k plnění PPS za rok 2012 </w:t>
      </w:r>
      <w:r w:rsidR="00967FC1">
        <w:rPr>
          <w:lang w:eastAsia="en-US"/>
        </w:rPr>
        <w:t>nebyly do ukončení kontroly</w:t>
      </w:r>
      <w:r w:rsidRPr="00A6744D">
        <w:rPr>
          <w:lang w:eastAsia="en-US"/>
        </w:rPr>
        <w:t xml:space="preserve"> k dispozici.</w:t>
      </w:r>
      <w:r w:rsidR="0001442A">
        <w:rPr>
          <w:lang w:eastAsia="en-US"/>
        </w:rPr>
        <w:t xml:space="preserve"> </w:t>
      </w:r>
    </w:p>
    <w:p w14:paraId="4C0C9C8B" w14:textId="77777777" w:rsidR="005F0E6A" w:rsidRDefault="005F0E6A" w:rsidP="005F0E6A">
      <w:pPr>
        <w:pStyle w:val="Bn"/>
        <w:spacing w:before="0" w:line="240" w:lineRule="auto"/>
        <w:ind w:firstLine="0"/>
        <w:rPr>
          <w:lang w:eastAsia="en-US"/>
        </w:rPr>
      </w:pPr>
    </w:p>
    <w:p w14:paraId="3F25AB78" w14:textId="5968D301" w:rsidR="00157D08" w:rsidRDefault="00157D08" w:rsidP="00145B8A">
      <w:pPr>
        <w:pStyle w:val="Bn"/>
        <w:spacing w:before="0" w:line="240" w:lineRule="auto"/>
        <w:ind w:firstLine="0"/>
        <w:rPr>
          <w:lang w:eastAsia="en-US"/>
        </w:rPr>
      </w:pPr>
      <w:r w:rsidRPr="00A6744D">
        <w:rPr>
          <w:lang w:eastAsia="en-US"/>
        </w:rPr>
        <w:t xml:space="preserve">PPS realizované u MO představují hodnotu offsetových závazků 55 255 mil. Kč. Z toho MO ke dni 31. 12. 2011 uznalo jako </w:t>
      </w:r>
      <w:r w:rsidR="00967FC1">
        <w:rPr>
          <w:lang w:eastAsia="en-US"/>
        </w:rPr>
        <w:t xml:space="preserve">splněný závazek </w:t>
      </w:r>
      <w:r w:rsidR="00967FC1" w:rsidRPr="00A6744D">
        <w:rPr>
          <w:lang w:eastAsia="en-US"/>
        </w:rPr>
        <w:t xml:space="preserve">hodnotu </w:t>
      </w:r>
      <w:r w:rsidRPr="00A6744D">
        <w:rPr>
          <w:lang w:eastAsia="en-US"/>
        </w:rPr>
        <w:t>plněn</w:t>
      </w:r>
      <w:r w:rsidR="00967FC1">
        <w:rPr>
          <w:lang w:eastAsia="en-US"/>
        </w:rPr>
        <w:t>í</w:t>
      </w:r>
      <w:r w:rsidRPr="00A6744D">
        <w:rPr>
          <w:lang w:eastAsia="en-US"/>
        </w:rPr>
        <w:t xml:space="preserve"> ve výši 40</w:t>
      </w:r>
      <w:r w:rsidR="0001442A">
        <w:rPr>
          <w:lang w:eastAsia="en-US"/>
        </w:rPr>
        <w:t> </w:t>
      </w:r>
      <w:r w:rsidRPr="00A6744D">
        <w:rPr>
          <w:lang w:eastAsia="en-US"/>
        </w:rPr>
        <w:t>712</w:t>
      </w:r>
      <w:r w:rsidR="0001442A">
        <w:rPr>
          <w:lang w:eastAsia="en-US"/>
        </w:rPr>
        <w:t> </w:t>
      </w:r>
      <w:r>
        <w:rPr>
          <w:lang w:eastAsia="en-US"/>
        </w:rPr>
        <w:t>mil.</w:t>
      </w:r>
      <w:r w:rsidR="0001442A">
        <w:rPr>
          <w:lang w:eastAsia="en-US"/>
        </w:rPr>
        <w:t> </w:t>
      </w:r>
      <w:r>
        <w:rPr>
          <w:lang w:eastAsia="en-US"/>
        </w:rPr>
        <w:t xml:space="preserve">Kč, přičemž předoffsetové transakce představují cca </w:t>
      </w:r>
      <w:r w:rsidRPr="00DE704C">
        <w:rPr>
          <w:lang w:eastAsia="en-US"/>
        </w:rPr>
        <w:t>40 %</w:t>
      </w:r>
      <w:r>
        <w:rPr>
          <w:lang w:eastAsia="en-US"/>
        </w:rPr>
        <w:t xml:space="preserve"> této hodnoty</w:t>
      </w:r>
      <w:r w:rsidR="001059CA">
        <w:rPr>
          <w:rStyle w:val="Znakapoznpodarou"/>
          <w:lang w:eastAsia="en-US"/>
        </w:rPr>
        <w:footnoteReference w:id="20"/>
      </w:r>
      <w:r>
        <w:rPr>
          <w:lang w:eastAsia="en-US"/>
        </w:rPr>
        <w:t>.</w:t>
      </w:r>
    </w:p>
    <w:p w14:paraId="1ADE5A1D" w14:textId="77777777" w:rsidR="005F0E6A" w:rsidRPr="00A6744D" w:rsidRDefault="005F0E6A" w:rsidP="00145B8A">
      <w:pPr>
        <w:pStyle w:val="Bn"/>
        <w:spacing w:before="0" w:line="240" w:lineRule="auto"/>
        <w:ind w:firstLine="0"/>
        <w:rPr>
          <w:lang w:eastAsia="en-US"/>
        </w:rPr>
      </w:pPr>
    </w:p>
    <w:p w14:paraId="3F25AB79" w14:textId="46B37893" w:rsidR="00DE7C22" w:rsidRDefault="00A32475" w:rsidP="00145B8A">
      <w:pPr>
        <w:pStyle w:val="Bn"/>
        <w:spacing w:before="0" w:line="240" w:lineRule="auto"/>
        <w:ind w:firstLine="0"/>
        <w:rPr>
          <w:lang w:eastAsia="en-US"/>
        </w:rPr>
      </w:pPr>
      <w:r w:rsidRPr="00A6744D">
        <w:rPr>
          <w:lang w:eastAsia="en-US"/>
        </w:rPr>
        <w:t xml:space="preserve">PPS realizované </w:t>
      </w:r>
      <w:r w:rsidR="00E105E8">
        <w:rPr>
          <w:lang w:eastAsia="en-US"/>
        </w:rPr>
        <w:t xml:space="preserve">u MV </w:t>
      </w:r>
      <w:r w:rsidRPr="00A6744D">
        <w:rPr>
          <w:lang w:eastAsia="en-US"/>
        </w:rPr>
        <w:t xml:space="preserve">představují hodnotu offsetových závazků </w:t>
      </w:r>
      <w:r w:rsidR="00427B91" w:rsidRPr="00A6744D">
        <w:rPr>
          <w:lang w:eastAsia="en-US"/>
        </w:rPr>
        <w:t>2 158</w:t>
      </w:r>
      <w:r w:rsidRPr="00A6744D">
        <w:rPr>
          <w:lang w:eastAsia="en-US"/>
        </w:rPr>
        <w:t xml:space="preserve"> mil. Kč. Z toho MV ke dni 31. 12. 201</w:t>
      </w:r>
      <w:r w:rsidR="00427B91" w:rsidRPr="00A6744D">
        <w:rPr>
          <w:lang w:eastAsia="en-US"/>
        </w:rPr>
        <w:t>0</w:t>
      </w:r>
      <w:r w:rsidRPr="00A6744D">
        <w:rPr>
          <w:lang w:eastAsia="en-US"/>
        </w:rPr>
        <w:t xml:space="preserve"> uznalo jako </w:t>
      </w:r>
      <w:r w:rsidR="00967FC1">
        <w:rPr>
          <w:lang w:eastAsia="en-US"/>
        </w:rPr>
        <w:t xml:space="preserve">splněný závazek </w:t>
      </w:r>
      <w:r w:rsidR="00967FC1" w:rsidRPr="00A6744D">
        <w:rPr>
          <w:lang w:eastAsia="en-US"/>
        </w:rPr>
        <w:t xml:space="preserve">hodnotu </w:t>
      </w:r>
      <w:r w:rsidRPr="00A6744D">
        <w:rPr>
          <w:lang w:eastAsia="en-US"/>
        </w:rPr>
        <w:t>plněn</w:t>
      </w:r>
      <w:r w:rsidR="00967FC1">
        <w:rPr>
          <w:lang w:eastAsia="en-US"/>
        </w:rPr>
        <w:t>í</w:t>
      </w:r>
      <w:r w:rsidRPr="00A6744D">
        <w:rPr>
          <w:lang w:eastAsia="en-US"/>
        </w:rPr>
        <w:t xml:space="preserve"> ve výši </w:t>
      </w:r>
      <w:r w:rsidR="00427B91" w:rsidRPr="00A6744D">
        <w:rPr>
          <w:lang w:eastAsia="en-US"/>
        </w:rPr>
        <w:t>2</w:t>
      </w:r>
      <w:r w:rsidR="00967FC1">
        <w:rPr>
          <w:lang w:eastAsia="en-US"/>
        </w:rPr>
        <w:t> </w:t>
      </w:r>
      <w:r w:rsidR="00427B91" w:rsidRPr="00A6744D">
        <w:rPr>
          <w:lang w:eastAsia="en-US"/>
        </w:rPr>
        <w:t>119</w:t>
      </w:r>
      <w:r w:rsidR="00967FC1">
        <w:rPr>
          <w:lang w:eastAsia="en-US"/>
        </w:rPr>
        <w:t> </w:t>
      </w:r>
      <w:r w:rsidRPr="00A6744D">
        <w:rPr>
          <w:lang w:eastAsia="en-US"/>
        </w:rPr>
        <w:t>mil.</w:t>
      </w:r>
      <w:r w:rsidR="00967FC1">
        <w:rPr>
          <w:lang w:eastAsia="en-US"/>
        </w:rPr>
        <w:t> </w:t>
      </w:r>
      <w:r w:rsidRPr="00A6744D">
        <w:rPr>
          <w:lang w:eastAsia="en-US"/>
        </w:rPr>
        <w:t>Kč.</w:t>
      </w:r>
      <w:r w:rsidR="00427B91" w:rsidRPr="00A6744D">
        <w:rPr>
          <w:lang w:eastAsia="en-US"/>
        </w:rPr>
        <w:t xml:space="preserve"> </w:t>
      </w:r>
      <w:r w:rsidR="00DE7C22" w:rsidRPr="00A6744D">
        <w:rPr>
          <w:lang w:eastAsia="en-US"/>
        </w:rPr>
        <w:t xml:space="preserve">Hodnoty plnění PPS PEGAS za rok 2011 </w:t>
      </w:r>
      <w:r w:rsidR="007D3DBE" w:rsidRPr="00A6744D">
        <w:rPr>
          <w:lang w:eastAsia="en-US"/>
        </w:rPr>
        <w:t xml:space="preserve">MV </w:t>
      </w:r>
      <w:r w:rsidR="00DE7C22" w:rsidRPr="00A6744D">
        <w:rPr>
          <w:lang w:eastAsia="en-US"/>
        </w:rPr>
        <w:t>do ukončení kontroly</w:t>
      </w:r>
      <w:r w:rsidR="007D3DBE" w:rsidRPr="00A6744D">
        <w:rPr>
          <w:rStyle w:val="Znakapoznpodarou"/>
          <w:lang w:eastAsia="en-US"/>
        </w:rPr>
        <w:footnoteReference w:id="21"/>
      </w:r>
      <w:r w:rsidR="00DE7C22" w:rsidRPr="00A6744D">
        <w:rPr>
          <w:lang w:eastAsia="en-US"/>
        </w:rPr>
        <w:t xml:space="preserve"> neschválilo.</w:t>
      </w:r>
    </w:p>
    <w:p w14:paraId="5F33C74D" w14:textId="77777777" w:rsidR="005F0E6A" w:rsidRPr="00A6744D" w:rsidRDefault="005F0E6A" w:rsidP="00145B8A">
      <w:pPr>
        <w:pStyle w:val="Bn"/>
        <w:spacing w:before="0" w:line="240" w:lineRule="auto"/>
        <w:ind w:firstLine="0"/>
        <w:rPr>
          <w:lang w:eastAsia="en-US"/>
        </w:rPr>
      </w:pPr>
    </w:p>
    <w:p w14:paraId="3F25AB7A" w14:textId="3F690EEC" w:rsidR="00A32475" w:rsidRDefault="00A32475" w:rsidP="00145B8A">
      <w:pPr>
        <w:pStyle w:val="Bn"/>
        <w:spacing w:before="0" w:line="240" w:lineRule="auto"/>
        <w:ind w:firstLine="0"/>
        <w:rPr>
          <w:b/>
          <w:lang w:eastAsia="en-US"/>
        </w:rPr>
      </w:pPr>
      <w:r w:rsidRPr="007C66B7">
        <w:rPr>
          <w:b/>
          <w:lang w:eastAsia="en-US"/>
        </w:rPr>
        <w:t>Celková hodnota offsetových závazků</w:t>
      </w:r>
      <w:r w:rsidR="00312BE4" w:rsidRPr="007C66B7">
        <w:rPr>
          <w:rStyle w:val="Znakapoznpodarou"/>
          <w:b/>
          <w:lang w:eastAsia="en-US"/>
        </w:rPr>
        <w:footnoteReference w:id="22"/>
      </w:r>
      <w:r w:rsidRPr="007C66B7">
        <w:rPr>
          <w:b/>
          <w:lang w:eastAsia="en-US"/>
        </w:rPr>
        <w:t xml:space="preserve"> činila </w:t>
      </w:r>
      <w:r w:rsidR="00CD2C08" w:rsidRPr="007C66B7">
        <w:rPr>
          <w:b/>
          <w:lang w:eastAsia="en-US"/>
        </w:rPr>
        <w:t xml:space="preserve">57 413 </w:t>
      </w:r>
      <w:r w:rsidRPr="007C66B7">
        <w:rPr>
          <w:b/>
          <w:lang w:eastAsia="en-US"/>
        </w:rPr>
        <w:t>mil. Kč</w:t>
      </w:r>
      <w:r w:rsidR="003D659F" w:rsidRPr="007C66B7">
        <w:rPr>
          <w:b/>
          <w:lang w:eastAsia="en-US"/>
        </w:rPr>
        <w:t>, z toho MV a MO uzna</w:t>
      </w:r>
      <w:r w:rsidR="00FA06F0">
        <w:rPr>
          <w:b/>
          <w:lang w:eastAsia="en-US"/>
        </w:rPr>
        <w:t>ly</w:t>
      </w:r>
      <w:r w:rsidR="003D659F" w:rsidRPr="007C66B7">
        <w:rPr>
          <w:b/>
          <w:lang w:eastAsia="en-US"/>
        </w:rPr>
        <w:t xml:space="preserve"> hodnot</w:t>
      </w:r>
      <w:r w:rsidR="00FA06F0">
        <w:rPr>
          <w:b/>
          <w:lang w:eastAsia="en-US"/>
        </w:rPr>
        <w:t>u</w:t>
      </w:r>
      <w:r w:rsidR="003D659F" w:rsidRPr="007C66B7">
        <w:rPr>
          <w:b/>
          <w:lang w:eastAsia="en-US"/>
        </w:rPr>
        <w:t xml:space="preserve"> plnění </w:t>
      </w:r>
      <w:r w:rsidR="00FA06F0">
        <w:rPr>
          <w:b/>
          <w:lang w:eastAsia="en-US"/>
        </w:rPr>
        <w:t>ve výši</w:t>
      </w:r>
      <w:r w:rsidR="003D659F" w:rsidRPr="007C66B7">
        <w:rPr>
          <w:b/>
          <w:lang w:eastAsia="en-US"/>
        </w:rPr>
        <w:t xml:space="preserve"> </w:t>
      </w:r>
      <w:r w:rsidR="00DE7C22" w:rsidRPr="007C66B7">
        <w:rPr>
          <w:b/>
          <w:lang w:eastAsia="en-US"/>
        </w:rPr>
        <w:t>celkem 42 831</w:t>
      </w:r>
      <w:r w:rsidR="003D659F" w:rsidRPr="007C66B7">
        <w:rPr>
          <w:b/>
          <w:lang w:eastAsia="en-US"/>
        </w:rPr>
        <w:t xml:space="preserve"> mil. Kč, tj. </w:t>
      </w:r>
      <w:r w:rsidR="00DE7C22" w:rsidRPr="007C66B7">
        <w:rPr>
          <w:b/>
          <w:lang w:eastAsia="en-US"/>
        </w:rPr>
        <w:t>74,6</w:t>
      </w:r>
      <w:r w:rsidR="003D659F" w:rsidRPr="007C66B7">
        <w:rPr>
          <w:b/>
          <w:lang w:eastAsia="en-US"/>
        </w:rPr>
        <w:t xml:space="preserve"> %</w:t>
      </w:r>
      <w:r w:rsidR="00E105E8">
        <w:rPr>
          <w:b/>
          <w:lang w:eastAsia="en-US"/>
        </w:rPr>
        <w:t>.</w:t>
      </w:r>
    </w:p>
    <w:p w14:paraId="6071BAB9" w14:textId="77777777" w:rsidR="005F0E6A" w:rsidRPr="007C66B7" w:rsidRDefault="005F0E6A" w:rsidP="00145B8A">
      <w:pPr>
        <w:pStyle w:val="Bn"/>
        <w:spacing w:before="0" w:line="240" w:lineRule="auto"/>
        <w:ind w:firstLine="0"/>
        <w:rPr>
          <w:b/>
          <w:lang w:eastAsia="en-US"/>
        </w:rPr>
      </w:pPr>
    </w:p>
    <w:p w14:paraId="3F25AB7B" w14:textId="4B0DC5D7" w:rsidR="00594072" w:rsidRDefault="00594072" w:rsidP="00145B8A">
      <w:pPr>
        <w:pStyle w:val="Bn"/>
        <w:spacing w:before="0" w:line="240" w:lineRule="auto"/>
        <w:ind w:firstLine="0"/>
        <w:rPr>
          <w:lang w:eastAsia="en-US"/>
        </w:rPr>
      </w:pPr>
      <w:r>
        <w:rPr>
          <w:lang w:eastAsia="en-US"/>
        </w:rPr>
        <w:t>NKÚ u</w:t>
      </w:r>
      <w:r w:rsidR="003D659F" w:rsidRPr="000079EA">
        <w:rPr>
          <w:lang w:eastAsia="en-US"/>
        </w:rPr>
        <w:t xml:space="preserve"> jednotlivých PPS</w:t>
      </w:r>
      <w:r w:rsidR="00A02910">
        <w:rPr>
          <w:lang w:eastAsia="en-US"/>
        </w:rPr>
        <w:t xml:space="preserve"> rovněž prověřoval</w:t>
      </w:r>
      <w:r>
        <w:rPr>
          <w:lang w:eastAsia="en-US"/>
        </w:rPr>
        <w:t xml:space="preserve">, zda a jak byly </w:t>
      </w:r>
      <w:r w:rsidR="00A02910">
        <w:rPr>
          <w:lang w:eastAsia="en-US"/>
        </w:rPr>
        <w:t xml:space="preserve">PPS </w:t>
      </w:r>
      <w:r>
        <w:rPr>
          <w:lang w:eastAsia="en-US"/>
        </w:rPr>
        <w:t xml:space="preserve">vyhodnoceny </w:t>
      </w:r>
      <w:r w:rsidR="00D920E5">
        <w:rPr>
          <w:lang w:eastAsia="en-US"/>
        </w:rPr>
        <w:t>s </w:t>
      </w:r>
      <w:r w:rsidR="003D659F" w:rsidRPr="000079EA">
        <w:rPr>
          <w:lang w:eastAsia="en-US"/>
        </w:rPr>
        <w:t>ohledem na</w:t>
      </w:r>
      <w:r w:rsidR="0021722D">
        <w:rPr>
          <w:lang w:eastAsia="en-US"/>
        </w:rPr>
        <w:t> </w:t>
      </w:r>
      <w:r w:rsidR="003D659F" w:rsidRPr="000079EA">
        <w:rPr>
          <w:lang w:eastAsia="en-US"/>
        </w:rPr>
        <w:t>nastavené cíle a priority</w:t>
      </w:r>
      <w:r w:rsidR="00192985">
        <w:rPr>
          <w:lang w:eastAsia="en-US"/>
        </w:rPr>
        <w:t xml:space="preserve"> offsetové politiky</w:t>
      </w:r>
      <w:r>
        <w:rPr>
          <w:lang w:eastAsia="en-US"/>
        </w:rPr>
        <w:t>, případně zda byly dosaženy očekávané přínosy.</w:t>
      </w:r>
      <w:r w:rsidR="003D659F" w:rsidRPr="000079EA">
        <w:rPr>
          <w:lang w:eastAsia="en-US"/>
        </w:rPr>
        <w:t xml:space="preserve"> </w:t>
      </w:r>
    </w:p>
    <w:p w14:paraId="06153EAD" w14:textId="77777777" w:rsidR="005F0E6A" w:rsidRDefault="005F0E6A" w:rsidP="00145B8A">
      <w:pPr>
        <w:pStyle w:val="Bn"/>
        <w:spacing w:before="0" w:line="240" w:lineRule="auto"/>
        <w:ind w:firstLine="0"/>
        <w:rPr>
          <w:lang w:eastAsia="en-US"/>
        </w:rPr>
      </w:pPr>
    </w:p>
    <w:p w14:paraId="3F25AB7C" w14:textId="5A28A696" w:rsidR="00192985" w:rsidRDefault="008468D0" w:rsidP="00145B8A">
      <w:pPr>
        <w:pStyle w:val="Bn"/>
        <w:spacing w:before="0" w:line="240" w:lineRule="auto"/>
        <w:ind w:firstLine="0"/>
      </w:pPr>
      <w:r w:rsidRPr="000079EA">
        <w:t>Zásady vytvářely rámec pro kontraktační jednání a vymezovaly základní priority a cíle PPS v širokém spektru odvětví</w:t>
      </w:r>
      <w:r>
        <w:t xml:space="preserve"> (např. transfer progresivních technologií, strojírenství, </w:t>
      </w:r>
      <w:r>
        <w:lastRenderedPageBreak/>
        <w:t>elektrotechnika, zahraniční investice a obchod, rozvoj malého a středního podnikání)</w:t>
      </w:r>
      <w:r w:rsidRPr="000079EA">
        <w:t>.</w:t>
      </w:r>
      <w:r>
        <w:t xml:space="preserve"> </w:t>
      </w:r>
      <w:r w:rsidR="00192985" w:rsidRPr="000079EA">
        <w:t>Za</w:t>
      </w:r>
      <w:r>
        <w:t> </w:t>
      </w:r>
      <w:r w:rsidR="00192985" w:rsidRPr="000079EA">
        <w:t>výklad příslušných zásad bylo odpovědné MPO.</w:t>
      </w:r>
      <w:r w:rsidR="00192985">
        <w:t xml:space="preserve"> </w:t>
      </w:r>
      <w:r w:rsidR="00192985" w:rsidRPr="000079EA">
        <w:t>Podmínky</w:t>
      </w:r>
      <w:r w:rsidR="00FA06F0">
        <w:t>,</w:t>
      </w:r>
      <w:r w:rsidR="00192985" w:rsidRPr="000079EA">
        <w:t xml:space="preserve"> včetně konkrétních priorit a</w:t>
      </w:r>
      <w:r w:rsidR="0001442A">
        <w:t> </w:t>
      </w:r>
      <w:r w:rsidR="00192985" w:rsidRPr="000079EA">
        <w:t>cílů</w:t>
      </w:r>
      <w:r w:rsidR="00431059">
        <w:t>,</w:t>
      </w:r>
      <w:r w:rsidR="00192985" w:rsidRPr="000079EA">
        <w:t xml:space="preserve"> byly formalizovány v uzavřených offsetových dohodách</w:t>
      </w:r>
      <w:r w:rsidR="00192985">
        <w:t xml:space="preserve"> v různé míře detailu, resp. obecnosti</w:t>
      </w:r>
      <w:r w:rsidR="00192985" w:rsidRPr="000079EA">
        <w:t>.</w:t>
      </w:r>
      <w:r w:rsidR="0001442A">
        <w:t xml:space="preserve"> </w:t>
      </w:r>
      <w:r w:rsidR="004D692F">
        <w:t xml:space="preserve">Závisely na výsledcích </w:t>
      </w:r>
      <w:r w:rsidRPr="0018422B">
        <w:t xml:space="preserve">kontraktačních jednání </w:t>
      </w:r>
      <w:r w:rsidRPr="000079EA">
        <w:t>MO a MV odrážející</w:t>
      </w:r>
      <w:r w:rsidR="004D692F">
        <w:t>ch</w:t>
      </w:r>
      <w:r w:rsidRPr="000079EA">
        <w:t xml:space="preserve"> snahu dodavatelů veřejných zakázek (případně nositelů offsetových závazků) získat co nejpříznivější podmínky pro plnění offsetových závazků</w:t>
      </w:r>
      <w:r>
        <w:t>.</w:t>
      </w:r>
      <w:r w:rsidR="0001442A">
        <w:t xml:space="preserve"> </w:t>
      </w:r>
      <w:r w:rsidR="00192985">
        <w:t xml:space="preserve">Jednotlivé </w:t>
      </w:r>
      <w:r w:rsidR="00192985" w:rsidRPr="000079EA">
        <w:t>offsetové dohody byly uzavírány za účinnosti různých Zásad, přičemž většina PPS byla smluvně zajištěna za účinnosti Zásad 2005. Žádn</w:t>
      </w:r>
      <w:r w:rsidR="00192985">
        <w:t xml:space="preserve">á z veřejných zakázek ani offsetových dohod nebyla smluvně zajištěna </w:t>
      </w:r>
      <w:r w:rsidR="00192985" w:rsidRPr="000079EA">
        <w:t xml:space="preserve">na </w:t>
      </w:r>
      <w:r w:rsidR="00FA06F0">
        <w:t>zá</w:t>
      </w:r>
      <w:r w:rsidR="00192985" w:rsidRPr="000079EA">
        <w:t>kladě</w:t>
      </w:r>
      <w:r w:rsidR="00192985">
        <w:t xml:space="preserve"> a za účinnosti</w:t>
      </w:r>
      <w:r w:rsidR="00192985" w:rsidRPr="000079EA">
        <w:t xml:space="preserve"> Zásad 2010.</w:t>
      </w:r>
      <w:r w:rsidR="0001442A">
        <w:t xml:space="preserve"> </w:t>
      </w:r>
    </w:p>
    <w:p w14:paraId="781222CC" w14:textId="77777777" w:rsidR="005F0E6A" w:rsidRPr="000079EA" w:rsidRDefault="005F0E6A" w:rsidP="00145B8A">
      <w:pPr>
        <w:pStyle w:val="Bn"/>
        <w:spacing w:before="0" w:line="240" w:lineRule="auto"/>
        <w:ind w:firstLine="0"/>
      </w:pPr>
    </w:p>
    <w:p w14:paraId="3F25AB7D" w14:textId="3334E143" w:rsidR="00192985" w:rsidRDefault="00192985" w:rsidP="00145B8A">
      <w:pPr>
        <w:pStyle w:val="Bn"/>
        <w:spacing w:before="0" w:line="240" w:lineRule="auto"/>
        <w:ind w:firstLine="0"/>
        <w:rPr>
          <w:b/>
        </w:rPr>
      </w:pPr>
      <w:r w:rsidRPr="009D5AEB">
        <w:rPr>
          <w:b/>
        </w:rPr>
        <w:t>N</w:t>
      </w:r>
      <w:r w:rsidR="00594072" w:rsidRPr="009D5AEB">
        <w:rPr>
          <w:b/>
        </w:rPr>
        <w:t xml:space="preserve">a úrovni MPO </w:t>
      </w:r>
      <w:r w:rsidRPr="009D5AEB">
        <w:rPr>
          <w:b/>
        </w:rPr>
        <w:t xml:space="preserve">nebylo </w:t>
      </w:r>
      <w:r w:rsidR="00594072" w:rsidRPr="009D5AEB">
        <w:rPr>
          <w:b/>
        </w:rPr>
        <w:t xml:space="preserve">vyhodnocováno, zda a v jaké míře dochází </w:t>
      </w:r>
      <w:r w:rsidR="00D920E5">
        <w:rPr>
          <w:b/>
        </w:rPr>
        <w:t>k </w:t>
      </w:r>
      <w:r w:rsidR="00594072" w:rsidRPr="009D5AEB">
        <w:rPr>
          <w:b/>
        </w:rPr>
        <w:t xml:space="preserve">plnění priorit a cílů </w:t>
      </w:r>
      <w:r w:rsidR="00F55042" w:rsidRPr="009D5AEB">
        <w:rPr>
          <w:b/>
        </w:rPr>
        <w:t>ve vytyčených oblastech hospodářs</w:t>
      </w:r>
      <w:r w:rsidR="00877D68" w:rsidRPr="009D5AEB">
        <w:rPr>
          <w:b/>
        </w:rPr>
        <w:t>ké a průmyslové politiky</w:t>
      </w:r>
      <w:r w:rsidR="00FA06F0">
        <w:rPr>
          <w:b/>
        </w:rPr>
        <w:t>,</w:t>
      </w:r>
      <w:r w:rsidR="00F55042" w:rsidRPr="009D5AEB">
        <w:rPr>
          <w:b/>
        </w:rPr>
        <w:t xml:space="preserve"> případně i s ohledem na konkrétní vládní strategie a koncepce.</w:t>
      </w:r>
      <w:r w:rsidR="00594072" w:rsidRPr="009D5AEB">
        <w:rPr>
          <w:b/>
        </w:rPr>
        <w:t xml:space="preserve"> </w:t>
      </w:r>
      <w:r w:rsidR="00CB07B7" w:rsidRPr="009D5AEB">
        <w:rPr>
          <w:b/>
        </w:rPr>
        <w:t>MPO přínosy offsetových programů nevyhodnocovalo a při kontrole nijak nedoložilo, do jaké míry byly cíle a priority PPS naplňovány</w:t>
      </w:r>
      <w:r w:rsidR="000079EA" w:rsidRPr="009D5AEB">
        <w:rPr>
          <w:b/>
        </w:rPr>
        <w:t xml:space="preserve"> v jednotlivých odvětvích průmyslu.</w:t>
      </w:r>
      <w:r w:rsidR="0001442A">
        <w:rPr>
          <w:b/>
        </w:rPr>
        <w:t xml:space="preserve"> </w:t>
      </w:r>
    </w:p>
    <w:p w14:paraId="6ACDF5E6" w14:textId="77777777" w:rsidR="005F0E6A" w:rsidRPr="009D5AEB" w:rsidRDefault="005F0E6A" w:rsidP="00145B8A">
      <w:pPr>
        <w:pStyle w:val="Bn"/>
        <w:spacing w:before="0" w:line="240" w:lineRule="auto"/>
        <w:ind w:firstLine="0"/>
        <w:rPr>
          <w:b/>
        </w:rPr>
      </w:pPr>
    </w:p>
    <w:p w14:paraId="3F25AB7E" w14:textId="3A1C68AD" w:rsidR="000079EA" w:rsidRDefault="00192985" w:rsidP="00145B8A">
      <w:pPr>
        <w:pStyle w:val="Bn"/>
        <w:spacing w:before="0" w:line="240" w:lineRule="auto"/>
        <w:ind w:firstLine="0"/>
      </w:pPr>
      <w:r w:rsidRPr="009D5AEB">
        <w:rPr>
          <w:b/>
        </w:rPr>
        <w:t>Na žádném ze zasedání OFK nebyly projednávány celkové přínosy českým ekonomickým zájmů</w:t>
      </w:r>
      <w:r w:rsidR="00FA06F0">
        <w:rPr>
          <w:b/>
        </w:rPr>
        <w:t>m</w:t>
      </w:r>
      <w:r w:rsidRPr="009D5AEB">
        <w:rPr>
          <w:b/>
        </w:rPr>
        <w:t xml:space="preserve"> souhrnně za</w:t>
      </w:r>
      <w:r w:rsidR="007418C1">
        <w:rPr>
          <w:b/>
        </w:rPr>
        <w:t xml:space="preserve"> </w:t>
      </w:r>
      <w:r w:rsidRPr="009D5AEB">
        <w:rPr>
          <w:b/>
        </w:rPr>
        <w:t>všechny realizované PPS, nebo alespoň k určitým mezníkům.</w:t>
      </w:r>
      <w:r>
        <w:t xml:space="preserve"> </w:t>
      </w:r>
      <w:r w:rsidR="00F55042" w:rsidRPr="000079EA">
        <w:t xml:space="preserve">Pokud byly </w:t>
      </w:r>
      <w:r w:rsidR="00F55042">
        <w:t>přínosy</w:t>
      </w:r>
      <w:r w:rsidR="008A454A">
        <w:t xml:space="preserve"> </w:t>
      </w:r>
      <w:r w:rsidR="00F55042" w:rsidRPr="000079EA">
        <w:t>projednávány</w:t>
      </w:r>
      <w:r w:rsidR="00A02910">
        <w:t>,</w:t>
      </w:r>
      <w:r w:rsidR="008A454A">
        <w:t xml:space="preserve"> jednalo se o předpoklady a budoucí odhady v souvislosti s akceptací</w:t>
      </w:r>
      <w:r w:rsidR="00F55042" w:rsidRPr="000079EA">
        <w:t> předkládaný</w:t>
      </w:r>
      <w:r w:rsidR="008A454A">
        <w:t>ch</w:t>
      </w:r>
      <w:r w:rsidR="00F55042" w:rsidRPr="000079EA">
        <w:t xml:space="preserve"> návrh</w:t>
      </w:r>
      <w:r w:rsidR="008A454A">
        <w:t>ů</w:t>
      </w:r>
      <w:r w:rsidR="00F55042" w:rsidRPr="000079EA">
        <w:t xml:space="preserve"> (projektů) OFT.</w:t>
      </w:r>
      <w:r w:rsidR="008A454A">
        <w:t xml:space="preserve"> </w:t>
      </w:r>
      <w:r w:rsidR="000079EA" w:rsidRPr="000079EA">
        <w:t>Obecné informace o</w:t>
      </w:r>
      <w:r w:rsidR="008A454A">
        <w:t> </w:t>
      </w:r>
      <w:r w:rsidR="000079EA" w:rsidRPr="000079EA">
        <w:t>realizac</w:t>
      </w:r>
      <w:r w:rsidR="004B44DF">
        <w:t>i</w:t>
      </w:r>
      <w:r w:rsidR="000079EA" w:rsidRPr="000079EA">
        <w:t xml:space="preserve"> offsetových programů byly součástí</w:t>
      </w:r>
      <w:r w:rsidR="0001442A">
        <w:t xml:space="preserve"> </w:t>
      </w:r>
      <w:r w:rsidR="000079EA" w:rsidRPr="000079EA">
        <w:t xml:space="preserve">předkládacích zpráv k úpravě </w:t>
      </w:r>
      <w:r w:rsidR="000079EA">
        <w:t xml:space="preserve">a způsobu uplatňování </w:t>
      </w:r>
      <w:r w:rsidR="000079EA" w:rsidRPr="000079EA">
        <w:t>Zásad.</w:t>
      </w:r>
      <w:r w:rsidR="0001442A">
        <w:t xml:space="preserve"> </w:t>
      </w:r>
    </w:p>
    <w:p w14:paraId="7A5F7A41" w14:textId="77777777" w:rsidR="005F0E6A" w:rsidRDefault="005F0E6A" w:rsidP="00145B8A">
      <w:pPr>
        <w:pStyle w:val="Bn"/>
        <w:spacing w:before="0" w:line="240" w:lineRule="auto"/>
        <w:ind w:firstLine="0"/>
      </w:pPr>
    </w:p>
    <w:p w14:paraId="3F25AB7F" w14:textId="5C290BFA" w:rsidR="000079EA" w:rsidRDefault="000079EA" w:rsidP="00145B8A">
      <w:pPr>
        <w:jc w:val="both"/>
        <w:rPr>
          <w:sz w:val="22"/>
          <w:szCs w:val="22"/>
        </w:rPr>
      </w:pPr>
      <w:r w:rsidRPr="00E105E8">
        <w:rPr>
          <w:b/>
          <w:sz w:val="22"/>
          <w:szCs w:val="22"/>
        </w:rPr>
        <w:t xml:space="preserve">Vyhodnocování plnění cílů a priorit PPS bylo v podstatě redukováno na vykazování hodnot plnění offsetových transakcí, případně </w:t>
      </w:r>
      <w:r w:rsidR="007418C1">
        <w:rPr>
          <w:b/>
          <w:sz w:val="22"/>
          <w:szCs w:val="22"/>
        </w:rPr>
        <w:t xml:space="preserve">na vykazování </w:t>
      </w:r>
      <w:r w:rsidRPr="00E105E8">
        <w:rPr>
          <w:b/>
          <w:sz w:val="22"/>
          <w:szCs w:val="22"/>
        </w:rPr>
        <w:t xml:space="preserve">dílčích parametrů PPS (mezníků), pokud tyto byly nastaveny, a konečných dosažených hodnot PPS. </w:t>
      </w:r>
      <w:r w:rsidRPr="00E105E8">
        <w:rPr>
          <w:sz w:val="22"/>
          <w:szCs w:val="22"/>
        </w:rPr>
        <w:t>Tyto informace v souhrnné podobě zpravidla předklád</w:t>
      </w:r>
      <w:r w:rsidR="00877D68" w:rsidRPr="00E105E8">
        <w:rPr>
          <w:sz w:val="22"/>
          <w:szCs w:val="22"/>
        </w:rPr>
        <w:t>aly</w:t>
      </w:r>
      <w:r w:rsidRPr="00E105E8">
        <w:rPr>
          <w:sz w:val="22"/>
          <w:szCs w:val="22"/>
        </w:rPr>
        <w:t xml:space="preserve"> MO a MV na</w:t>
      </w:r>
      <w:r w:rsidR="00877D68" w:rsidRPr="00E105E8">
        <w:rPr>
          <w:sz w:val="22"/>
          <w:szCs w:val="22"/>
        </w:rPr>
        <w:t> </w:t>
      </w:r>
      <w:r w:rsidR="007954EB" w:rsidRPr="00E105E8">
        <w:rPr>
          <w:sz w:val="22"/>
          <w:szCs w:val="22"/>
        </w:rPr>
        <w:t>zasedání</w:t>
      </w:r>
      <w:r w:rsidRPr="00E105E8">
        <w:rPr>
          <w:sz w:val="22"/>
          <w:szCs w:val="22"/>
        </w:rPr>
        <w:t xml:space="preserve"> </w:t>
      </w:r>
      <w:r w:rsidR="007954EB" w:rsidRPr="00E105E8">
        <w:rPr>
          <w:sz w:val="22"/>
          <w:szCs w:val="22"/>
        </w:rPr>
        <w:t>OFK</w:t>
      </w:r>
      <w:r w:rsidR="00877D68" w:rsidRPr="00E105E8">
        <w:rPr>
          <w:sz w:val="22"/>
          <w:szCs w:val="22"/>
        </w:rPr>
        <w:t xml:space="preserve"> k projednání</w:t>
      </w:r>
      <w:r w:rsidR="007954EB" w:rsidRPr="00E105E8">
        <w:rPr>
          <w:sz w:val="22"/>
          <w:szCs w:val="22"/>
        </w:rPr>
        <w:t xml:space="preserve">. </w:t>
      </w:r>
      <w:r w:rsidRPr="00E105E8">
        <w:rPr>
          <w:sz w:val="22"/>
          <w:szCs w:val="22"/>
        </w:rPr>
        <w:t>Míru plnění priorit a cílů offsetové politiky prostředn</w:t>
      </w:r>
      <w:r w:rsidR="008A454A" w:rsidRPr="00E105E8">
        <w:rPr>
          <w:sz w:val="22"/>
          <w:szCs w:val="22"/>
        </w:rPr>
        <w:t>ictvím PPS</w:t>
      </w:r>
      <w:r w:rsidR="00877D68" w:rsidRPr="00E105E8">
        <w:rPr>
          <w:sz w:val="22"/>
          <w:szCs w:val="22"/>
        </w:rPr>
        <w:t xml:space="preserve"> a ekonomické přínosy</w:t>
      </w:r>
      <w:r w:rsidR="007418C1">
        <w:rPr>
          <w:sz w:val="22"/>
          <w:szCs w:val="22"/>
        </w:rPr>
        <w:t xml:space="preserve"> dosažené pomocí realizace těchto programů</w:t>
      </w:r>
      <w:r w:rsidR="00877D68" w:rsidRPr="00E105E8">
        <w:rPr>
          <w:sz w:val="22"/>
          <w:szCs w:val="22"/>
        </w:rPr>
        <w:t xml:space="preserve"> nebylo </w:t>
      </w:r>
      <w:r w:rsidR="008A454A" w:rsidRPr="00E105E8">
        <w:rPr>
          <w:sz w:val="22"/>
          <w:szCs w:val="22"/>
        </w:rPr>
        <w:t>možné vyhodnotit.</w:t>
      </w:r>
      <w:r w:rsidR="0001442A" w:rsidRPr="00E105E8">
        <w:rPr>
          <w:sz w:val="22"/>
          <w:szCs w:val="22"/>
        </w:rPr>
        <w:t xml:space="preserve"> </w:t>
      </w:r>
      <w:r w:rsidR="008A454A" w:rsidRPr="00E105E8">
        <w:rPr>
          <w:sz w:val="22"/>
          <w:szCs w:val="22"/>
        </w:rPr>
        <w:t xml:space="preserve"> </w:t>
      </w:r>
    </w:p>
    <w:p w14:paraId="3BE1F9A3" w14:textId="77777777" w:rsidR="005F0E6A" w:rsidRPr="00E105E8" w:rsidRDefault="005F0E6A" w:rsidP="00145B8A">
      <w:pPr>
        <w:jc w:val="both"/>
        <w:rPr>
          <w:sz w:val="22"/>
          <w:szCs w:val="22"/>
        </w:rPr>
      </w:pPr>
    </w:p>
    <w:p w14:paraId="3F25AB80" w14:textId="1E4182AE" w:rsidR="00D14707" w:rsidRPr="0001442A" w:rsidRDefault="00773C7A" w:rsidP="004909FE">
      <w:pPr>
        <w:pStyle w:val="Nadpis2"/>
        <w:spacing w:before="0"/>
        <w:rPr>
          <w:sz w:val="22"/>
          <w:szCs w:val="22"/>
        </w:rPr>
      </w:pPr>
      <w:r>
        <w:rPr>
          <w:sz w:val="22"/>
          <w:szCs w:val="22"/>
        </w:rPr>
        <w:t xml:space="preserve">3. </w:t>
      </w:r>
      <w:r w:rsidR="00490600" w:rsidRPr="0001442A">
        <w:rPr>
          <w:sz w:val="22"/>
          <w:szCs w:val="22"/>
        </w:rPr>
        <w:t>Organizační zabezpečení</w:t>
      </w:r>
      <w:r w:rsidR="0022438B" w:rsidRPr="0001442A">
        <w:rPr>
          <w:sz w:val="22"/>
          <w:szCs w:val="22"/>
        </w:rPr>
        <w:t xml:space="preserve"> </w:t>
      </w:r>
      <w:r w:rsidR="00490600" w:rsidRPr="0001442A">
        <w:rPr>
          <w:sz w:val="22"/>
          <w:szCs w:val="22"/>
        </w:rPr>
        <w:t xml:space="preserve">a </w:t>
      </w:r>
      <w:r w:rsidR="007954EB" w:rsidRPr="0001442A">
        <w:rPr>
          <w:sz w:val="22"/>
          <w:szCs w:val="22"/>
        </w:rPr>
        <w:t>správa offsetových aktivit</w:t>
      </w:r>
    </w:p>
    <w:p w14:paraId="3F25AB81" w14:textId="77777777" w:rsidR="00934DBA" w:rsidRPr="003A3237" w:rsidRDefault="00934DBA" w:rsidP="004909FE">
      <w:pPr>
        <w:autoSpaceDE w:val="0"/>
        <w:autoSpaceDN w:val="0"/>
        <w:adjustRightInd w:val="0"/>
        <w:jc w:val="both"/>
        <w:rPr>
          <w:rFonts w:cs="Arial"/>
          <w:sz w:val="22"/>
          <w:szCs w:val="22"/>
        </w:rPr>
      </w:pPr>
      <w:r w:rsidRPr="003A3237">
        <w:rPr>
          <w:rFonts w:cs="Arial"/>
          <w:sz w:val="22"/>
          <w:szCs w:val="22"/>
        </w:rPr>
        <w:t xml:space="preserve">Ministr průmyslu a obchodu </w:t>
      </w:r>
      <w:r w:rsidR="00D92DE0" w:rsidRPr="003A3237">
        <w:rPr>
          <w:rFonts w:cs="Arial"/>
          <w:sz w:val="22"/>
          <w:szCs w:val="22"/>
        </w:rPr>
        <w:t>byl na základě příslušných usnesení vlády pověřen zajišťováním metodické činnosti</w:t>
      </w:r>
      <w:r w:rsidRPr="003A3237">
        <w:rPr>
          <w:rFonts w:cs="Arial"/>
          <w:sz w:val="22"/>
          <w:szCs w:val="22"/>
        </w:rPr>
        <w:t xml:space="preserve"> a dalších aktivit souvisejících s přípravou a hodnocením programů průmyslové spolupráce v souladu se Zásadami.</w:t>
      </w:r>
    </w:p>
    <w:p w14:paraId="6732BCF3" w14:textId="77777777" w:rsidR="005F0E6A" w:rsidRDefault="005F0E6A" w:rsidP="004909FE">
      <w:pPr>
        <w:tabs>
          <w:tab w:val="left" w:pos="284"/>
        </w:tabs>
        <w:jc w:val="both"/>
        <w:rPr>
          <w:rFonts w:cs="Arial"/>
          <w:sz w:val="22"/>
          <w:szCs w:val="22"/>
        </w:rPr>
      </w:pPr>
    </w:p>
    <w:p w14:paraId="3F25AB82" w14:textId="77777777" w:rsidR="00B151E0" w:rsidRDefault="00934DBA" w:rsidP="004909FE">
      <w:pPr>
        <w:tabs>
          <w:tab w:val="left" w:pos="284"/>
        </w:tabs>
        <w:jc w:val="both"/>
        <w:rPr>
          <w:rFonts w:cs="Arial"/>
          <w:sz w:val="22"/>
          <w:szCs w:val="22"/>
        </w:rPr>
      </w:pPr>
      <w:r w:rsidRPr="003A3237">
        <w:rPr>
          <w:rFonts w:cs="Arial"/>
          <w:sz w:val="22"/>
          <w:szCs w:val="22"/>
        </w:rPr>
        <w:t>Zřízení</w:t>
      </w:r>
      <w:r w:rsidR="00655475">
        <w:rPr>
          <w:rFonts w:cs="Arial"/>
          <w:sz w:val="22"/>
          <w:szCs w:val="22"/>
        </w:rPr>
        <w:t>m</w:t>
      </w:r>
      <w:r w:rsidRPr="003A3237">
        <w:rPr>
          <w:rFonts w:cs="Arial"/>
          <w:sz w:val="22"/>
          <w:szCs w:val="22"/>
        </w:rPr>
        <w:t xml:space="preserve"> OFK jako meziresortní komise bylo </w:t>
      </w:r>
      <w:r w:rsidR="00655475">
        <w:rPr>
          <w:rFonts w:cs="Arial"/>
          <w:sz w:val="22"/>
          <w:szCs w:val="22"/>
        </w:rPr>
        <w:t xml:space="preserve">pověřeno </w:t>
      </w:r>
      <w:r w:rsidRPr="003A3237">
        <w:rPr>
          <w:rFonts w:cs="Arial"/>
          <w:sz w:val="22"/>
          <w:szCs w:val="22"/>
        </w:rPr>
        <w:t>MPO</w:t>
      </w:r>
      <w:r w:rsidR="00655475">
        <w:rPr>
          <w:rFonts w:cs="Arial"/>
          <w:sz w:val="22"/>
          <w:szCs w:val="22"/>
        </w:rPr>
        <w:t>,</w:t>
      </w:r>
      <w:r w:rsidRPr="003A3237">
        <w:rPr>
          <w:rFonts w:cs="Arial"/>
          <w:sz w:val="22"/>
          <w:szCs w:val="22"/>
        </w:rPr>
        <w:t xml:space="preserve"> včetně </w:t>
      </w:r>
      <w:r w:rsidR="00655475">
        <w:rPr>
          <w:rFonts w:cs="Arial"/>
          <w:sz w:val="22"/>
          <w:szCs w:val="22"/>
        </w:rPr>
        <w:t xml:space="preserve">přípravy jejího </w:t>
      </w:r>
      <w:r w:rsidRPr="003A3237">
        <w:rPr>
          <w:rFonts w:cs="Arial"/>
          <w:sz w:val="22"/>
          <w:szCs w:val="22"/>
        </w:rPr>
        <w:t>statutu a</w:t>
      </w:r>
      <w:r w:rsidR="00A77368">
        <w:rPr>
          <w:rFonts w:cs="Arial"/>
          <w:sz w:val="22"/>
          <w:szCs w:val="22"/>
        </w:rPr>
        <w:t> </w:t>
      </w:r>
      <w:r w:rsidRPr="003A3237">
        <w:rPr>
          <w:rFonts w:cs="Arial"/>
          <w:sz w:val="22"/>
          <w:szCs w:val="22"/>
        </w:rPr>
        <w:t>jednacího řádu.</w:t>
      </w:r>
      <w:r w:rsidRPr="003A3237">
        <w:rPr>
          <w:rStyle w:val="Znakapoznpodarou"/>
          <w:rFonts w:cs="Arial"/>
          <w:sz w:val="22"/>
          <w:szCs w:val="22"/>
        </w:rPr>
        <w:footnoteReference w:id="23"/>
      </w:r>
      <w:r w:rsidRPr="003A3237">
        <w:rPr>
          <w:rFonts w:cs="Arial"/>
          <w:sz w:val="22"/>
          <w:szCs w:val="22"/>
        </w:rPr>
        <w:t xml:space="preserve"> Úkoly OFK se v jednotlivých obdobích offsetové politiky </w:t>
      </w:r>
      <w:r w:rsidR="00B36BFB" w:rsidRPr="003A3237">
        <w:rPr>
          <w:rFonts w:cs="Arial"/>
          <w:sz w:val="22"/>
          <w:szCs w:val="22"/>
        </w:rPr>
        <w:t xml:space="preserve">v některých oblastech </w:t>
      </w:r>
      <w:r w:rsidRPr="003A3237">
        <w:rPr>
          <w:rFonts w:cs="Arial"/>
          <w:sz w:val="22"/>
          <w:szCs w:val="22"/>
        </w:rPr>
        <w:t>lišily.</w:t>
      </w:r>
      <w:r w:rsidR="00E35413" w:rsidRPr="0042428B">
        <w:rPr>
          <w:rFonts w:cs="Arial"/>
          <w:sz w:val="22"/>
          <w:szCs w:val="22"/>
        </w:rPr>
        <w:t xml:space="preserve"> </w:t>
      </w:r>
      <w:r w:rsidR="00AC070F" w:rsidRPr="00AD756C">
        <w:rPr>
          <w:rFonts w:cs="Arial"/>
          <w:sz w:val="22"/>
          <w:szCs w:val="22"/>
        </w:rPr>
        <w:t xml:space="preserve">Přijetí </w:t>
      </w:r>
      <w:r w:rsidR="00AA201A">
        <w:rPr>
          <w:rFonts w:cs="Arial"/>
          <w:sz w:val="22"/>
          <w:szCs w:val="22"/>
        </w:rPr>
        <w:t xml:space="preserve">nových </w:t>
      </w:r>
      <w:r w:rsidR="00AC070F" w:rsidRPr="00AD756C">
        <w:rPr>
          <w:rFonts w:cs="Arial"/>
          <w:sz w:val="22"/>
          <w:szCs w:val="22"/>
        </w:rPr>
        <w:t>Zásad neznamenalo automatické promítnutí změn do stávajících offsetových dohod</w:t>
      </w:r>
      <w:r w:rsidR="00AA201A">
        <w:rPr>
          <w:rFonts w:cs="Arial"/>
          <w:sz w:val="22"/>
          <w:szCs w:val="22"/>
        </w:rPr>
        <w:t>.</w:t>
      </w:r>
      <w:r w:rsidR="00AC070F" w:rsidRPr="00AD756C">
        <w:rPr>
          <w:rFonts w:cs="Arial"/>
          <w:sz w:val="22"/>
          <w:szCs w:val="22"/>
        </w:rPr>
        <w:t xml:space="preserve"> </w:t>
      </w:r>
    </w:p>
    <w:p w14:paraId="2087B535" w14:textId="77777777" w:rsidR="005F0E6A" w:rsidRDefault="005F0E6A" w:rsidP="004909FE">
      <w:pPr>
        <w:autoSpaceDE w:val="0"/>
        <w:autoSpaceDN w:val="0"/>
        <w:adjustRightInd w:val="0"/>
        <w:jc w:val="both"/>
        <w:rPr>
          <w:rFonts w:cs="Arial"/>
          <w:b/>
          <w:sz w:val="22"/>
          <w:szCs w:val="22"/>
        </w:rPr>
      </w:pPr>
    </w:p>
    <w:p w14:paraId="3F25AB83" w14:textId="47E0BFF1" w:rsidR="00B151E0" w:rsidRDefault="00AC070F" w:rsidP="004909FE">
      <w:pPr>
        <w:autoSpaceDE w:val="0"/>
        <w:autoSpaceDN w:val="0"/>
        <w:adjustRightInd w:val="0"/>
        <w:jc w:val="both"/>
        <w:rPr>
          <w:rFonts w:cs="Arial"/>
          <w:sz w:val="22"/>
          <w:szCs w:val="22"/>
        </w:rPr>
      </w:pPr>
      <w:r w:rsidRPr="007C66B7">
        <w:rPr>
          <w:rFonts w:cs="Arial"/>
          <w:b/>
          <w:sz w:val="22"/>
          <w:szCs w:val="22"/>
        </w:rPr>
        <w:t>U MO a MV byl způsob a systém kontroly a monitoringu OFT nastaven odlišně.</w:t>
      </w:r>
      <w:r>
        <w:rPr>
          <w:rFonts w:cs="Arial"/>
          <w:sz w:val="22"/>
          <w:szCs w:val="22"/>
        </w:rPr>
        <w:t xml:space="preserve"> </w:t>
      </w:r>
      <w:r w:rsidR="00B151E0">
        <w:rPr>
          <w:rFonts w:cs="Arial"/>
          <w:sz w:val="22"/>
          <w:szCs w:val="22"/>
        </w:rPr>
        <w:t>U</w:t>
      </w:r>
      <w:r w:rsidR="00F67D85" w:rsidRPr="00B151E0">
        <w:rPr>
          <w:rFonts w:cs="Arial"/>
          <w:sz w:val="22"/>
          <w:szCs w:val="22"/>
        </w:rPr>
        <w:t xml:space="preserve"> MO byly vytvořeny struktury v rámci liniového</w:t>
      </w:r>
      <w:r w:rsidR="007418C1">
        <w:rPr>
          <w:rFonts w:cs="Arial"/>
          <w:sz w:val="22"/>
          <w:szCs w:val="22"/>
        </w:rPr>
        <w:t xml:space="preserve"> řízení</w:t>
      </w:r>
      <w:r w:rsidR="00F67D85">
        <w:rPr>
          <w:rStyle w:val="Znakapoznpodarou"/>
          <w:rFonts w:cs="Arial"/>
          <w:sz w:val="22"/>
          <w:szCs w:val="22"/>
        </w:rPr>
        <w:footnoteReference w:id="24"/>
      </w:r>
      <w:r w:rsidR="0001442A">
        <w:rPr>
          <w:rFonts w:cs="Arial"/>
          <w:sz w:val="22"/>
          <w:szCs w:val="22"/>
        </w:rPr>
        <w:t xml:space="preserve"> </w:t>
      </w:r>
      <w:r w:rsidR="007418C1">
        <w:rPr>
          <w:rFonts w:cs="Arial"/>
          <w:sz w:val="22"/>
          <w:szCs w:val="22"/>
        </w:rPr>
        <w:t>i v rámci</w:t>
      </w:r>
      <w:r w:rsidR="00F67D85" w:rsidRPr="00B151E0">
        <w:rPr>
          <w:rFonts w:cs="Arial"/>
          <w:sz w:val="22"/>
          <w:szCs w:val="22"/>
        </w:rPr>
        <w:t xml:space="preserve"> projektového řízení – offsetový tým</w:t>
      </w:r>
      <w:r w:rsidR="007418C1">
        <w:rPr>
          <w:rFonts w:cs="Arial"/>
          <w:sz w:val="22"/>
          <w:szCs w:val="22"/>
        </w:rPr>
        <w:t>,</w:t>
      </w:r>
      <w:r w:rsidR="00F67D85" w:rsidRPr="00B151E0">
        <w:rPr>
          <w:rFonts w:cs="Arial"/>
          <w:sz w:val="22"/>
          <w:szCs w:val="22"/>
        </w:rPr>
        <w:t xml:space="preserve"> zřízený rozkazem ředitele sekce vyzbrojování</w:t>
      </w:r>
      <w:r w:rsidR="007418C1">
        <w:rPr>
          <w:rFonts w:cs="Arial"/>
          <w:sz w:val="22"/>
          <w:szCs w:val="22"/>
        </w:rPr>
        <w:t>,</w:t>
      </w:r>
      <w:r w:rsidR="00F67D85" w:rsidRPr="00B151E0">
        <w:rPr>
          <w:rFonts w:cs="Arial"/>
          <w:sz w:val="22"/>
          <w:szCs w:val="22"/>
        </w:rPr>
        <w:t xml:space="preserve"> zabezpečoval</w:t>
      </w:r>
      <w:r w:rsidR="00F67D85">
        <w:rPr>
          <w:rStyle w:val="Znakapoznpodarou"/>
          <w:rFonts w:cs="Arial"/>
          <w:sz w:val="22"/>
          <w:szCs w:val="22"/>
        </w:rPr>
        <w:footnoteReference w:id="25"/>
      </w:r>
      <w:r w:rsidR="00F67D85" w:rsidRPr="00B151E0">
        <w:rPr>
          <w:rFonts w:cs="Arial"/>
          <w:sz w:val="22"/>
          <w:szCs w:val="22"/>
        </w:rPr>
        <w:t xml:space="preserve"> všechny PPS u MO kromě PPS GRIPEN, který je v jeho gesci teprve od 1. 1. 2011.</w:t>
      </w:r>
      <w:r w:rsidR="00B151E0">
        <w:rPr>
          <w:rFonts w:cs="Arial"/>
          <w:sz w:val="22"/>
          <w:szCs w:val="22"/>
        </w:rPr>
        <w:t xml:space="preserve"> </w:t>
      </w:r>
      <w:r w:rsidR="00B151E0" w:rsidRPr="00B2384C">
        <w:rPr>
          <w:rFonts w:cs="Arial"/>
          <w:sz w:val="22"/>
          <w:szCs w:val="22"/>
        </w:rPr>
        <w:t>V PPS A</w:t>
      </w:r>
      <w:r w:rsidR="00AA201A">
        <w:rPr>
          <w:rFonts w:cs="Arial"/>
          <w:sz w:val="22"/>
          <w:szCs w:val="22"/>
        </w:rPr>
        <w:t>RTHUR</w:t>
      </w:r>
      <w:r w:rsidR="00B151E0" w:rsidRPr="00B2384C">
        <w:rPr>
          <w:rFonts w:cs="Arial"/>
          <w:sz w:val="22"/>
          <w:szCs w:val="22"/>
        </w:rPr>
        <w:t xml:space="preserve"> došlo dodatkem k úpravě offsetové dohody </w:t>
      </w:r>
      <w:r w:rsidR="00907C8B">
        <w:rPr>
          <w:rFonts w:cs="Arial"/>
          <w:sz w:val="22"/>
          <w:szCs w:val="22"/>
        </w:rPr>
        <w:t>(ta</w:t>
      </w:r>
      <w:r w:rsidR="00B151E0" w:rsidRPr="00B2384C">
        <w:rPr>
          <w:rFonts w:cs="Arial"/>
          <w:sz w:val="22"/>
          <w:szCs w:val="22"/>
        </w:rPr>
        <w:t xml:space="preserve"> byla </w:t>
      </w:r>
      <w:r w:rsidR="00B2384C" w:rsidRPr="00B2384C">
        <w:rPr>
          <w:rFonts w:cs="Arial"/>
          <w:sz w:val="22"/>
          <w:szCs w:val="22"/>
        </w:rPr>
        <w:t xml:space="preserve">původně </w:t>
      </w:r>
      <w:r w:rsidR="00B151E0" w:rsidRPr="00B2384C">
        <w:rPr>
          <w:rFonts w:cs="Arial"/>
          <w:sz w:val="22"/>
          <w:szCs w:val="22"/>
        </w:rPr>
        <w:t>uzavřena za účinnosti Zásad 1998</w:t>
      </w:r>
      <w:r w:rsidR="00907C8B">
        <w:rPr>
          <w:rFonts w:cs="Arial"/>
          <w:sz w:val="22"/>
          <w:szCs w:val="22"/>
        </w:rPr>
        <w:t>)</w:t>
      </w:r>
      <w:r w:rsidR="00431059">
        <w:rPr>
          <w:rFonts w:cs="Arial"/>
          <w:sz w:val="22"/>
          <w:szCs w:val="22"/>
        </w:rPr>
        <w:t xml:space="preserve"> a </w:t>
      </w:r>
      <w:r w:rsidR="00B151E0" w:rsidRPr="00B2384C">
        <w:rPr>
          <w:rFonts w:cs="Arial"/>
          <w:sz w:val="22"/>
          <w:szCs w:val="22"/>
        </w:rPr>
        <w:t>monitoring a kontrola plnění OFT byl</w:t>
      </w:r>
      <w:r w:rsidR="00907C8B">
        <w:rPr>
          <w:rFonts w:cs="Arial"/>
          <w:sz w:val="22"/>
          <w:szCs w:val="22"/>
        </w:rPr>
        <w:t>y</w:t>
      </w:r>
      <w:r w:rsidR="00B151E0" w:rsidRPr="00B2384C">
        <w:rPr>
          <w:rFonts w:cs="Arial"/>
          <w:sz w:val="22"/>
          <w:szCs w:val="22"/>
        </w:rPr>
        <w:t xml:space="preserve"> </w:t>
      </w:r>
      <w:r w:rsidR="00907C8B" w:rsidRPr="00B2384C">
        <w:rPr>
          <w:rFonts w:cs="Arial"/>
          <w:sz w:val="22"/>
          <w:szCs w:val="22"/>
        </w:rPr>
        <w:t>ve smyslu Zásad 2005</w:t>
      </w:r>
      <w:r w:rsidR="00907C8B">
        <w:rPr>
          <w:rFonts w:cs="Arial"/>
          <w:sz w:val="22"/>
          <w:szCs w:val="22"/>
        </w:rPr>
        <w:t xml:space="preserve"> přeneseny</w:t>
      </w:r>
      <w:r w:rsidR="00907C8B" w:rsidRPr="00B2384C">
        <w:rPr>
          <w:rFonts w:cs="Arial"/>
          <w:sz w:val="22"/>
          <w:szCs w:val="22"/>
        </w:rPr>
        <w:t xml:space="preserve"> </w:t>
      </w:r>
      <w:r w:rsidR="00B151E0" w:rsidRPr="00B2384C">
        <w:rPr>
          <w:rFonts w:cs="Arial"/>
          <w:sz w:val="22"/>
          <w:szCs w:val="22"/>
        </w:rPr>
        <w:t xml:space="preserve">z OFK </w:t>
      </w:r>
      <w:r w:rsidR="00907C8B" w:rsidRPr="00B2384C">
        <w:rPr>
          <w:rFonts w:cs="Arial"/>
          <w:sz w:val="22"/>
          <w:szCs w:val="22"/>
        </w:rPr>
        <w:t>na MO</w:t>
      </w:r>
      <w:r w:rsidR="00B151E0" w:rsidRPr="00B2384C">
        <w:rPr>
          <w:rFonts w:cs="Arial"/>
          <w:sz w:val="22"/>
          <w:szCs w:val="22"/>
        </w:rPr>
        <w:t>.</w:t>
      </w:r>
      <w:r w:rsidR="00F67D85" w:rsidRPr="00B151E0">
        <w:rPr>
          <w:rFonts w:cs="Arial"/>
          <w:sz w:val="22"/>
          <w:szCs w:val="22"/>
        </w:rPr>
        <w:t xml:space="preserve"> </w:t>
      </w:r>
    </w:p>
    <w:p w14:paraId="113F808F" w14:textId="77777777" w:rsidR="005F0E6A" w:rsidRDefault="005F0E6A" w:rsidP="004909FE">
      <w:pPr>
        <w:autoSpaceDE w:val="0"/>
        <w:autoSpaceDN w:val="0"/>
        <w:adjustRightInd w:val="0"/>
        <w:jc w:val="both"/>
        <w:rPr>
          <w:rFonts w:cs="Arial"/>
          <w:sz w:val="22"/>
          <w:szCs w:val="22"/>
        </w:rPr>
      </w:pPr>
    </w:p>
    <w:p w14:paraId="3F25AB84" w14:textId="4CAC154B" w:rsidR="00F67D85" w:rsidRPr="00B151E0" w:rsidRDefault="00F67D85" w:rsidP="004909FE">
      <w:pPr>
        <w:autoSpaceDE w:val="0"/>
        <w:autoSpaceDN w:val="0"/>
        <w:adjustRightInd w:val="0"/>
        <w:jc w:val="both"/>
        <w:rPr>
          <w:rFonts w:cs="Arial"/>
          <w:sz w:val="22"/>
          <w:szCs w:val="22"/>
        </w:rPr>
      </w:pPr>
      <w:r w:rsidRPr="00B151E0">
        <w:rPr>
          <w:rFonts w:cs="Arial"/>
          <w:sz w:val="22"/>
          <w:szCs w:val="22"/>
        </w:rPr>
        <w:t xml:space="preserve">Na náklady MO bylo externími auditory zajištěno </w:t>
      </w:r>
      <w:r w:rsidRPr="007C66B7">
        <w:rPr>
          <w:rFonts w:cs="Arial"/>
          <w:sz w:val="22"/>
          <w:szCs w:val="22"/>
        </w:rPr>
        <w:t>ověření deklarované hodnoty plnění vybraných OFT</w:t>
      </w:r>
      <w:r w:rsidRPr="00312CEA">
        <w:rPr>
          <w:rFonts w:cs="Arial"/>
          <w:sz w:val="22"/>
          <w:szCs w:val="22"/>
        </w:rPr>
        <w:t>.</w:t>
      </w:r>
      <w:r w:rsidRPr="00B151E0">
        <w:rPr>
          <w:rFonts w:cs="Arial"/>
          <w:sz w:val="22"/>
          <w:szCs w:val="22"/>
        </w:rPr>
        <w:t xml:space="preserve"> Kontrole byly podrobovány všechny PPS od roku 2005 s různou mírou hloubky ověřování. V některých případech se externí auditorské subjekty</w:t>
      </w:r>
      <w:r w:rsidR="00907C8B">
        <w:rPr>
          <w:rFonts w:cs="Arial"/>
          <w:sz w:val="22"/>
          <w:szCs w:val="22"/>
        </w:rPr>
        <w:t xml:space="preserve"> </w:t>
      </w:r>
      <w:r w:rsidR="00907C8B" w:rsidRPr="00B151E0">
        <w:rPr>
          <w:rFonts w:cs="Arial"/>
          <w:sz w:val="22"/>
          <w:szCs w:val="22"/>
        </w:rPr>
        <w:t>soustředily</w:t>
      </w:r>
      <w:r w:rsidRPr="00B151E0">
        <w:rPr>
          <w:rFonts w:cs="Arial"/>
          <w:sz w:val="22"/>
          <w:szCs w:val="22"/>
        </w:rPr>
        <w:t xml:space="preserve"> </w:t>
      </w:r>
      <w:r w:rsidR="00907C8B">
        <w:rPr>
          <w:rFonts w:cs="Arial"/>
          <w:sz w:val="22"/>
          <w:szCs w:val="22"/>
        </w:rPr>
        <w:t xml:space="preserve">– </w:t>
      </w:r>
      <w:r w:rsidRPr="00B151E0">
        <w:rPr>
          <w:rFonts w:cs="Arial"/>
          <w:sz w:val="22"/>
          <w:szCs w:val="22"/>
        </w:rPr>
        <w:t xml:space="preserve">s ohledem na </w:t>
      </w:r>
      <w:r w:rsidR="00BF79C0">
        <w:rPr>
          <w:rFonts w:cs="Arial"/>
          <w:sz w:val="22"/>
          <w:szCs w:val="22"/>
        </w:rPr>
        <w:t>obecnost</w:t>
      </w:r>
      <w:r w:rsidR="0001442A">
        <w:rPr>
          <w:rFonts w:cs="Arial"/>
          <w:sz w:val="22"/>
          <w:szCs w:val="22"/>
        </w:rPr>
        <w:t xml:space="preserve"> </w:t>
      </w:r>
      <w:r w:rsidRPr="00B151E0">
        <w:rPr>
          <w:rFonts w:cs="Arial"/>
          <w:sz w:val="22"/>
          <w:szCs w:val="22"/>
        </w:rPr>
        <w:t>zadání ze strany MO</w:t>
      </w:r>
      <w:r w:rsidR="00907C8B">
        <w:rPr>
          <w:rFonts w:cs="Arial"/>
          <w:sz w:val="22"/>
          <w:szCs w:val="22"/>
        </w:rPr>
        <w:t xml:space="preserve"> –</w:t>
      </w:r>
      <w:r w:rsidRPr="00B151E0">
        <w:rPr>
          <w:rFonts w:cs="Arial"/>
          <w:sz w:val="22"/>
          <w:szCs w:val="22"/>
        </w:rPr>
        <w:t xml:space="preserve"> pouze na účetní evidenci, v jiných případech ověřoval</w:t>
      </w:r>
      <w:r w:rsidR="00BF79C0">
        <w:rPr>
          <w:rFonts w:cs="Arial"/>
          <w:sz w:val="22"/>
          <w:szCs w:val="22"/>
        </w:rPr>
        <w:t>y</w:t>
      </w:r>
      <w:r w:rsidRPr="00B151E0">
        <w:rPr>
          <w:rFonts w:cs="Arial"/>
          <w:sz w:val="22"/>
          <w:szCs w:val="22"/>
        </w:rPr>
        <w:t xml:space="preserve"> například příslušnost výrobků, technicko-technologický průběh realizace</w:t>
      </w:r>
      <w:r w:rsidR="0001442A">
        <w:rPr>
          <w:rFonts w:cs="Arial"/>
          <w:sz w:val="22"/>
          <w:szCs w:val="22"/>
        </w:rPr>
        <w:t xml:space="preserve"> </w:t>
      </w:r>
      <w:r w:rsidRPr="00B151E0">
        <w:rPr>
          <w:rFonts w:cs="Arial"/>
          <w:sz w:val="22"/>
          <w:szCs w:val="22"/>
        </w:rPr>
        <w:t>a přepočty směnného kur</w:t>
      </w:r>
      <w:r w:rsidR="00737E77">
        <w:rPr>
          <w:rFonts w:cs="Arial"/>
          <w:sz w:val="22"/>
          <w:szCs w:val="22"/>
        </w:rPr>
        <w:t>z</w:t>
      </w:r>
      <w:r w:rsidRPr="00B151E0">
        <w:rPr>
          <w:rFonts w:cs="Arial"/>
          <w:sz w:val="22"/>
          <w:szCs w:val="22"/>
        </w:rPr>
        <w:t xml:space="preserve">u použitého </w:t>
      </w:r>
      <w:r w:rsidR="00D920E5">
        <w:rPr>
          <w:rFonts w:cs="Arial"/>
          <w:sz w:val="22"/>
          <w:szCs w:val="22"/>
        </w:rPr>
        <w:t>v </w:t>
      </w:r>
      <w:r w:rsidRPr="00B151E0">
        <w:rPr>
          <w:rFonts w:cs="Arial"/>
          <w:sz w:val="22"/>
          <w:szCs w:val="22"/>
        </w:rPr>
        <w:t xml:space="preserve">OFT. Za období let 2005 až 2011 externí auditorské subjekty zjistily dle předložených dokumentů rozdíly vedoucí </w:t>
      </w:r>
      <w:r w:rsidR="00182B88" w:rsidRPr="00B151E0">
        <w:rPr>
          <w:rFonts w:cs="Arial"/>
          <w:sz w:val="22"/>
          <w:szCs w:val="22"/>
        </w:rPr>
        <w:t xml:space="preserve">jak </w:t>
      </w:r>
      <w:r w:rsidRPr="00B151E0">
        <w:rPr>
          <w:rFonts w:cs="Arial"/>
          <w:sz w:val="22"/>
          <w:szCs w:val="22"/>
        </w:rPr>
        <w:t>ke snížení vykázaných hodnot (</w:t>
      </w:r>
      <w:r w:rsidR="00907C8B" w:rsidRPr="004909FE">
        <w:rPr>
          <w:rFonts w:cs="Arial"/>
          <w:sz w:val="22"/>
          <w:szCs w:val="22"/>
        </w:rPr>
        <w:t>−</w:t>
      </w:r>
      <w:r w:rsidRPr="00B151E0">
        <w:rPr>
          <w:rFonts w:cs="Arial"/>
          <w:sz w:val="22"/>
          <w:szCs w:val="22"/>
        </w:rPr>
        <w:t>378,09 mil. Kč), tak i k jejich navýšení (+186,11 mil. Kč). MO hodnoty zjištěné u</w:t>
      </w:r>
      <w:r w:rsidR="00AA201A">
        <w:rPr>
          <w:rFonts w:cs="Arial"/>
          <w:sz w:val="22"/>
          <w:szCs w:val="22"/>
        </w:rPr>
        <w:t> </w:t>
      </w:r>
      <w:r w:rsidRPr="00B151E0">
        <w:rPr>
          <w:rFonts w:cs="Arial"/>
          <w:sz w:val="22"/>
          <w:szCs w:val="22"/>
        </w:rPr>
        <w:t xml:space="preserve">PPS externími auditory započetlo s výjimkou případů, kdy offsetový tým sám prováděl kontrolu plnění vybraných OFT a shledal </w:t>
      </w:r>
      <w:r w:rsidR="00BF79C0">
        <w:rPr>
          <w:rFonts w:cs="Arial"/>
          <w:sz w:val="22"/>
          <w:szCs w:val="22"/>
        </w:rPr>
        <w:t xml:space="preserve">další </w:t>
      </w:r>
      <w:r w:rsidRPr="00B151E0">
        <w:rPr>
          <w:rFonts w:cs="Arial"/>
          <w:sz w:val="22"/>
          <w:szCs w:val="22"/>
        </w:rPr>
        <w:t xml:space="preserve">nedostatky vedoucí ke snížení uznatelné hodnoty plnění. MO </w:t>
      </w:r>
      <w:r w:rsidR="00D920E5">
        <w:rPr>
          <w:rFonts w:cs="Arial"/>
          <w:sz w:val="22"/>
          <w:szCs w:val="22"/>
        </w:rPr>
        <w:t>v </w:t>
      </w:r>
      <w:r w:rsidRPr="00B151E0">
        <w:rPr>
          <w:rFonts w:cs="Arial"/>
          <w:sz w:val="22"/>
          <w:szCs w:val="22"/>
        </w:rPr>
        <w:t>kontrolovaném období prověřilo nebo nechalo prověřit 117 OFT a</w:t>
      </w:r>
      <w:r w:rsidR="00AA201A">
        <w:rPr>
          <w:rFonts w:cs="Arial"/>
          <w:sz w:val="22"/>
          <w:szCs w:val="22"/>
        </w:rPr>
        <w:t> </w:t>
      </w:r>
      <w:r w:rsidRPr="00B151E0">
        <w:rPr>
          <w:rFonts w:cs="Arial"/>
          <w:sz w:val="22"/>
          <w:szCs w:val="22"/>
        </w:rPr>
        <w:t>oproti vykázanému plnění PPS neuznalo celkem 3 553,18 mil. Kč.</w:t>
      </w:r>
      <w:r w:rsidR="0001442A">
        <w:rPr>
          <w:rFonts w:cs="Arial"/>
          <w:sz w:val="22"/>
          <w:szCs w:val="22"/>
        </w:rPr>
        <w:t xml:space="preserve"> </w:t>
      </w:r>
      <w:r w:rsidRPr="00B151E0">
        <w:rPr>
          <w:rFonts w:cs="Arial"/>
          <w:sz w:val="22"/>
          <w:szCs w:val="22"/>
        </w:rPr>
        <w:t xml:space="preserve">Z této částky představuje více než 1 mld. Kč rozdíl, který byl zjištěn </w:t>
      </w:r>
      <w:r w:rsidR="00D920E5">
        <w:rPr>
          <w:rFonts w:cs="Arial"/>
          <w:sz w:val="22"/>
          <w:szCs w:val="22"/>
        </w:rPr>
        <w:t>v </w:t>
      </w:r>
      <w:r w:rsidRPr="00B151E0">
        <w:rPr>
          <w:rFonts w:cs="Arial"/>
          <w:sz w:val="22"/>
          <w:szCs w:val="22"/>
        </w:rPr>
        <w:t xml:space="preserve">PPS GRIPEN a </w:t>
      </w:r>
      <w:r w:rsidR="00D920E5">
        <w:rPr>
          <w:rFonts w:cs="Arial"/>
          <w:sz w:val="22"/>
          <w:szCs w:val="22"/>
        </w:rPr>
        <w:t>v </w:t>
      </w:r>
      <w:r w:rsidRPr="00B151E0">
        <w:rPr>
          <w:rFonts w:cs="Arial"/>
          <w:sz w:val="22"/>
          <w:szCs w:val="22"/>
        </w:rPr>
        <w:t>obdobné výši i</w:t>
      </w:r>
      <w:r w:rsidR="0001442A">
        <w:rPr>
          <w:rFonts w:cs="Arial"/>
          <w:sz w:val="22"/>
          <w:szCs w:val="22"/>
        </w:rPr>
        <w:t> </w:t>
      </w:r>
      <w:r w:rsidR="00D920E5">
        <w:rPr>
          <w:rFonts w:cs="Arial"/>
          <w:sz w:val="22"/>
          <w:szCs w:val="22"/>
        </w:rPr>
        <w:t>v </w:t>
      </w:r>
      <w:r w:rsidRPr="00B151E0">
        <w:rPr>
          <w:rFonts w:cs="Arial"/>
          <w:sz w:val="22"/>
          <w:szCs w:val="22"/>
        </w:rPr>
        <w:t>PPS ARTHUR.</w:t>
      </w:r>
      <w:r w:rsidR="0001442A">
        <w:rPr>
          <w:rFonts w:cs="Arial"/>
          <w:sz w:val="22"/>
          <w:szCs w:val="22"/>
        </w:rPr>
        <w:t xml:space="preserve"> </w:t>
      </w:r>
    </w:p>
    <w:p w14:paraId="4C339A4E" w14:textId="77777777" w:rsidR="005F0E6A" w:rsidRDefault="005F0E6A" w:rsidP="004909FE">
      <w:pPr>
        <w:autoSpaceDE w:val="0"/>
        <w:autoSpaceDN w:val="0"/>
        <w:adjustRightInd w:val="0"/>
        <w:jc w:val="both"/>
        <w:rPr>
          <w:rFonts w:cs="Arial"/>
          <w:sz w:val="22"/>
          <w:szCs w:val="22"/>
        </w:rPr>
      </w:pPr>
    </w:p>
    <w:p w14:paraId="3F25AB85" w14:textId="2746EDB8" w:rsidR="00075A5D" w:rsidRPr="002D7522" w:rsidRDefault="0051226E" w:rsidP="004909FE">
      <w:pPr>
        <w:autoSpaceDE w:val="0"/>
        <w:autoSpaceDN w:val="0"/>
        <w:adjustRightInd w:val="0"/>
        <w:jc w:val="both"/>
        <w:rPr>
          <w:rFonts w:cs="Arial"/>
          <w:bCs/>
          <w:sz w:val="22"/>
          <w:szCs w:val="22"/>
        </w:rPr>
      </w:pPr>
      <w:r>
        <w:rPr>
          <w:rFonts w:cs="Arial"/>
          <w:sz w:val="22"/>
          <w:szCs w:val="22"/>
        </w:rPr>
        <w:t>K</w:t>
      </w:r>
      <w:r w:rsidR="00B3724F" w:rsidRPr="002D7522">
        <w:rPr>
          <w:rFonts w:cs="Arial"/>
          <w:sz w:val="22"/>
          <w:szCs w:val="22"/>
        </w:rPr>
        <w:t xml:space="preserve">ontrola a monitoring </w:t>
      </w:r>
      <w:r w:rsidRPr="002D7522">
        <w:rPr>
          <w:rFonts w:cs="Arial"/>
          <w:sz w:val="22"/>
          <w:szCs w:val="22"/>
        </w:rPr>
        <w:t xml:space="preserve">nebyly </w:t>
      </w:r>
      <w:r>
        <w:rPr>
          <w:rFonts w:cs="Arial"/>
          <w:sz w:val="22"/>
          <w:szCs w:val="22"/>
        </w:rPr>
        <w:t>u</w:t>
      </w:r>
      <w:r w:rsidRPr="002D7522">
        <w:rPr>
          <w:rFonts w:cs="Arial"/>
          <w:sz w:val="22"/>
          <w:szCs w:val="22"/>
        </w:rPr>
        <w:t xml:space="preserve"> MV </w:t>
      </w:r>
      <w:r w:rsidR="0022438B" w:rsidRPr="002D7522">
        <w:rPr>
          <w:rFonts w:cs="Arial"/>
          <w:sz w:val="22"/>
          <w:szCs w:val="22"/>
        </w:rPr>
        <w:t>organizačně</w:t>
      </w:r>
      <w:r w:rsidR="002C002B" w:rsidRPr="002D7522">
        <w:rPr>
          <w:rFonts w:cs="Arial"/>
          <w:sz w:val="22"/>
          <w:szCs w:val="22"/>
        </w:rPr>
        <w:t xml:space="preserve"> a systematicky </w:t>
      </w:r>
      <w:r w:rsidR="0022438B" w:rsidRPr="002D7522">
        <w:rPr>
          <w:rFonts w:cs="Arial"/>
          <w:sz w:val="22"/>
          <w:szCs w:val="22"/>
        </w:rPr>
        <w:t>řešen</w:t>
      </w:r>
      <w:r w:rsidR="00B3724F" w:rsidRPr="002D7522">
        <w:rPr>
          <w:rFonts w:cs="Arial"/>
          <w:sz w:val="22"/>
          <w:szCs w:val="22"/>
        </w:rPr>
        <w:t>y</w:t>
      </w:r>
      <w:r w:rsidR="0022438B" w:rsidRPr="002D7522">
        <w:rPr>
          <w:rFonts w:cs="Arial"/>
          <w:sz w:val="22"/>
          <w:szCs w:val="22"/>
        </w:rPr>
        <w:t>.</w:t>
      </w:r>
      <w:r w:rsidR="00B3724F" w:rsidRPr="002D7522">
        <w:rPr>
          <w:rFonts w:cs="Arial"/>
          <w:sz w:val="22"/>
          <w:szCs w:val="22"/>
        </w:rPr>
        <w:t xml:space="preserve"> </w:t>
      </w:r>
      <w:r w:rsidR="00182B88" w:rsidRPr="002D7522">
        <w:rPr>
          <w:rFonts w:cs="Arial"/>
          <w:bCs/>
          <w:sz w:val="22"/>
          <w:szCs w:val="22"/>
        </w:rPr>
        <w:t xml:space="preserve">MV neprovádělo kontrolu plnění OFT u českých partnerů. </w:t>
      </w:r>
      <w:r w:rsidR="0022438B" w:rsidRPr="002D7522">
        <w:rPr>
          <w:rFonts w:cs="Arial"/>
          <w:sz w:val="22"/>
          <w:szCs w:val="22"/>
        </w:rPr>
        <w:t xml:space="preserve">Kontrole MV </w:t>
      </w:r>
      <w:r w:rsidR="00B3724F" w:rsidRPr="002D7522">
        <w:rPr>
          <w:rFonts w:cs="Arial"/>
          <w:sz w:val="22"/>
          <w:szCs w:val="22"/>
        </w:rPr>
        <w:t xml:space="preserve">byly </w:t>
      </w:r>
      <w:r w:rsidR="0022438B" w:rsidRPr="002D7522">
        <w:rPr>
          <w:rFonts w:cs="Arial"/>
          <w:sz w:val="22"/>
          <w:szCs w:val="22"/>
        </w:rPr>
        <w:t>podrobovány pouze přímé offsety, jejichž příjemce</w:t>
      </w:r>
      <w:r w:rsidR="00182B88" w:rsidRPr="002D7522">
        <w:rPr>
          <w:rFonts w:cs="Arial"/>
          <w:sz w:val="22"/>
          <w:szCs w:val="22"/>
        </w:rPr>
        <w:t>m</w:t>
      </w:r>
      <w:r w:rsidR="0022438B" w:rsidRPr="002D7522">
        <w:rPr>
          <w:rFonts w:cs="Arial"/>
          <w:sz w:val="22"/>
          <w:szCs w:val="22"/>
        </w:rPr>
        <w:t xml:space="preserve"> </w:t>
      </w:r>
      <w:r w:rsidR="002C002B" w:rsidRPr="002D7522">
        <w:rPr>
          <w:rFonts w:cs="Arial"/>
          <w:sz w:val="22"/>
          <w:szCs w:val="22"/>
        </w:rPr>
        <w:t>bylo MV jako český partner</w:t>
      </w:r>
      <w:r w:rsidR="002D2D70">
        <w:rPr>
          <w:rFonts w:cs="Arial"/>
          <w:sz w:val="22"/>
          <w:szCs w:val="22"/>
        </w:rPr>
        <w:t>.</w:t>
      </w:r>
      <w:r w:rsidR="00882A02" w:rsidRPr="002D7522">
        <w:rPr>
          <w:rFonts w:cs="Arial"/>
          <w:bCs/>
          <w:sz w:val="22"/>
          <w:szCs w:val="22"/>
        </w:rPr>
        <w:t xml:space="preserve"> </w:t>
      </w:r>
    </w:p>
    <w:p w14:paraId="72B3908D" w14:textId="77777777" w:rsidR="005F0E6A" w:rsidRDefault="005F0E6A" w:rsidP="004909FE">
      <w:pPr>
        <w:tabs>
          <w:tab w:val="left" w:pos="284"/>
        </w:tabs>
        <w:jc w:val="both"/>
        <w:rPr>
          <w:rFonts w:cs="Arial"/>
          <w:sz w:val="22"/>
          <w:szCs w:val="22"/>
        </w:rPr>
      </w:pPr>
    </w:p>
    <w:p w14:paraId="3F25AB86" w14:textId="36C69D23" w:rsidR="009F3F20" w:rsidRDefault="00D920E5" w:rsidP="004909FE">
      <w:pPr>
        <w:tabs>
          <w:tab w:val="left" w:pos="284"/>
        </w:tabs>
        <w:jc w:val="both"/>
        <w:rPr>
          <w:rFonts w:cs="Arial"/>
          <w:b/>
          <w:sz w:val="22"/>
          <w:szCs w:val="22"/>
        </w:rPr>
      </w:pPr>
      <w:r>
        <w:rPr>
          <w:rFonts w:cs="Arial"/>
          <w:sz w:val="22"/>
          <w:szCs w:val="22"/>
        </w:rPr>
        <w:t>V </w:t>
      </w:r>
      <w:r w:rsidR="009F3F20" w:rsidRPr="00075A5D">
        <w:rPr>
          <w:rFonts w:cs="Arial"/>
          <w:sz w:val="22"/>
          <w:szCs w:val="22"/>
        </w:rPr>
        <w:t xml:space="preserve">případě PPS EUROCOPTER byla </w:t>
      </w:r>
      <w:r>
        <w:rPr>
          <w:rFonts w:cs="Arial"/>
          <w:sz w:val="22"/>
          <w:szCs w:val="22"/>
        </w:rPr>
        <w:t>v </w:t>
      </w:r>
      <w:r w:rsidR="009F3F20" w:rsidRPr="00075A5D">
        <w:rPr>
          <w:rFonts w:cs="Arial"/>
          <w:sz w:val="22"/>
          <w:szCs w:val="22"/>
        </w:rPr>
        <w:t xml:space="preserve">offsetové dohodě sjednána možnost MV provádět kontroly plnění OFT u českých partnerů. </w:t>
      </w:r>
      <w:r w:rsidR="009F3F20" w:rsidRPr="00075A5D">
        <w:rPr>
          <w:rFonts w:cs="Arial"/>
          <w:b/>
          <w:sz w:val="22"/>
          <w:szCs w:val="22"/>
        </w:rPr>
        <w:t>Přes zjevné základní nedostatky ve vykazovaných hodnotách plnění offsetových transakcí PPS EUROCOPTER však MV možnost kontroly u českých partnerů nevyužilo a uznávalo tyto hodnoty v plné výši</w:t>
      </w:r>
      <w:r w:rsidR="00A459FE">
        <w:rPr>
          <w:rFonts w:cs="Arial"/>
          <w:b/>
          <w:sz w:val="22"/>
          <w:szCs w:val="22"/>
        </w:rPr>
        <w:t>.</w:t>
      </w:r>
      <w:r w:rsidR="009F3F20" w:rsidRPr="00075A5D">
        <w:rPr>
          <w:rFonts w:cs="Arial"/>
          <w:b/>
          <w:sz w:val="22"/>
          <w:szCs w:val="22"/>
        </w:rPr>
        <w:t xml:space="preserve"> </w:t>
      </w:r>
    </w:p>
    <w:p w14:paraId="6DBD78D7" w14:textId="77777777" w:rsidR="005F0E6A" w:rsidRDefault="005F0E6A" w:rsidP="00D241B1">
      <w:pPr>
        <w:autoSpaceDE w:val="0"/>
        <w:autoSpaceDN w:val="0"/>
        <w:adjustRightInd w:val="0"/>
        <w:jc w:val="both"/>
        <w:rPr>
          <w:rFonts w:cs="Arial"/>
          <w:sz w:val="22"/>
          <w:szCs w:val="22"/>
        </w:rPr>
      </w:pPr>
    </w:p>
    <w:p w14:paraId="3F25AB87" w14:textId="70562F95" w:rsidR="002D7522" w:rsidRDefault="00882A02" w:rsidP="00D241B1">
      <w:pPr>
        <w:autoSpaceDE w:val="0"/>
        <w:autoSpaceDN w:val="0"/>
        <w:adjustRightInd w:val="0"/>
        <w:jc w:val="both"/>
        <w:rPr>
          <w:rFonts w:cs="Arial"/>
          <w:sz w:val="22"/>
          <w:szCs w:val="22"/>
        </w:rPr>
      </w:pPr>
      <w:r w:rsidRPr="00075A5D">
        <w:rPr>
          <w:rFonts w:cs="Arial"/>
          <w:sz w:val="22"/>
          <w:szCs w:val="22"/>
        </w:rPr>
        <w:t xml:space="preserve">V offsetové dohodě PPS PEGAS nesjednalo </w:t>
      </w:r>
      <w:r w:rsidR="0051226E" w:rsidRPr="00075A5D">
        <w:rPr>
          <w:rFonts w:cs="Arial"/>
          <w:sz w:val="22"/>
          <w:szCs w:val="22"/>
        </w:rPr>
        <w:t xml:space="preserve">MV </w:t>
      </w:r>
      <w:r w:rsidRPr="00075A5D">
        <w:rPr>
          <w:rFonts w:cs="Arial"/>
          <w:sz w:val="22"/>
          <w:szCs w:val="22"/>
        </w:rPr>
        <w:t>možnost provádět kontrol</w:t>
      </w:r>
      <w:r w:rsidR="0051226E">
        <w:rPr>
          <w:rFonts w:cs="Arial"/>
          <w:sz w:val="22"/>
          <w:szCs w:val="22"/>
        </w:rPr>
        <w:t>y</w:t>
      </w:r>
      <w:r w:rsidRPr="00075A5D">
        <w:rPr>
          <w:rFonts w:cs="Arial"/>
          <w:sz w:val="22"/>
          <w:szCs w:val="22"/>
        </w:rPr>
        <w:t xml:space="preserve"> offsetových transakcí u českých partnerů s odůvodněním, že </w:t>
      </w:r>
      <w:r w:rsidR="0051226E">
        <w:rPr>
          <w:rFonts w:cs="Arial"/>
          <w:sz w:val="22"/>
          <w:szCs w:val="22"/>
        </w:rPr>
        <w:t xml:space="preserve">podle Zásad 1998 </w:t>
      </w:r>
      <w:r w:rsidR="0051226E" w:rsidRPr="00075A5D">
        <w:rPr>
          <w:rFonts w:cs="Arial"/>
          <w:sz w:val="22"/>
          <w:szCs w:val="22"/>
        </w:rPr>
        <w:t xml:space="preserve">příslušejí </w:t>
      </w:r>
      <w:r w:rsidRPr="00075A5D">
        <w:rPr>
          <w:rFonts w:cs="Arial"/>
          <w:sz w:val="22"/>
          <w:szCs w:val="22"/>
        </w:rPr>
        <w:t xml:space="preserve">tyto činnosti OFK. Následně </w:t>
      </w:r>
      <w:r w:rsidRPr="00075A5D">
        <w:rPr>
          <w:rFonts w:cs="Arial"/>
          <w:b/>
          <w:sz w:val="22"/>
          <w:szCs w:val="22"/>
        </w:rPr>
        <w:t>MV uznávalo hodnoty plnění jednotlivých OFT, aniž by mělo informace o kontrolní činnosti u českých partnerů OFT a jejích výsledcích.</w:t>
      </w:r>
      <w:r w:rsidR="002D7522" w:rsidRPr="002D7522">
        <w:rPr>
          <w:rFonts w:cs="Arial"/>
          <w:sz w:val="22"/>
          <w:szCs w:val="22"/>
        </w:rPr>
        <w:t xml:space="preserve"> </w:t>
      </w:r>
      <w:r w:rsidR="002D7522" w:rsidRPr="002D7522">
        <w:rPr>
          <w:rFonts w:cs="Arial"/>
          <w:b/>
          <w:sz w:val="22"/>
          <w:szCs w:val="22"/>
        </w:rPr>
        <w:t>V souvislosti s přijetím Zásad 2005 smluvní strany žádné změny v oprávnění kontroly nepřijaly, kontrolu bylo nadále oprávněno vykonávat MPO, resp. OFK, ačkoli Zásady 2005 toto dále neumožňovaly.</w:t>
      </w:r>
    </w:p>
    <w:p w14:paraId="18D1C778" w14:textId="77777777" w:rsidR="005F0E6A" w:rsidRDefault="005F0E6A" w:rsidP="00D241B1">
      <w:pPr>
        <w:autoSpaceDE w:val="0"/>
        <w:autoSpaceDN w:val="0"/>
        <w:adjustRightInd w:val="0"/>
        <w:jc w:val="both"/>
        <w:rPr>
          <w:rFonts w:cs="Arial"/>
          <w:sz w:val="22"/>
          <w:szCs w:val="22"/>
        </w:rPr>
      </w:pPr>
    </w:p>
    <w:p w14:paraId="3F25AB88" w14:textId="1638CE15" w:rsidR="00730909" w:rsidRDefault="00EB12F6" w:rsidP="00D241B1">
      <w:pPr>
        <w:autoSpaceDE w:val="0"/>
        <w:autoSpaceDN w:val="0"/>
        <w:adjustRightInd w:val="0"/>
        <w:jc w:val="both"/>
        <w:rPr>
          <w:sz w:val="22"/>
          <w:szCs w:val="22"/>
        </w:rPr>
      </w:pPr>
      <w:r w:rsidRPr="003A3237">
        <w:rPr>
          <w:rFonts w:cs="Arial"/>
          <w:sz w:val="22"/>
          <w:szCs w:val="22"/>
        </w:rPr>
        <w:t xml:space="preserve">Zásady 1998 ve srovnání s následně přijatými Zásadami 2005 a </w:t>
      </w:r>
      <w:r w:rsidR="0051226E" w:rsidRPr="003A3237">
        <w:rPr>
          <w:rFonts w:cs="Arial"/>
          <w:sz w:val="22"/>
          <w:szCs w:val="22"/>
        </w:rPr>
        <w:t xml:space="preserve">Zásadami </w:t>
      </w:r>
      <w:r w:rsidRPr="003A3237">
        <w:rPr>
          <w:rFonts w:cs="Arial"/>
          <w:sz w:val="22"/>
          <w:szCs w:val="22"/>
        </w:rPr>
        <w:t>2010 přisuzovaly OFK aktivní roli při prosazování offsetů</w:t>
      </w:r>
      <w:r w:rsidR="0051226E">
        <w:rPr>
          <w:rFonts w:cs="Arial"/>
          <w:sz w:val="22"/>
          <w:szCs w:val="22"/>
        </w:rPr>
        <w:t>, tato role spočívala</w:t>
      </w:r>
      <w:r w:rsidRPr="003A3237">
        <w:rPr>
          <w:rFonts w:cs="Arial"/>
          <w:sz w:val="22"/>
          <w:szCs w:val="22"/>
        </w:rPr>
        <w:t xml:space="preserve"> v přípravě, projedná</w:t>
      </w:r>
      <w:r w:rsidR="0051226E">
        <w:rPr>
          <w:rFonts w:cs="Arial"/>
          <w:sz w:val="22"/>
          <w:szCs w:val="22"/>
        </w:rPr>
        <w:t>vá</w:t>
      </w:r>
      <w:r w:rsidRPr="003A3237">
        <w:rPr>
          <w:rFonts w:cs="Arial"/>
          <w:sz w:val="22"/>
          <w:szCs w:val="22"/>
        </w:rPr>
        <w:t>ní, hodnocení</w:t>
      </w:r>
      <w:r w:rsidR="00B169C2">
        <w:rPr>
          <w:rFonts w:cs="Arial"/>
          <w:sz w:val="22"/>
          <w:szCs w:val="22"/>
        </w:rPr>
        <w:t xml:space="preserve"> a</w:t>
      </w:r>
      <w:r w:rsidRPr="003A3237">
        <w:rPr>
          <w:rFonts w:cs="Arial"/>
          <w:sz w:val="22"/>
          <w:szCs w:val="22"/>
        </w:rPr>
        <w:t xml:space="preserve"> realizac</w:t>
      </w:r>
      <w:r w:rsidR="0051226E">
        <w:rPr>
          <w:rFonts w:cs="Arial"/>
          <w:sz w:val="22"/>
          <w:szCs w:val="22"/>
        </w:rPr>
        <w:t>i</w:t>
      </w:r>
      <w:r w:rsidR="00E35413" w:rsidRPr="003A3237">
        <w:rPr>
          <w:rFonts w:cs="Arial"/>
          <w:sz w:val="22"/>
          <w:szCs w:val="22"/>
        </w:rPr>
        <w:t xml:space="preserve"> PPS. </w:t>
      </w:r>
      <w:r w:rsidR="00E35413" w:rsidRPr="003A3237">
        <w:rPr>
          <w:sz w:val="22"/>
          <w:szCs w:val="22"/>
        </w:rPr>
        <w:t>Na základě vyhodnocení MPO měla OFK schvalovat splnění offsetových transakcí a</w:t>
      </w:r>
      <w:r w:rsidR="00075A5D">
        <w:rPr>
          <w:sz w:val="22"/>
          <w:szCs w:val="22"/>
        </w:rPr>
        <w:t> </w:t>
      </w:r>
      <w:r w:rsidR="00E35413" w:rsidRPr="003A3237">
        <w:rPr>
          <w:sz w:val="22"/>
          <w:szCs w:val="22"/>
        </w:rPr>
        <w:t xml:space="preserve">následně offsetového programu a byla odpovědná za zpracování roční zprávy o plnění offsetových programů. </w:t>
      </w:r>
    </w:p>
    <w:p w14:paraId="42DE07B5" w14:textId="77777777" w:rsidR="005F0E6A" w:rsidRDefault="005F0E6A" w:rsidP="00D241B1">
      <w:pPr>
        <w:autoSpaceDE w:val="0"/>
        <w:autoSpaceDN w:val="0"/>
        <w:adjustRightInd w:val="0"/>
        <w:jc w:val="both"/>
        <w:rPr>
          <w:b/>
          <w:sz w:val="22"/>
          <w:szCs w:val="22"/>
        </w:rPr>
      </w:pPr>
    </w:p>
    <w:p w14:paraId="3F25AB89" w14:textId="5DE699EB" w:rsidR="00730909" w:rsidRDefault="00E35413" w:rsidP="00D241B1">
      <w:pPr>
        <w:autoSpaceDE w:val="0"/>
        <w:autoSpaceDN w:val="0"/>
        <w:adjustRightInd w:val="0"/>
        <w:jc w:val="both"/>
        <w:rPr>
          <w:rFonts w:cs="Arial"/>
          <w:bCs/>
          <w:sz w:val="22"/>
          <w:szCs w:val="22"/>
        </w:rPr>
      </w:pPr>
      <w:r w:rsidRPr="00AA201A">
        <w:rPr>
          <w:b/>
          <w:sz w:val="22"/>
          <w:szCs w:val="22"/>
        </w:rPr>
        <w:t xml:space="preserve">Zásadami 2005 a </w:t>
      </w:r>
      <w:r w:rsidR="0051226E" w:rsidRPr="00D241B1">
        <w:rPr>
          <w:rFonts w:cs="Arial"/>
          <w:b/>
          <w:sz w:val="22"/>
          <w:szCs w:val="22"/>
        </w:rPr>
        <w:t xml:space="preserve">Zásadami </w:t>
      </w:r>
      <w:r w:rsidRPr="00AA201A">
        <w:rPr>
          <w:b/>
          <w:sz w:val="22"/>
          <w:szCs w:val="22"/>
        </w:rPr>
        <w:t>2010</w:t>
      </w:r>
      <w:r w:rsidR="002D7522" w:rsidRPr="00AA201A">
        <w:rPr>
          <w:b/>
          <w:sz w:val="22"/>
          <w:szCs w:val="22"/>
        </w:rPr>
        <w:t xml:space="preserve"> </w:t>
      </w:r>
      <w:r w:rsidR="00613FD8" w:rsidRPr="00AA201A">
        <w:rPr>
          <w:b/>
          <w:sz w:val="22"/>
          <w:szCs w:val="22"/>
        </w:rPr>
        <w:t xml:space="preserve">byla </w:t>
      </w:r>
      <w:r w:rsidR="002D7522" w:rsidRPr="00AA201A">
        <w:rPr>
          <w:b/>
          <w:sz w:val="22"/>
          <w:szCs w:val="22"/>
        </w:rPr>
        <w:t xml:space="preserve">oprávnění </w:t>
      </w:r>
      <w:r w:rsidR="009969D2" w:rsidRPr="00AA201A">
        <w:rPr>
          <w:b/>
          <w:sz w:val="22"/>
          <w:szCs w:val="22"/>
        </w:rPr>
        <w:t xml:space="preserve">týkající se </w:t>
      </w:r>
      <w:r w:rsidR="00AA201A">
        <w:rPr>
          <w:b/>
          <w:sz w:val="22"/>
          <w:szCs w:val="22"/>
        </w:rPr>
        <w:t xml:space="preserve">kontroly a </w:t>
      </w:r>
      <w:r w:rsidR="009969D2" w:rsidRPr="00AA201A">
        <w:rPr>
          <w:b/>
          <w:sz w:val="22"/>
          <w:szCs w:val="22"/>
        </w:rPr>
        <w:t xml:space="preserve">hodnocení </w:t>
      </w:r>
      <w:r w:rsidRPr="00AA201A">
        <w:rPr>
          <w:b/>
          <w:sz w:val="22"/>
          <w:szCs w:val="22"/>
        </w:rPr>
        <w:t>přenesen</w:t>
      </w:r>
      <w:r w:rsidR="00613FD8" w:rsidRPr="00AA201A">
        <w:rPr>
          <w:b/>
          <w:sz w:val="22"/>
          <w:szCs w:val="22"/>
        </w:rPr>
        <w:t>a</w:t>
      </w:r>
      <w:r w:rsidRPr="00AA201A">
        <w:rPr>
          <w:b/>
          <w:sz w:val="22"/>
          <w:szCs w:val="22"/>
        </w:rPr>
        <w:t xml:space="preserve"> na</w:t>
      </w:r>
      <w:r w:rsidR="00075A5D" w:rsidRPr="00AA201A">
        <w:rPr>
          <w:b/>
          <w:sz w:val="22"/>
          <w:szCs w:val="22"/>
        </w:rPr>
        <w:t> </w:t>
      </w:r>
      <w:r w:rsidRPr="00AA201A">
        <w:rPr>
          <w:b/>
          <w:sz w:val="22"/>
          <w:szCs w:val="22"/>
        </w:rPr>
        <w:t>zadavatele veřejných zakázek (MO a MV)</w:t>
      </w:r>
      <w:r w:rsidR="00075A5D" w:rsidRPr="00AA201A">
        <w:rPr>
          <w:b/>
          <w:sz w:val="22"/>
          <w:szCs w:val="22"/>
        </w:rPr>
        <w:t xml:space="preserve"> a </w:t>
      </w:r>
      <w:r w:rsidR="00312CEA">
        <w:rPr>
          <w:b/>
          <w:sz w:val="22"/>
          <w:szCs w:val="22"/>
        </w:rPr>
        <w:t>offsetové komisi</w:t>
      </w:r>
      <w:r w:rsidR="00312CEA" w:rsidRPr="00AA201A">
        <w:rPr>
          <w:b/>
          <w:sz w:val="22"/>
          <w:szCs w:val="22"/>
        </w:rPr>
        <w:t xml:space="preserve"> </w:t>
      </w:r>
      <w:r w:rsidR="00075A5D" w:rsidRPr="00AA201A">
        <w:rPr>
          <w:b/>
          <w:sz w:val="22"/>
          <w:szCs w:val="22"/>
        </w:rPr>
        <w:t>byly předkládány roční zprávy o</w:t>
      </w:r>
      <w:r w:rsidR="0001442A">
        <w:rPr>
          <w:b/>
          <w:sz w:val="22"/>
          <w:szCs w:val="22"/>
        </w:rPr>
        <w:t> </w:t>
      </w:r>
      <w:r w:rsidR="00075A5D" w:rsidRPr="00AA201A">
        <w:rPr>
          <w:b/>
          <w:sz w:val="22"/>
          <w:szCs w:val="22"/>
        </w:rPr>
        <w:t>plnění ke stanovisku.</w:t>
      </w:r>
      <w:r w:rsidR="002C002B" w:rsidRPr="00AA201A">
        <w:rPr>
          <w:b/>
          <w:sz w:val="22"/>
          <w:szCs w:val="22"/>
        </w:rPr>
        <w:t xml:space="preserve"> </w:t>
      </w:r>
      <w:r w:rsidR="003A3237" w:rsidRPr="00AA201A">
        <w:rPr>
          <w:rFonts w:cs="Arial"/>
          <w:bCs/>
          <w:sz w:val="22"/>
          <w:szCs w:val="22"/>
        </w:rPr>
        <w:t xml:space="preserve">Zásady </w:t>
      </w:r>
      <w:r w:rsidR="0051226E">
        <w:rPr>
          <w:rFonts w:cs="Arial"/>
          <w:bCs/>
          <w:sz w:val="22"/>
          <w:szCs w:val="22"/>
        </w:rPr>
        <w:t xml:space="preserve">z let </w:t>
      </w:r>
      <w:r w:rsidR="003A3237" w:rsidRPr="00AA201A">
        <w:rPr>
          <w:rFonts w:cs="Arial"/>
          <w:bCs/>
          <w:sz w:val="22"/>
          <w:szCs w:val="22"/>
        </w:rPr>
        <w:t>2005 a 2010 úkoly OFK v podstatě omezily na projednávání a akceptaci návrhů OFT, přičemž zásadním hlediskem při tomto rozhodování měl být soulad navržené OFT s prioritami a cíli hospodářské politiky za současného respektování ujednání v rámci příslušné veřejné zakázky.</w:t>
      </w:r>
      <w:r w:rsidR="003A3237" w:rsidRPr="00D241B1">
        <w:rPr>
          <w:rFonts w:cs="Arial"/>
          <w:bCs/>
          <w:sz w:val="22"/>
          <w:szCs w:val="22"/>
        </w:rPr>
        <w:t xml:space="preserve"> </w:t>
      </w:r>
      <w:r w:rsidR="003A3237" w:rsidRPr="003B5187">
        <w:rPr>
          <w:rFonts w:cs="Arial"/>
          <w:bCs/>
          <w:sz w:val="22"/>
          <w:szCs w:val="22"/>
        </w:rPr>
        <w:t xml:space="preserve">OFK </w:t>
      </w:r>
      <w:r w:rsidR="0051226E">
        <w:rPr>
          <w:rFonts w:cs="Arial"/>
          <w:bCs/>
          <w:sz w:val="22"/>
          <w:szCs w:val="22"/>
        </w:rPr>
        <w:t>určovala</w:t>
      </w:r>
      <w:r w:rsidR="003A3237" w:rsidRPr="003B5187">
        <w:rPr>
          <w:rFonts w:cs="Arial"/>
          <w:bCs/>
          <w:sz w:val="22"/>
          <w:szCs w:val="22"/>
        </w:rPr>
        <w:t xml:space="preserve"> předpokládanou hodnotu navrhovaných OFT, jejich kategorii a typ. Zpracování ročních zpráv</w:t>
      </w:r>
      <w:r w:rsidR="00B169C2">
        <w:rPr>
          <w:rFonts w:cs="Arial"/>
          <w:bCs/>
          <w:sz w:val="22"/>
          <w:szCs w:val="22"/>
        </w:rPr>
        <w:t xml:space="preserve"> a</w:t>
      </w:r>
      <w:r w:rsidR="003A3237" w:rsidRPr="003B5187">
        <w:rPr>
          <w:rFonts w:cs="Arial"/>
          <w:bCs/>
          <w:sz w:val="22"/>
          <w:szCs w:val="22"/>
        </w:rPr>
        <w:t xml:space="preserve"> schvalování plnění OFT bylo </w:t>
      </w:r>
      <w:r w:rsidR="00730909">
        <w:rPr>
          <w:rFonts w:cs="Arial"/>
          <w:bCs/>
          <w:sz w:val="22"/>
          <w:szCs w:val="22"/>
        </w:rPr>
        <w:t xml:space="preserve">rovněž </w:t>
      </w:r>
      <w:r w:rsidR="003A3237" w:rsidRPr="003B5187">
        <w:rPr>
          <w:rFonts w:cs="Arial"/>
          <w:bCs/>
          <w:sz w:val="22"/>
          <w:szCs w:val="22"/>
        </w:rPr>
        <w:t>přeneseno na</w:t>
      </w:r>
      <w:r w:rsidR="002D7522">
        <w:rPr>
          <w:rFonts w:cs="Arial"/>
          <w:bCs/>
          <w:sz w:val="22"/>
          <w:szCs w:val="22"/>
        </w:rPr>
        <w:t> </w:t>
      </w:r>
      <w:r w:rsidR="003A3237" w:rsidRPr="003B5187">
        <w:rPr>
          <w:rFonts w:cs="Arial"/>
          <w:bCs/>
          <w:sz w:val="22"/>
          <w:szCs w:val="22"/>
        </w:rPr>
        <w:t xml:space="preserve">zadavatele. </w:t>
      </w:r>
      <w:r w:rsidR="00730909">
        <w:rPr>
          <w:rFonts w:cs="Arial"/>
          <w:bCs/>
          <w:sz w:val="22"/>
          <w:szCs w:val="22"/>
        </w:rPr>
        <w:t xml:space="preserve">Došlo také ke změnám </w:t>
      </w:r>
      <w:r w:rsidR="00BC6672">
        <w:rPr>
          <w:rFonts w:cs="Arial"/>
          <w:bCs/>
          <w:sz w:val="22"/>
          <w:szCs w:val="22"/>
        </w:rPr>
        <w:t xml:space="preserve">v přístupu k problematice </w:t>
      </w:r>
      <w:r w:rsidR="00730909">
        <w:rPr>
          <w:rFonts w:cs="Arial"/>
          <w:bCs/>
          <w:sz w:val="22"/>
          <w:szCs w:val="22"/>
        </w:rPr>
        <w:t xml:space="preserve">kauzality a novosti OFT </w:t>
      </w:r>
      <w:r w:rsidR="00E105E8">
        <w:rPr>
          <w:rFonts w:cs="Arial"/>
          <w:bCs/>
          <w:sz w:val="22"/>
          <w:szCs w:val="22"/>
        </w:rPr>
        <w:t>(</w:t>
      </w:r>
      <w:r w:rsidR="00730909">
        <w:rPr>
          <w:rFonts w:cs="Arial"/>
          <w:bCs/>
          <w:sz w:val="22"/>
          <w:szCs w:val="22"/>
        </w:rPr>
        <w:t>viz</w:t>
      </w:r>
      <w:r w:rsidR="00B71862">
        <w:rPr>
          <w:rFonts w:cs="Arial"/>
          <w:bCs/>
          <w:sz w:val="22"/>
          <w:szCs w:val="22"/>
        </w:rPr>
        <w:t> </w:t>
      </w:r>
      <w:r w:rsidR="00730909">
        <w:rPr>
          <w:rFonts w:cs="Arial"/>
          <w:bCs/>
          <w:sz w:val="22"/>
          <w:szCs w:val="22"/>
        </w:rPr>
        <w:t>kapitola 1</w:t>
      </w:r>
      <w:r w:rsidR="004B44DF">
        <w:rPr>
          <w:rFonts w:cs="Arial"/>
          <w:bCs/>
          <w:sz w:val="22"/>
          <w:szCs w:val="22"/>
        </w:rPr>
        <w:t>.2</w:t>
      </w:r>
      <w:r w:rsidR="0051226E">
        <w:rPr>
          <w:rFonts w:cs="Arial"/>
          <w:bCs/>
          <w:sz w:val="22"/>
          <w:szCs w:val="22"/>
        </w:rPr>
        <w:t>, písm.</w:t>
      </w:r>
      <w:r w:rsidR="004B44DF">
        <w:rPr>
          <w:rFonts w:cs="Arial"/>
          <w:bCs/>
          <w:sz w:val="22"/>
          <w:szCs w:val="22"/>
        </w:rPr>
        <w:t xml:space="preserve"> c,</w:t>
      </w:r>
      <w:r w:rsidR="00B71862">
        <w:rPr>
          <w:rFonts w:cs="Arial"/>
          <w:bCs/>
          <w:sz w:val="22"/>
          <w:szCs w:val="22"/>
        </w:rPr>
        <w:t xml:space="preserve"> </w:t>
      </w:r>
      <w:r w:rsidR="004B44DF">
        <w:rPr>
          <w:rFonts w:cs="Arial"/>
          <w:bCs/>
          <w:sz w:val="22"/>
          <w:szCs w:val="22"/>
        </w:rPr>
        <w:t>d</w:t>
      </w:r>
      <w:r w:rsidR="00E105E8">
        <w:rPr>
          <w:rFonts w:cs="Arial"/>
          <w:bCs/>
          <w:sz w:val="22"/>
          <w:szCs w:val="22"/>
        </w:rPr>
        <w:t>).</w:t>
      </w:r>
    </w:p>
    <w:p w14:paraId="0B3A771C" w14:textId="77777777" w:rsidR="005F0E6A" w:rsidRDefault="005F0E6A" w:rsidP="00D241B1">
      <w:pPr>
        <w:autoSpaceDE w:val="0"/>
        <w:autoSpaceDN w:val="0"/>
        <w:adjustRightInd w:val="0"/>
        <w:jc w:val="both"/>
        <w:rPr>
          <w:rFonts w:cs="Arial"/>
          <w:b/>
          <w:sz w:val="22"/>
          <w:szCs w:val="22"/>
        </w:rPr>
      </w:pPr>
    </w:p>
    <w:p w14:paraId="3F25AB8A" w14:textId="42D9E053" w:rsidR="00EF56DD" w:rsidRPr="00CD6B43" w:rsidRDefault="00EF56DD" w:rsidP="00D241B1">
      <w:pPr>
        <w:autoSpaceDE w:val="0"/>
        <w:autoSpaceDN w:val="0"/>
        <w:adjustRightInd w:val="0"/>
        <w:jc w:val="both"/>
        <w:rPr>
          <w:rFonts w:cs="Arial"/>
          <w:sz w:val="22"/>
          <w:szCs w:val="22"/>
        </w:rPr>
      </w:pPr>
      <w:r w:rsidRPr="00CD6B43">
        <w:rPr>
          <w:rFonts w:cs="Arial"/>
          <w:b/>
          <w:sz w:val="22"/>
          <w:szCs w:val="22"/>
        </w:rPr>
        <w:t>MPO nastavilo Zásady a Pravidla tak, že bylo možné předkládat i již probíhající projekty, jejichž zahájení i realizace předcházely vlastnímu podání návrhu OFT. U</w:t>
      </w:r>
      <w:r>
        <w:rPr>
          <w:rFonts w:cs="Arial"/>
          <w:b/>
          <w:sz w:val="22"/>
          <w:szCs w:val="22"/>
        </w:rPr>
        <w:t> </w:t>
      </w:r>
      <w:r w:rsidRPr="00CD6B43">
        <w:rPr>
          <w:rFonts w:cs="Arial"/>
          <w:b/>
          <w:sz w:val="22"/>
          <w:szCs w:val="22"/>
        </w:rPr>
        <w:t>těchto OFT</w:t>
      </w:r>
      <w:r>
        <w:rPr>
          <w:rFonts w:cs="Arial"/>
          <w:b/>
          <w:sz w:val="22"/>
          <w:szCs w:val="22"/>
        </w:rPr>
        <w:t xml:space="preserve"> </w:t>
      </w:r>
      <w:r w:rsidRPr="00CD6B43">
        <w:rPr>
          <w:rFonts w:cs="Arial"/>
          <w:b/>
          <w:sz w:val="22"/>
          <w:szCs w:val="22"/>
        </w:rPr>
        <w:t xml:space="preserve">vykazovali předkladatelé hodnotu plnění a požadovali její uznání, aniž </w:t>
      </w:r>
      <w:r w:rsidRPr="004B44DF">
        <w:rPr>
          <w:rFonts w:cs="Arial"/>
          <w:b/>
          <w:sz w:val="22"/>
          <w:szCs w:val="22"/>
        </w:rPr>
        <w:t>takový</w:t>
      </w:r>
      <w:r>
        <w:rPr>
          <w:rFonts w:cs="Arial"/>
          <w:b/>
          <w:sz w:val="22"/>
          <w:szCs w:val="22"/>
        </w:rPr>
        <w:t xml:space="preserve"> návrh </w:t>
      </w:r>
      <w:r w:rsidRPr="00CD6B43">
        <w:rPr>
          <w:rFonts w:cs="Arial"/>
          <w:b/>
          <w:sz w:val="22"/>
          <w:szCs w:val="22"/>
        </w:rPr>
        <w:t xml:space="preserve">předložili ke schválení jako předoffset. Postup </w:t>
      </w:r>
      <w:r w:rsidR="0051226E" w:rsidRPr="00CD6B43">
        <w:rPr>
          <w:rFonts w:cs="Arial"/>
          <w:b/>
          <w:sz w:val="22"/>
          <w:szCs w:val="22"/>
        </w:rPr>
        <w:t xml:space="preserve">tak </w:t>
      </w:r>
      <w:r w:rsidRPr="00CD6B43">
        <w:rPr>
          <w:rFonts w:cs="Arial"/>
          <w:b/>
          <w:sz w:val="22"/>
          <w:szCs w:val="22"/>
        </w:rPr>
        <w:t xml:space="preserve">byl značně nepřehledný zejména s ohledem na podmínky akceptace návrhů OFT, </w:t>
      </w:r>
      <w:r w:rsidR="00506A1E">
        <w:rPr>
          <w:rFonts w:cs="Arial"/>
          <w:b/>
          <w:sz w:val="22"/>
          <w:szCs w:val="22"/>
        </w:rPr>
        <w:t>neboť tyto podmínky</w:t>
      </w:r>
      <w:r w:rsidRPr="00CD6B43">
        <w:rPr>
          <w:rFonts w:cs="Arial"/>
          <w:b/>
          <w:sz w:val="22"/>
          <w:szCs w:val="22"/>
        </w:rPr>
        <w:t xml:space="preserve"> byly interpretovány offsetovými dohodami</w:t>
      </w:r>
      <w:r w:rsidR="00D920E5">
        <w:rPr>
          <w:rFonts w:cs="Arial"/>
          <w:b/>
          <w:sz w:val="22"/>
          <w:szCs w:val="22"/>
        </w:rPr>
        <w:t xml:space="preserve"> </w:t>
      </w:r>
      <w:r w:rsidRPr="00CD6B43">
        <w:rPr>
          <w:rFonts w:cs="Arial"/>
          <w:b/>
          <w:sz w:val="22"/>
          <w:szCs w:val="22"/>
        </w:rPr>
        <w:t>v</w:t>
      </w:r>
      <w:r w:rsidR="00D920E5">
        <w:rPr>
          <w:rFonts w:cs="Arial"/>
          <w:b/>
          <w:sz w:val="22"/>
          <w:szCs w:val="22"/>
        </w:rPr>
        <w:t> </w:t>
      </w:r>
      <w:r w:rsidRPr="00CD6B43">
        <w:rPr>
          <w:rFonts w:cs="Arial"/>
          <w:b/>
          <w:sz w:val="22"/>
          <w:szCs w:val="22"/>
        </w:rPr>
        <w:t xml:space="preserve">některých případech odlišně </w:t>
      </w:r>
      <w:r w:rsidRPr="00CD6B43">
        <w:rPr>
          <w:rFonts w:cs="Arial"/>
          <w:b/>
          <w:sz w:val="22"/>
          <w:szCs w:val="22"/>
        </w:rPr>
        <w:lastRenderedPageBreak/>
        <w:t xml:space="preserve">od příslušných Zásad a </w:t>
      </w:r>
      <w:r w:rsidRPr="00312CEA">
        <w:rPr>
          <w:rFonts w:cs="Arial"/>
          <w:b/>
          <w:sz w:val="22"/>
          <w:szCs w:val="22"/>
        </w:rPr>
        <w:t>Pravidel</w:t>
      </w:r>
      <w:r w:rsidRPr="007C66B7">
        <w:rPr>
          <w:rFonts w:cs="Arial"/>
          <w:sz w:val="22"/>
          <w:szCs w:val="22"/>
        </w:rPr>
        <w:t xml:space="preserve"> (např. podmínky započtení předoffsetů, uznatelná doba trvání OFT, kategorie přímých offsetů)</w:t>
      </w:r>
      <w:r w:rsidRPr="00D241B1">
        <w:rPr>
          <w:rFonts w:cs="Arial"/>
          <w:sz w:val="22"/>
          <w:szCs w:val="22"/>
        </w:rPr>
        <w:t xml:space="preserve">. </w:t>
      </w:r>
    </w:p>
    <w:p w14:paraId="5CF832DB" w14:textId="77777777" w:rsidR="005F0E6A" w:rsidRDefault="005F0E6A" w:rsidP="00D241B1">
      <w:pPr>
        <w:autoSpaceDE w:val="0"/>
        <w:autoSpaceDN w:val="0"/>
        <w:adjustRightInd w:val="0"/>
        <w:jc w:val="both"/>
        <w:rPr>
          <w:rFonts w:cs="Arial"/>
          <w:b/>
          <w:bCs/>
          <w:sz w:val="22"/>
          <w:szCs w:val="22"/>
          <w:u w:val="single"/>
        </w:rPr>
      </w:pPr>
    </w:p>
    <w:p w14:paraId="3F25AB8B" w14:textId="2052FC7D" w:rsidR="00B05C35" w:rsidRPr="004B44DF" w:rsidRDefault="003A3237" w:rsidP="00D241B1">
      <w:pPr>
        <w:autoSpaceDE w:val="0"/>
        <w:autoSpaceDN w:val="0"/>
        <w:adjustRightInd w:val="0"/>
        <w:jc w:val="both"/>
        <w:rPr>
          <w:rFonts w:cs="Arial"/>
          <w:bCs/>
          <w:sz w:val="22"/>
          <w:szCs w:val="22"/>
        </w:rPr>
      </w:pPr>
      <w:r w:rsidRPr="00E105E8">
        <w:rPr>
          <w:rFonts w:cs="Arial"/>
          <w:b/>
          <w:bCs/>
          <w:sz w:val="22"/>
          <w:szCs w:val="22"/>
          <w:u w:val="single"/>
        </w:rPr>
        <w:t>Správa offsetových aktivit</w:t>
      </w:r>
      <w:r w:rsidRPr="003B5187">
        <w:rPr>
          <w:rFonts w:cs="Arial"/>
          <w:bCs/>
          <w:sz w:val="22"/>
          <w:szCs w:val="22"/>
        </w:rPr>
        <w:t xml:space="preserve"> v podobě registrace, vedení </w:t>
      </w:r>
      <w:r w:rsidR="00B05C35">
        <w:rPr>
          <w:rFonts w:cs="Arial"/>
          <w:bCs/>
          <w:sz w:val="22"/>
          <w:szCs w:val="22"/>
        </w:rPr>
        <w:t xml:space="preserve">centrální </w:t>
      </w:r>
      <w:r w:rsidRPr="003B5187">
        <w:rPr>
          <w:rFonts w:cs="Arial"/>
          <w:bCs/>
          <w:sz w:val="22"/>
          <w:szCs w:val="22"/>
        </w:rPr>
        <w:t xml:space="preserve">evidence a </w:t>
      </w:r>
      <w:r w:rsidR="006B2D02" w:rsidRPr="003B5187">
        <w:rPr>
          <w:rFonts w:cs="Arial"/>
          <w:bCs/>
          <w:sz w:val="22"/>
          <w:szCs w:val="22"/>
        </w:rPr>
        <w:t>vešker</w:t>
      </w:r>
      <w:r w:rsidR="006B2D02">
        <w:rPr>
          <w:rFonts w:cs="Arial"/>
          <w:bCs/>
          <w:sz w:val="22"/>
          <w:szCs w:val="22"/>
        </w:rPr>
        <w:t>é</w:t>
      </w:r>
      <w:r w:rsidR="006B2D02" w:rsidRPr="003B5187">
        <w:rPr>
          <w:rFonts w:cs="Arial"/>
          <w:bCs/>
          <w:sz w:val="22"/>
          <w:szCs w:val="22"/>
        </w:rPr>
        <w:t xml:space="preserve"> </w:t>
      </w:r>
      <w:r w:rsidRPr="003B5187">
        <w:rPr>
          <w:rFonts w:cs="Arial"/>
          <w:bCs/>
          <w:sz w:val="22"/>
          <w:szCs w:val="22"/>
        </w:rPr>
        <w:t xml:space="preserve">další administrativy byla úkolem </w:t>
      </w:r>
      <w:r w:rsidR="002D2D70">
        <w:rPr>
          <w:rFonts w:cs="Arial"/>
          <w:bCs/>
          <w:sz w:val="22"/>
          <w:szCs w:val="22"/>
        </w:rPr>
        <w:t xml:space="preserve">konkrétního útvaru </w:t>
      </w:r>
      <w:r w:rsidRPr="003B5187">
        <w:rPr>
          <w:rFonts w:cs="Arial"/>
          <w:bCs/>
          <w:sz w:val="22"/>
          <w:szCs w:val="22"/>
        </w:rPr>
        <w:t>MPO,</w:t>
      </w:r>
      <w:r w:rsidR="002D2D70">
        <w:rPr>
          <w:rFonts w:cs="Arial"/>
          <w:bCs/>
          <w:sz w:val="22"/>
          <w:szCs w:val="22"/>
        </w:rPr>
        <w:t xml:space="preserve"> který</w:t>
      </w:r>
      <w:r w:rsidR="00D861EE">
        <w:rPr>
          <w:rFonts w:cs="Arial"/>
          <w:bCs/>
          <w:sz w:val="22"/>
          <w:szCs w:val="22"/>
        </w:rPr>
        <w:t xml:space="preserve"> zajišťoval</w:t>
      </w:r>
      <w:r w:rsidR="00D861EE" w:rsidRPr="003B5187">
        <w:rPr>
          <w:rFonts w:cs="Arial"/>
          <w:bCs/>
          <w:sz w:val="22"/>
          <w:szCs w:val="22"/>
        </w:rPr>
        <w:t xml:space="preserve"> </w:t>
      </w:r>
      <w:r w:rsidRPr="003B5187">
        <w:rPr>
          <w:rFonts w:cs="Arial"/>
          <w:bCs/>
          <w:sz w:val="22"/>
          <w:szCs w:val="22"/>
        </w:rPr>
        <w:t>chod sekretariátu OFK</w:t>
      </w:r>
      <w:r w:rsidR="006B2D02">
        <w:rPr>
          <w:rFonts w:cs="Arial"/>
          <w:bCs/>
          <w:sz w:val="22"/>
          <w:szCs w:val="22"/>
        </w:rPr>
        <w:t>.</w:t>
      </w:r>
      <w:r w:rsidR="00453F78">
        <w:rPr>
          <w:rFonts w:cs="Arial"/>
          <w:bCs/>
          <w:sz w:val="22"/>
          <w:szCs w:val="22"/>
        </w:rPr>
        <w:t xml:space="preserve"> </w:t>
      </w:r>
      <w:r w:rsidR="006B2D02">
        <w:rPr>
          <w:rFonts w:cs="Arial"/>
          <w:bCs/>
          <w:sz w:val="22"/>
          <w:szCs w:val="22"/>
        </w:rPr>
        <w:t xml:space="preserve">Tento </w:t>
      </w:r>
      <w:r w:rsidR="003B5187">
        <w:rPr>
          <w:rFonts w:cs="Arial"/>
          <w:bCs/>
          <w:sz w:val="22"/>
          <w:szCs w:val="22"/>
        </w:rPr>
        <w:t xml:space="preserve">útvar prošel </w:t>
      </w:r>
      <w:r w:rsidR="00506A1E">
        <w:rPr>
          <w:rFonts w:cs="Arial"/>
          <w:bCs/>
          <w:sz w:val="22"/>
          <w:szCs w:val="22"/>
        </w:rPr>
        <w:t>během</w:t>
      </w:r>
      <w:r w:rsidR="003B5187">
        <w:rPr>
          <w:rFonts w:cs="Arial"/>
          <w:bCs/>
          <w:sz w:val="22"/>
          <w:szCs w:val="22"/>
        </w:rPr>
        <w:t xml:space="preserve"> kontrolované</w:t>
      </w:r>
      <w:r w:rsidR="00506A1E">
        <w:rPr>
          <w:rFonts w:cs="Arial"/>
          <w:bCs/>
          <w:sz w:val="22"/>
          <w:szCs w:val="22"/>
        </w:rPr>
        <w:t>ho</w:t>
      </w:r>
      <w:r w:rsidR="003B5187">
        <w:rPr>
          <w:rFonts w:cs="Arial"/>
          <w:bCs/>
          <w:sz w:val="22"/>
          <w:szCs w:val="22"/>
        </w:rPr>
        <w:t xml:space="preserve"> období přibližně </w:t>
      </w:r>
      <w:r w:rsidR="00506A1E">
        <w:rPr>
          <w:rFonts w:cs="Arial"/>
          <w:bCs/>
          <w:sz w:val="22"/>
          <w:szCs w:val="22"/>
        </w:rPr>
        <w:t>patnácti</w:t>
      </w:r>
      <w:r w:rsidR="00204BD8">
        <w:rPr>
          <w:rFonts w:cs="Arial"/>
          <w:bCs/>
          <w:sz w:val="22"/>
          <w:szCs w:val="22"/>
        </w:rPr>
        <w:t xml:space="preserve"> různými organizačními</w:t>
      </w:r>
      <w:r w:rsidR="00524626">
        <w:rPr>
          <w:rFonts w:cs="Arial"/>
          <w:bCs/>
          <w:sz w:val="22"/>
          <w:szCs w:val="22"/>
        </w:rPr>
        <w:t xml:space="preserve"> změnami</w:t>
      </w:r>
      <w:r w:rsidR="00204BD8">
        <w:rPr>
          <w:rFonts w:cs="Arial"/>
          <w:bCs/>
          <w:sz w:val="22"/>
          <w:szCs w:val="22"/>
        </w:rPr>
        <w:t>, které s různou intenzitou</w:t>
      </w:r>
      <w:r w:rsidR="00B05C35">
        <w:rPr>
          <w:rFonts w:cs="Arial"/>
          <w:bCs/>
          <w:sz w:val="22"/>
          <w:szCs w:val="22"/>
        </w:rPr>
        <w:t xml:space="preserve"> </w:t>
      </w:r>
      <w:r w:rsidR="00524626">
        <w:rPr>
          <w:rFonts w:cs="Arial"/>
          <w:bCs/>
          <w:sz w:val="22"/>
          <w:szCs w:val="22"/>
        </w:rPr>
        <w:t xml:space="preserve">upravovaly </w:t>
      </w:r>
      <w:r w:rsidR="00B05C35">
        <w:rPr>
          <w:rFonts w:cs="Arial"/>
          <w:bCs/>
          <w:sz w:val="22"/>
          <w:szCs w:val="22"/>
        </w:rPr>
        <w:t>jeho</w:t>
      </w:r>
      <w:r w:rsidR="0001442A">
        <w:rPr>
          <w:rFonts w:cs="Arial"/>
          <w:bCs/>
          <w:sz w:val="22"/>
          <w:szCs w:val="22"/>
        </w:rPr>
        <w:t xml:space="preserve"> </w:t>
      </w:r>
      <w:r w:rsidR="00B05C35">
        <w:rPr>
          <w:rFonts w:cs="Arial"/>
          <w:bCs/>
          <w:sz w:val="22"/>
          <w:szCs w:val="22"/>
        </w:rPr>
        <w:t>náplň a zařazení v rámci MPO.</w:t>
      </w:r>
      <w:r w:rsidR="006B2D02">
        <w:rPr>
          <w:rFonts w:cs="Arial"/>
          <w:bCs/>
          <w:sz w:val="22"/>
          <w:szCs w:val="22"/>
        </w:rPr>
        <w:t xml:space="preserve"> Nakonec</w:t>
      </w:r>
      <w:r w:rsidR="006B2D02" w:rsidRPr="003B5187">
        <w:rPr>
          <w:rFonts w:cs="Arial"/>
          <w:bCs/>
          <w:sz w:val="22"/>
          <w:szCs w:val="22"/>
        </w:rPr>
        <w:t xml:space="preserve"> </w:t>
      </w:r>
      <w:r w:rsidR="00506A1E">
        <w:rPr>
          <w:rFonts w:cs="Arial"/>
          <w:bCs/>
          <w:sz w:val="22"/>
          <w:szCs w:val="22"/>
        </w:rPr>
        <w:t>byl</w:t>
      </w:r>
      <w:r w:rsidR="00506A1E" w:rsidRPr="003B5187">
        <w:rPr>
          <w:rFonts w:cs="Arial"/>
          <w:bCs/>
          <w:sz w:val="22"/>
          <w:szCs w:val="22"/>
        </w:rPr>
        <w:t xml:space="preserve"> </w:t>
      </w:r>
      <w:r w:rsidR="006B2D02" w:rsidRPr="003B5187">
        <w:rPr>
          <w:rFonts w:cs="Arial"/>
          <w:bCs/>
          <w:sz w:val="22"/>
          <w:szCs w:val="22"/>
        </w:rPr>
        <w:t>v souvislosti s přijetím Zásad 2005</w:t>
      </w:r>
      <w:r w:rsidR="006B2D02">
        <w:rPr>
          <w:rFonts w:cs="Arial"/>
          <w:bCs/>
          <w:sz w:val="22"/>
          <w:szCs w:val="22"/>
        </w:rPr>
        <w:t xml:space="preserve"> </w:t>
      </w:r>
      <w:r w:rsidR="006B2D02" w:rsidRPr="003B5187">
        <w:rPr>
          <w:rFonts w:cs="Arial"/>
          <w:bCs/>
          <w:sz w:val="22"/>
          <w:szCs w:val="22"/>
        </w:rPr>
        <w:t xml:space="preserve">zrušen </w:t>
      </w:r>
      <w:r w:rsidR="006B2D02" w:rsidRPr="004B44DF">
        <w:rPr>
          <w:rFonts w:cs="Arial"/>
          <w:bCs/>
          <w:sz w:val="22"/>
          <w:szCs w:val="22"/>
        </w:rPr>
        <w:t>a</w:t>
      </w:r>
      <w:r w:rsidR="00D861EE" w:rsidRPr="004B44DF">
        <w:rPr>
          <w:rFonts w:cs="Arial"/>
          <w:bCs/>
          <w:sz w:val="22"/>
          <w:szCs w:val="22"/>
        </w:rPr>
        <w:t xml:space="preserve"> agenda byla převedena na tajemníka</w:t>
      </w:r>
      <w:r w:rsidR="006B2D02" w:rsidRPr="004B44DF">
        <w:rPr>
          <w:rFonts w:cs="Arial"/>
          <w:bCs/>
          <w:sz w:val="22"/>
          <w:szCs w:val="22"/>
        </w:rPr>
        <w:t xml:space="preserve"> OFK.</w:t>
      </w:r>
    </w:p>
    <w:p w14:paraId="38C3D28D" w14:textId="77777777" w:rsidR="005F0E6A" w:rsidRDefault="005F0E6A" w:rsidP="00D241B1">
      <w:pPr>
        <w:autoSpaceDE w:val="0"/>
        <w:autoSpaceDN w:val="0"/>
        <w:adjustRightInd w:val="0"/>
        <w:jc w:val="both"/>
        <w:rPr>
          <w:rFonts w:cs="Arial"/>
          <w:b/>
          <w:bCs/>
          <w:sz w:val="22"/>
          <w:szCs w:val="22"/>
        </w:rPr>
      </w:pPr>
    </w:p>
    <w:p w14:paraId="3F25AB8C" w14:textId="5E7AC1C9" w:rsidR="00166899" w:rsidRDefault="00B05C35" w:rsidP="00D241B1">
      <w:pPr>
        <w:autoSpaceDE w:val="0"/>
        <w:autoSpaceDN w:val="0"/>
        <w:adjustRightInd w:val="0"/>
        <w:jc w:val="both"/>
        <w:rPr>
          <w:rFonts w:cs="Arial"/>
          <w:bCs/>
          <w:sz w:val="22"/>
          <w:szCs w:val="22"/>
        </w:rPr>
      </w:pPr>
      <w:r w:rsidRPr="004B44DF">
        <w:rPr>
          <w:rFonts w:cs="Arial"/>
          <w:b/>
          <w:bCs/>
          <w:sz w:val="22"/>
          <w:szCs w:val="22"/>
        </w:rPr>
        <w:t xml:space="preserve">Kontrolou evidence </w:t>
      </w:r>
      <w:r w:rsidR="00075A5D" w:rsidRPr="004B44DF">
        <w:rPr>
          <w:rFonts w:cs="Arial"/>
          <w:b/>
          <w:bCs/>
          <w:sz w:val="22"/>
          <w:szCs w:val="22"/>
        </w:rPr>
        <w:t xml:space="preserve">návrhů </w:t>
      </w:r>
      <w:r w:rsidRPr="004B44DF">
        <w:rPr>
          <w:rFonts w:cs="Arial"/>
          <w:b/>
          <w:bCs/>
          <w:sz w:val="22"/>
          <w:szCs w:val="22"/>
        </w:rPr>
        <w:t xml:space="preserve">OFT (dále jen „Rejstřík“) bylo zjištěno, </w:t>
      </w:r>
      <w:r w:rsidR="00524626" w:rsidRPr="004B44DF">
        <w:rPr>
          <w:rFonts w:cs="Arial"/>
          <w:b/>
          <w:bCs/>
          <w:sz w:val="22"/>
          <w:szCs w:val="22"/>
        </w:rPr>
        <w:t>že</w:t>
      </w:r>
      <w:r w:rsidR="001D3F3E" w:rsidRPr="004B44DF">
        <w:rPr>
          <w:rFonts w:cs="Arial"/>
          <w:b/>
          <w:bCs/>
          <w:sz w:val="22"/>
          <w:szCs w:val="22"/>
        </w:rPr>
        <w:t xml:space="preserve"> v řadě případů </w:t>
      </w:r>
      <w:r w:rsidR="00506A1E">
        <w:rPr>
          <w:rFonts w:cs="Arial"/>
          <w:b/>
          <w:bCs/>
          <w:sz w:val="22"/>
          <w:szCs w:val="22"/>
        </w:rPr>
        <w:t xml:space="preserve">tento Rejstřík </w:t>
      </w:r>
      <w:r w:rsidR="001D3F3E" w:rsidRPr="004B44DF">
        <w:rPr>
          <w:rFonts w:cs="Arial"/>
          <w:b/>
          <w:bCs/>
          <w:sz w:val="22"/>
          <w:szCs w:val="22"/>
        </w:rPr>
        <w:t>neobsahoval údaje uvedené v návrzích OFT</w:t>
      </w:r>
      <w:r w:rsidR="00166899" w:rsidRPr="004B44DF">
        <w:rPr>
          <w:rStyle w:val="Znakapoznpodarou"/>
          <w:rFonts w:cs="Arial"/>
          <w:b/>
          <w:bCs/>
          <w:sz w:val="22"/>
          <w:szCs w:val="22"/>
        </w:rPr>
        <w:footnoteReference w:id="26"/>
      </w:r>
      <w:r w:rsidR="001D3F3E" w:rsidRPr="004B44DF">
        <w:rPr>
          <w:rFonts w:cs="Arial"/>
          <w:b/>
          <w:bCs/>
          <w:sz w:val="22"/>
          <w:szCs w:val="22"/>
        </w:rPr>
        <w:t xml:space="preserve"> </w:t>
      </w:r>
      <w:r w:rsidR="00D861EE" w:rsidRPr="00BE2B44">
        <w:rPr>
          <w:rFonts w:cs="Arial"/>
          <w:b/>
          <w:bCs/>
          <w:sz w:val="22"/>
          <w:szCs w:val="22"/>
        </w:rPr>
        <w:t>ani</w:t>
      </w:r>
      <w:r w:rsidR="001D3F3E" w:rsidRPr="00BE2B44">
        <w:rPr>
          <w:rFonts w:cs="Arial"/>
          <w:b/>
          <w:bCs/>
          <w:sz w:val="22"/>
          <w:szCs w:val="22"/>
        </w:rPr>
        <w:t xml:space="preserve"> údaje o jejich plnění.</w:t>
      </w:r>
      <w:r w:rsidR="001D3F3E">
        <w:rPr>
          <w:rFonts w:cs="Arial"/>
          <w:bCs/>
          <w:sz w:val="22"/>
          <w:szCs w:val="22"/>
        </w:rPr>
        <w:t xml:space="preserve"> </w:t>
      </w:r>
      <w:r>
        <w:rPr>
          <w:rFonts w:cs="Arial"/>
          <w:bCs/>
          <w:sz w:val="22"/>
          <w:szCs w:val="22"/>
        </w:rPr>
        <w:t>Struktura Rejstříku neměla jednoznačně určená pole pro vykazování typu a kategorie OFT, předpokládanou dobu plnění nebo označení PPS, pro který byla konkrétní OFT schvalována OFK a následně zařazena</w:t>
      </w:r>
      <w:r w:rsidR="008B3D8B">
        <w:rPr>
          <w:rFonts w:cs="Arial"/>
          <w:bCs/>
          <w:sz w:val="22"/>
          <w:szCs w:val="22"/>
        </w:rPr>
        <w:t xml:space="preserve"> u</w:t>
      </w:r>
      <w:r>
        <w:rPr>
          <w:rFonts w:cs="Arial"/>
          <w:bCs/>
          <w:sz w:val="22"/>
          <w:szCs w:val="22"/>
        </w:rPr>
        <w:t xml:space="preserve"> MO</w:t>
      </w:r>
      <w:r w:rsidR="006A1CE0">
        <w:rPr>
          <w:rFonts w:cs="Arial"/>
          <w:bCs/>
          <w:sz w:val="22"/>
          <w:szCs w:val="22"/>
        </w:rPr>
        <w:t xml:space="preserve"> nebo </w:t>
      </w:r>
      <w:r>
        <w:rPr>
          <w:rFonts w:cs="Arial"/>
          <w:bCs/>
          <w:sz w:val="22"/>
          <w:szCs w:val="22"/>
        </w:rPr>
        <w:t xml:space="preserve">MV. </w:t>
      </w:r>
      <w:r w:rsidR="00421E62">
        <w:rPr>
          <w:rFonts w:cs="Arial"/>
          <w:bCs/>
          <w:sz w:val="22"/>
          <w:szCs w:val="22"/>
        </w:rPr>
        <w:t xml:space="preserve">Pokud </w:t>
      </w:r>
      <w:r w:rsidR="00506A1E">
        <w:rPr>
          <w:rFonts w:cs="Arial"/>
          <w:bCs/>
          <w:sz w:val="22"/>
          <w:szCs w:val="22"/>
        </w:rPr>
        <w:t xml:space="preserve">byly </w:t>
      </w:r>
      <w:r w:rsidR="00421E62">
        <w:rPr>
          <w:rFonts w:cs="Arial"/>
          <w:bCs/>
          <w:sz w:val="22"/>
          <w:szCs w:val="22"/>
        </w:rPr>
        <w:t>tyto údaje uvedeny, nebyly v Rejstříku vykazovány konzistentně</w:t>
      </w:r>
      <w:r w:rsidR="00506A1E">
        <w:rPr>
          <w:rFonts w:cs="Arial"/>
          <w:bCs/>
          <w:sz w:val="22"/>
          <w:szCs w:val="22"/>
        </w:rPr>
        <w:t>,</w:t>
      </w:r>
      <w:r w:rsidR="00B15CF1">
        <w:rPr>
          <w:rFonts w:cs="Arial"/>
          <w:bCs/>
          <w:sz w:val="22"/>
          <w:szCs w:val="22"/>
        </w:rPr>
        <w:t xml:space="preserve"> a to i přes částečné zlepšení kvality evidence v posledních </w:t>
      </w:r>
      <w:r w:rsidR="00506A1E">
        <w:rPr>
          <w:rFonts w:cs="Arial"/>
          <w:bCs/>
          <w:sz w:val="22"/>
          <w:szCs w:val="22"/>
        </w:rPr>
        <w:t xml:space="preserve">pěti </w:t>
      </w:r>
      <w:r w:rsidR="00B15CF1">
        <w:rPr>
          <w:rFonts w:cs="Arial"/>
          <w:bCs/>
          <w:sz w:val="22"/>
          <w:szCs w:val="22"/>
        </w:rPr>
        <w:t>letech</w:t>
      </w:r>
      <w:r w:rsidR="00421E62">
        <w:rPr>
          <w:rFonts w:cs="Arial"/>
          <w:bCs/>
          <w:sz w:val="22"/>
          <w:szCs w:val="22"/>
        </w:rPr>
        <w:t xml:space="preserve">. </w:t>
      </w:r>
    </w:p>
    <w:p w14:paraId="4B7140A4" w14:textId="77777777" w:rsidR="005F0E6A" w:rsidRDefault="005F0E6A" w:rsidP="00D241B1">
      <w:pPr>
        <w:autoSpaceDE w:val="0"/>
        <w:autoSpaceDN w:val="0"/>
        <w:adjustRightInd w:val="0"/>
        <w:jc w:val="both"/>
        <w:rPr>
          <w:rFonts w:cs="Arial"/>
          <w:bCs/>
          <w:sz w:val="22"/>
          <w:szCs w:val="22"/>
        </w:rPr>
      </w:pPr>
    </w:p>
    <w:p w14:paraId="3F25AB8D" w14:textId="0A9D837A" w:rsidR="00383ADA" w:rsidRDefault="00421E62" w:rsidP="00D241B1">
      <w:pPr>
        <w:autoSpaceDE w:val="0"/>
        <w:autoSpaceDN w:val="0"/>
        <w:adjustRightInd w:val="0"/>
        <w:jc w:val="both"/>
        <w:rPr>
          <w:rFonts w:cs="Arial"/>
          <w:bCs/>
          <w:sz w:val="22"/>
          <w:szCs w:val="22"/>
        </w:rPr>
      </w:pPr>
      <w:r>
        <w:rPr>
          <w:rFonts w:cs="Arial"/>
          <w:bCs/>
          <w:sz w:val="22"/>
          <w:szCs w:val="22"/>
        </w:rPr>
        <w:t xml:space="preserve">Rejstřík byl po celou dobu veden </w:t>
      </w:r>
      <w:r w:rsidR="00D920E5">
        <w:rPr>
          <w:rFonts w:cs="Arial"/>
          <w:bCs/>
          <w:sz w:val="22"/>
          <w:szCs w:val="22"/>
        </w:rPr>
        <w:t>v </w:t>
      </w:r>
      <w:r w:rsidR="00580568">
        <w:rPr>
          <w:rFonts w:cs="Arial"/>
          <w:bCs/>
          <w:sz w:val="22"/>
          <w:szCs w:val="22"/>
        </w:rPr>
        <w:t>dokumentu</w:t>
      </w:r>
      <w:r>
        <w:rPr>
          <w:rFonts w:cs="Arial"/>
          <w:bCs/>
          <w:sz w:val="22"/>
          <w:szCs w:val="22"/>
        </w:rPr>
        <w:t xml:space="preserve"> formátu MS Word a </w:t>
      </w:r>
      <w:r w:rsidR="00B15CF1">
        <w:rPr>
          <w:rFonts w:cs="Arial"/>
          <w:bCs/>
          <w:sz w:val="22"/>
          <w:szCs w:val="22"/>
        </w:rPr>
        <w:t xml:space="preserve">s ohledem </w:t>
      </w:r>
      <w:r>
        <w:rPr>
          <w:rFonts w:cs="Arial"/>
          <w:bCs/>
          <w:sz w:val="22"/>
          <w:szCs w:val="22"/>
        </w:rPr>
        <w:t>na zjištěné skutečnosti a</w:t>
      </w:r>
      <w:r w:rsidR="0001442A">
        <w:rPr>
          <w:rFonts w:cs="Arial"/>
          <w:bCs/>
          <w:sz w:val="22"/>
          <w:szCs w:val="22"/>
        </w:rPr>
        <w:t> </w:t>
      </w:r>
      <w:r>
        <w:rPr>
          <w:rFonts w:cs="Arial"/>
          <w:bCs/>
          <w:sz w:val="22"/>
          <w:szCs w:val="22"/>
        </w:rPr>
        <w:t xml:space="preserve">chybějící ochranu </w:t>
      </w:r>
      <w:r w:rsidR="00D920E5">
        <w:rPr>
          <w:rFonts w:cs="Arial"/>
          <w:bCs/>
          <w:sz w:val="22"/>
          <w:szCs w:val="22"/>
        </w:rPr>
        <w:t>v </w:t>
      </w:r>
      <w:r>
        <w:rPr>
          <w:rFonts w:cs="Arial"/>
          <w:bCs/>
          <w:sz w:val="22"/>
          <w:szCs w:val="22"/>
        </w:rPr>
        <w:t>něm uvedených záznamů</w:t>
      </w:r>
      <w:r>
        <w:rPr>
          <w:rStyle w:val="Znakapoznpodarou"/>
          <w:rFonts w:cs="Arial"/>
          <w:bCs/>
          <w:sz w:val="22"/>
          <w:szCs w:val="22"/>
        </w:rPr>
        <w:footnoteReference w:id="27"/>
      </w:r>
      <w:r w:rsidR="00B15CF1">
        <w:rPr>
          <w:rFonts w:cs="Arial"/>
          <w:bCs/>
          <w:sz w:val="22"/>
          <w:szCs w:val="22"/>
        </w:rPr>
        <w:t xml:space="preserve"> nepředstavoval spolehlivý zdroj informací.</w:t>
      </w:r>
      <w:r>
        <w:rPr>
          <w:rFonts w:cs="Arial"/>
          <w:bCs/>
          <w:sz w:val="22"/>
          <w:szCs w:val="22"/>
        </w:rPr>
        <w:t xml:space="preserve"> </w:t>
      </w:r>
      <w:r w:rsidRPr="00D241B1">
        <w:rPr>
          <w:rFonts w:cs="Arial"/>
          <w:b/>
          <w:bCs/>
          <w:sz w:val="22"/>
          <w:szCs w:val="22"/>
        </w:rPr>
        <w:t>Ačkoli podle MPO nesloužil jako administrativní nástroj k řízení a</w:t>
      </w:r>
      <w:r w:rsidR="002B621D">
        <w:rPr>
          <w:rFonts w:cs="Arial"/>
          <w:b/>
          <w:bCs/>
          <w:sz w:val="22"/>
          <w:szCs w:val="22"/>
        </w:rPr>
        <w:t> </w:t>
      </w:r>
      <w:r w:rsidRPr="00D241B1">
        <w:rPr>
          <w:rFonts w:cs="Arial"/>
          <w:b/>
          <w:bCs/>
          <w:sz w:val="22"/>
          <w:szCs w:val="22"/>
        </w:rPr>
        <w:t xml:space="preserve">kontrole plnění PPS a </w:t>
      </w:r>
      <w:r w:rsidR="00E019AD" w:rsidRPr="00D241B1">
        <w:rPr>
          <w:rFonts w:cs="Arial"/>
          <w:b/>
          <w:bCs/>
          <w:sz w:val="22"/>
          <w:szCs w:val="22"/>
        </w:rPr>
        <w:t xml:space="preserve">byl využíván pouze </w:t>
      </w:r>
      <w:r w:rsidRPr="00D241B1">
        <w:rPr>
          <w:rFonts w:cs="Arial"/>
          <w:b/>
          <w:bCs/>
          <w:sz w:val="22"/>
          <w:szCs w:val="22"/>
        </w:rPr>
        <w:t>jako doplňkový zdroj informací pro OFK,</w:t>
      </w:r>
      <w:r>
        <w:rPr>
          <w:rFonts w:cs="Arial"/>
          <w:bCs/>
          <w:sz w:val="22"/>
          <w:szCs w:val="22"/>
        </w:rPr>
        <w:t xml:space="preserve"> </w:t>
      </w:r>
      <w:r w:rsidR="00506A1E" w:rsidRPr="0068575C">
        <w:rPr>
          <w:rFonts w:cs="Arial"/>
          <w:b/>
          <w:bCs/>
          <w:sz w:val="22"/>
          <w:szCs w:val="22"/>
        </w:rPr>
        <w:t xml:space="preserve">je </w:t>
      </w:r>
      <w:r w:rsidRPr="0068575C">
        <w:rPr>
          <w:rFonts w:cs="Arial"/>
          <w:b/>
          <w:bCs/>
          <w:sz w:val="22"/>
          <w:szCs w:val="22"/>
        </w:rPr>
        <w:t xml:space="preserve">stávající řešení Rejstříku nevyhovující </w:t>
      </w:r>
      <w:r w:rsidR="00506A1E">
        <w:rPr>
          <w:rFonts w:cs="Arial"/>
          <w:b/>
          <w:bCs/>
          <w:sz w:val="22"/>
          <w:szCs w:val="22"/>
        </w:rPr>
        <w:t xml:space="preserve">jak </w:t>
      </w:r>
      <w:r w:rsidR="00D920E5">
        <w:rPr>
          <w:rFonts w:cs="Arial"/>
          <w:b/>
          <w:bCs/>
          <w:sz w:val="22"/>
          <w:szCs w:val="22"/>
        </w:rPr>
        <w:t>z </w:t>
      </w:r>
      <w:r w:rsidRPr="0068575C">
        <w:rPr>
          <w:rFonts w:cs="Arial"/>
          <w:b/>
          <w:bCs/>
          <w:sz w:val="22"/>
          <w:szCs w:val="22"/>
        </w:rPr>
        <w:t xml:space="preserve">pohledu elementárního způsobu </w:t>
      </w:r>
      <w:r w:rsidR="00383ADA" w:rsidRPr="0068575C">
        <w:rPr>
          <w:rFonts w:cs="Arial"/>
          <w:b/>
          <w:bCs/>
          <w:sz w:val="22"/>
          <w:szCs w:val="22"/>
        </w:rPr>
        <w:t xml:space="preserve">vedení </w:t>
      </w:r>
      <w:r w:rsidRPr="0068575C">
        <w:rPr>
          <w:rFonts w:cs="Arial"/>
          <w:b/>
          <w:bCs/>
          <w:sz w:val="22"/>
          <w:szCs w:val="22"/>
        </w:rPr>
        <w:t>jakékoliv evidence</w:t>
      </w:r>
      <w:r w:rsidR="00506A1E">
        <w:rPr>
          <w:rFonts w:cs="Arial"/>
          <w:b/>
          <w:bCs/>
          <w:sz w:val="22"/>
          <w:szCs w:val="22"/>
        </w:rPr>
        <w:t>,</w:t>
      </w:r>
      <w:r w:rsidR="00383ADA" w:rsidRPr="0068575C">
        <w:rPr>
          <w:rFonts w:cs="Arial"/>
          <w:b/>
          <w:bCs/>
          <w:sz w:val="22"/>
          <w:szCs w:val="22"/>
        </w:rPr>
        <w:t xml:space="preserve"> </w:t>
      </w:r>
      <w:r w:rsidR="002B621D">
        <w:rPr>
          <w:rFonts w:cs="Arial"/>
          <w:b/>
          <w:bCs/>
          <w:sz w:val="22"/>
          <w:szCs w:val="22"/>
        </w:rPr>
        <w:t>tak z pohledu</w:t>
      </w:r>
      <w:r w:rsidR="00383ADA" w:rsidRPr="0068575C">
        <w:rPr>
          <w:rFonts w:cs="Arial"/>
          <w:b/>
          <w:bCs/>
          <w:sz w:val="22"/>
          <w:szCs w:val="22"/>
        </w:rPr>
        <w:t xml:space="preserve"> jejího případného praktického využití</w:t>
      </w:r>
      <w:r w:rsidRPr="00D241B1">
        <w:rPr>
          <w:rFonts w:cs="Arial"/>
          <w:b/>
          <w:bCs/>
          <w:sz w:val="22"/>
          <w:szCs w:val="22"/>
        </w:rPr>
        <w:t>.</w:t>
      </w:r>
    </w:p>
    <w:p w14:paraId="52C9B01D" w14:textId="77777777" w:rsidR="005F0E6A" w:rsidRDefault="005F0E6A" w:rsidP="00D241B1">
      <w:pPr>
        <w:autoSpaceDE w:val="0"/>
        <w:autoSpaceDN w:val="0"/>
        <w:adjustRightInd w:val="0"/>
        <w:jc w:val="both"/>
        <w:rPr>
          <w:rFonts w:cs="Arial"/>
          <w:bCs/>
          <w:sz w:val="22"/>
          <w:szCs w:val="22"/>
        </w:rPr>
      </w:pPr>
    </w:p>
    <w:p w14:paraId="3F25AB8E" w14:textId="7FB29E49" w:rsidR="00CA73A0" w:rsidRPr="00CD6B43" w:rsidRDefault="00383ADA" w:rsidP="00D241B1">
      <w:pPr>
        <w:autoSpaceDE w:val="0"/>
        <w:autoSpaceDN w:val="0"/>
        <w:adjustRightInd w:val="0"/>
        <w:jc w:val="both"/>
        <w:rPr>
          <w:rFonts w:cs="Arial"/>
          <w:sz w:val="22"/>
          <w:szCs w:val="22"/>
        </w:rPr>
      </w:pPr>
      <w:r>
        <w:rPr>
          <w:rFonts w:cs="Arial"/>
          <w:bCs/>
          <w:sz w:val="22"/>
          <w:szCs w:val="22"/>
        </w:rPr>
        <w:t>Ke dni 18. 5. 2012 bylo na základě předložený</w:t>
      </w:r>
      <w:r w:rsidR="002B621D">
        <w:rPr>
          <w:rFonts w:cs="Arial"/>
          <w:bCs/>
          <w:sz w:val="22"/>
          <w:szCs w:val="22"/>
        </w:rPr>
        <w:t>ch</w:t>
      </w:r>
      <w:r>
        <w:rPr>
          <w:rFonts w:cs="Arial"/>
          <w:bCs/>
          <w:sz w:val="22"/>
          <w:szCs w:val="22"/>
        </w:rPr>
        <w:t xml:space="preserve"> </w:t>
      </w:r>
      <w:r w:rsidR="00B15CF1">
        <w:rPr>
          <w:rFonts w:cs="Arial"/>
          <w:bCs/>
          <w:sz w:val="22"/>
          <w:szCs w:val="22"/>
        </w:rPr>
        <w:t xml:space="preserve">dokladů a informací </w:t>
      </w:r>
      <w:r w:rsidR="002B621D">
        <w:rPr>
          <w:rFonts w:cs="Arial"/>
          <w:bCs/>
          <w:sz w:val="22"/>
          <w:szCs w:val="22"/>
        </w:rPr>
        <w:t xml:space="preserve">zaneseno do </w:t>
      </w:r>
      <w:r>
        <w:rPr>
          <w:rFonts w:cs="Arial"/>
          <w:bCs/>
          <w:sz w:val="22"/>
          <w:szCs w:val="22"/>
        </w:rPr>
        <w:t>Rejstříku 313</w:t>
      </w:r>
      <w:r w:rsidR="00B15CF1">
        <w:rPr>
          <w:rFonts w:cs="Arial"/>
          <w:bCs/>
          <w:sz w:val="22"/>
          <w:szCs w:val="22"/>
        </w:rPr>
        <w:t> </w:t>
      </w:r>
      <w:r>
        <w:rPr>
          <w:rFonts w:cs="Arial"/>
          <w:bCs/>
          <w:sz w:val="22"/>
          <w:szCs w:val="22"/>
        </w:rPr>
        <w:t>OFT</w:t>
      </w:r>
      <w:r w:rsidR="00276A79">
        <w:rPr>
          <w:rFonts w:cs="Arial"/>
          <w:bCs/>
          <w:sz w:val="22"/>
          <w:szCs w:val="22"/>
        </w:rPr>
        <w:t xml:space="preserve"> (včetně zamítnutých)</w:t>
      </w:r>
      <w:r w:rsidR="00773A92">
        <w:rPr>
          <w:rFonts w:cs="Arial"/>
          <w:bCs/>
          <w:sz w:val="22"/>
          <w:szCs w:val="22"/>
        </w:rPr>
        <w:t>.</w:t>
      </w:r>
      <w:r w:rsidR="00E2762E">
        <w:rPr>
          <w:rFonts w:cs="Arial"/>
          <w:bCs/>
          <w:sz w:val="22"/>
          <w:szCs w:val="22"/>
        </w:rPr>
        <w:t xml:space="preserve"> </w:t>
      </w:r>
      <w:r w:rsidR="00CA73A0" w:rsidRPr="00CD6B43">
        <w:rPr>
          <w:rFonts w:cs="Arial"/>
          <w:sz w:val="22"/>
          <w:szCs w:val="22"/>
        </w:rPr>
        <w:t xml:space="preserve">Celkem 124 návrhů OFT </w:t>
      </w:r>
      <w:r w:rsidR="002B621D" w:rsidRPr="00CD6B43">
        <w:rPr>
          <w:rFonts w:cs="Arial"/>
          <w:sz w:val="22"/>
          <w:szCs w:val="22"/>
        </w:rPr>
        <w:t xml:space="preserve">nebylo </w:t>
      </w:r>
      <w:r w:rsidR="00CA73A0" w:rsidRPr="00CD6B43">
        <w:rPr>
          <w:rFonts w:cs="Arial"/>
          <w:sz w:val="22"/>
          <w:szCs w:val="22"/>
        </w:rPr>
        <w:t>podle Rejstříku přiřazeno k</w:t>
      </w:r>
      <w:r w:rsidR="00276A79">
        <w:rPr>
          <w:rFonts w:cs="Arial"/>
          <w:sz w:val="22"/>
          <w:szCs w:val="22"/>
        </w:rPr>
        <w:t> žádnému z kontro</w:t>
      </w:r>
      <w:r w:rsidR="002B621D">
        <w:rPr>
          <w:rFonts w:cs="Arial"/>
          <w:sz w:val="22"/>
          <w:szCs w:val="22"/>
        </w:rPr>
        <w:t>lo</w:t>
      </w:r>
      <w:r w:rsidR="00276A79">
        <w:rPr>
          <w:rFonts w:cs="Arial"/>
          <w:sz w:val="22"/>
          <w:szCs w:val="22"/>
        </w:rPr>
        <w:t>vaných PPS ani k PPS PENDOLINO</w:t>
      </w:r>
      <w:r w:rsidR="00981117">
        <w:rPr>
          <w:rStyle w:val="Znakapoznpodarou"/>
          <w:rFonts w:cs="Arial"/>
          <w:sz w:val="22"/>
          <w:szCs w:val="22"/>
        </w:rPr>
        <w:footnoteReference w:id="28"/>
      </w:r>
      <w:r w:rsidR="00276A79">
        <w:rPr>
          <w:rFonts w:cs="Arial"/>
          <w:sz w:val="22"/>
          <w:szCs w:val="22"/>
        </w:rPr>
        <w:t>.</w:t>
      </w:r>
      <w:r w:rsidR="00CA73A0" w:rsidRPr="00CD6B43">
        <w:rPr>
          <w:rFonts w:cs="Arial"/>
          <w:sz w:val="22"/>
          <w:szCs w:val="22"/>
        </w:rPr>
        <w:t xml:space="preserve"> </w:t>
      </w:r>
    </w:p>
    <w:p w14:paraId="1E762EE4" w14:textId="77777777" w:rsidR="005F0E6A" w:rsidRDefault="005F0E6A" w:rsidP="00D241B1">
      <w:pPr>
        <w:autoSpaceDE w:val="0"/>
        <w:autoSpaceDN w:val="0"/>
        <w:adjustRightInd w:val="0"/>
        <w:jc w:val="both"/>
        <w:rPr>
          <w:rFonts w:cs="Arial"/>
          <w:bCs/>
          <w:sz w:val="22"/>
          <w:szCs w:val="22"/>
        </w:rPr>
      </w:pPr>
    </w:p>
    <w:p w14:paraId="3F25AB8F" w14:textId="026F512E" w:rsidR="003D02FA" w:rsidRDefault="00CA73A0" w:rsidP="00D241B1">
      <w:pPr>
        <w:autoSpaceDE w:val="0"/>
        <w:autoSpaceDN w:val="0"/>
        <w:adjustRightInd w:val="0"/>
        <w:jc w:val="both"/>
        <w:rPr>
          <w:rFonts w:cs="Arial"/>
          <w:bCs/>
          <w:sz w:val="22"/>
          <w:szCs w:val="22"/>
        </w:rPr>
      </w:pPr>
      <w:r>
        <w:rPr>
          <w:rFonts w:cs="Arial"/>
          <w:bCs/>
          <w:sz w:val="22"/>
          <w:szCs w:val="22"/>
        </w:rPr>
        <w:t>Zařazen</w:t>
      </w:r>
      <w:r w:rsidR="00E019AD">
        <w:rPr>
          <w:rFonts w:cs="Arial"/>
          <w:bCs/>
          <w:sz w:val="22"/>
          <w:szCs w:val="22"/>
        </w:rPr>
        <w:t>í</w:t>
      </w:r>
      <w:r>
        <w:rPr>
          <w:rFonts w:cs="Arial"/>
          <w:bCs/>
          <w:sz w:val="22"/>
          <w:szCs w:val="22"/>
        </w:rPr>
        <w:t xml:space="preserve"> OFT do PPS </w:t>
      </w:r>
      <w:r w:rsidR="00E2762E">
        <w:rPr>
          <w:rFonts w:cs="Arial"/>
          <w:bCs/>
          <w:sz w:val="22"/>
          <w:szCs w:val="22"/>
        </w:rPr>
        <w:t>zjišťoval a ověřoval</w:t>
      </w:r>
      <w:r w:rsidR="0001442A">
        <w:rPr>
          <w:rFonts w:cs="Arial"/>
          <w:bCs/>
          <w:sz w:val="22"/>
          <w:szCs w:val="22"/>
        </w:rPr>
        <w:t xml:space="preserve"> </w:t>
      </w:r>
      <w:r w:rsidR="00773A92">
        <w:rPr>
          <w:rFonts w:cs="Arial"/>
          <w:bCs/>
          <w:sz w:val="22"/>
          <w:szCs w:val="22"/>
        </w:rPr>
        <w:t>NKÚ</w:t>
      </w:r>
      <w:r w:rsidR="00E2762E">
        <w:rPr>
          <w:rFonts w:cs="Arial"/>
          <w:bCs/>
          <w:sz w:val="22"/>
          <w:szCs w:val="22"/>
        </w:rPr>
        <w:t xml:space="preserve"> z dokladů M</w:t>
      </w:r>
      <w:r w:rsidR="00773A92">
        <w:rPr>
          <w:rFonts w:cs="Arial"/>
          <w:bCs/>
          <w:sz w:val="22"/>
          <w:szCs w:val="22"/>
        </w:rPr>
        <w:t>O</w:t>
      </w:r>
      <w:r w:rsidR="00E2762E">
        <w:rPr>
          <w:rFonts w:cs="Arial"/>
          <w:bCs/>
          <w:sz w:val="22"/>
          <w:szCs w:val="22"/>
        </w:rPr>
        <w:t xml:space="preserve"> a</w:t>
      </w:r>
      <w:r w:rsidR="003D02FA">
        <w:rPr>
          <w:rFonts w:cs="Arial"/>
          <w:bCs/>
          <w:sz w:val="22"/>
          <w:szCs w:val="22"/>
        </w:rPr>
        <w:t> </w:t>
      </w:r>
      <w:r w:rsidR="00E2762E">
        <w:rPr>
          <w:rFonts w:cs="Arial"/>
          <w:bCs/>
          <w:sz w:val="22"/>
          <w:szCs w:val="22"/>
        </w:rPr>
        <w:t>M</w:t>
      </w:r>
      <w:r w:rsidR="00773A92">
        <w:rPr>
          <w:rFonts w:cs="Arial"/>
          <w:bCs/>
          <w:sz w:val="22"/>
          <w:szCs w:val="22"/>
        </w:rPr>
        <w:t>V</w:t>
      </w:r>
      <w:r w:rsidR="003D02FA">
        <w:rPr>
          <w:rFonts w:cs="Arial"/>
          <w:bCs/>
          <w:sz w:val="22"/>
          <w:szCs w:val="22"/>
        </w:rPr>
        <w:t>, p</w:t>
      </w:r>
      <w:r w:rsidR="00383ADA">
        <w:rPr>
          <w:rFonts w:cs="Arial"/>
          <w:bCs/>
          <w:sz w:val="22"/>
          <w:szCs w:val="22"/>
        </w:rPr>
        <w:t>odrobněji tyto údaje uvádí následující tabulka</w:t>
      </w:r>
      <w:r w:rsidR="003D02FA">
        <w:rPr>
          <w:rFonts w:cs="Arial"/>
          <w:bCs/>
          <w:sz w:val="22"/>
          <w:szCs w:val="22"/>
        </w:rPr>
        <w:t>.</w:t>
      </w:r>
    </w:p>
    <w:p w14:paraId="36F198F3" w14:textId="77777777" w:rsidR="005F0E6A" w:rsidRDefault="005F0E6A" w:rsidP="00D241B1">
      <w:pPr>
        <w:autoSpaceDE w:val="0"/>
        <w:autoSpaceDN w:val="0"/>
        <w:adjustRightInd w:val="0"/>
        <w:jc w:val="both"/>
        <w:rPr>
          <w:rFonts w:cs="Arial"/>
          <w:bCs/>
          <w:sz w:val="22"/>
          <w:szCs w:val="22"/>
        </w:rPr>
      </w:pPr>
    </w:p>
    <w:p w14:paraId="24AA8E45" w14:textId="77777777" w:rsidR="0012239A" w:rsidRDefault="0012239A">
      <w:pPr>
        <w:rPr>
          <w:rFonts w:cs="Arial"/>
          <w:b/>
          <w:bCs/>
          <w:sz w:val="22"/>
          <w:szCs w:val="22"/>
        </w:rPr>
      </w:pPr>
      <w:r>
        <w:rPr>
          <w:rFonts w:cs="Arial"/>
          <w:b/>
          <w:bCs/>
          <w:sz w:val="22"/>
          <w:szCs w:val="22"/>
        </w:rPr>
        <w:br w:type="page"/>
      </w:r>
    </w:p>
    <w:p w14:paraId="3F25AB90" w14:textId="7ECCC717" w:rsidR="00B15CF1" w:rsidRPr="0001442A" w:rsidRDefault="00B15CF1" w:rsidP="00D241B1">
      <w:pPr>
        <w:autoSpaceDE w:val="0"/>
        <w:autoSpaceDN w:val="0"/>
        <w:adjustRightInd w:val="0"/>
        <w:jc w:val="both"/>
        <w:rPr>
          <w:rFonts w:cs="Arial"/>
          <w:bCs/>
          <w:color w:val="FF0000"/>
          <w:sz w:val="22"/>
          <w:szCs w:val="22"/>
        </w:rPr>
      </w:pPr>
      <w:r w:rsidRPr="0001442A">
        <w:rPr>
          <w:rFonts w:cs="Arial"/>
          <w:b/>
          <w:bCs/>
          <w:sz w:val="22"/>
          <w:szCs w:val="22"/>
        </w:rPr>
        <w:lastRenderedPageBreak/>
        <w:t xml:space="preserve">Tabulka č. </w:t>
      </w:r>
      <w:r w:rsidR="007F721C" w:rsidRPr="002B621D">
        <w:rPr>
          <w:rFonts w:cs="Arial"/>
          <w:b/>
          <w:bCs/>
          <w:sz w:val="22"/>
          <w:szCs w:val="22"/>
        </w:rPr>
        <w:t>2</w:t>
      </w:r>
      <w:r w:rsidR="003D02FA" w:rsidRPr="00D241B1">
        <w:rPr>
          <w:rFonts w:cs="Arial"/>
          <w:b/>
          <w:bCs/>
          <w:sz w:val="22"/>
          <w:szCs w:val="22"/>
        </w:rPr>
        <w:t xml:space="preserve"> </w:t>
      </w:r>
      <w:r w:rsidR="002B621D" w:rsidRPr="00D241B1">
        <w:rPr>
          <w:rFonts w:cs="Arial"/>
          <w:b/>
          <w:bCs/>
          <w:sz w:val="22"/>
          <w:szCs w:val="22"/>
        </w:rPr>
        <w:t xml:space="preserve">– </w:t>
      </w:r>
      <w:r w:rsidR="003D02FA" w:rsidRPr="0001442A">
        <w:rPr>
          <w:rFonts w:cs="Arial"/>
          <w:b/>
          <w:bCs/>
          <w:sz w:val="22"/>
          <w:szCs w:val="22"/>
        </w:rPr>
        <w:t xml:space="preserve">Počet OFT dle kategorie </w:t>
      </w:r>
      <w:r w:rsidR="002B621D">
        <w:rPr>
          <w:rFonts w:cs="Arial"/>
          <w:b/>
          <w:bCs/>
          <w:sz w:val="22"/>
          <w:szCs w:val="22"/>
        </w:rPr>
        <w:t xml:space="preserve">a dle </w:t>
      </w:r>
      <w:r w:rsidR="003D02FA" w:rsidRPr="0001442A">
        <w:rPr>
          <w:rFonts w:cs="Arial"/>
          <w:b/>
          <w:bCs/>
          <w:sz w:val="22"/>
          <w:szCs w:val="22"/>
        </w:rPr>
        <w:t>zařazen</w:t>
      </w:r>
      <w:r w:rsidR="002B621D">
        <w:rPr>
          <w:rFonts w:cs="Arial"/>
          <w:b/>
          <w:bCs/>
          <w:sz w:val="22"/>
          <w:szCs w:val="22"/>
        </w:rPr>
        <w:t>í</w:t>
      </w:r>
      <w:r w:rsidR="003D02FA" w:rsidRPr="0001442A">
        <w:rPr>
          <w:rFonts w:cs="Arial"/>
          <w:b/>
          <w:bCs/>
          <w:sz w:val="22"/>
          <w:szCs w:val="22"/>
        </w:rPr>
        <w:t xml:space="preserve"> do PPS</w:t>
      </w:r>
      <w:r w:rsidR="003D02FA" w:rsidRPr="0001442A">
        <w:rPr>
          <w:rFonts w:cs="Arial"/>
          <w:bCs/>
          <w:sz w:val="22"/>
          <w:szCs w:val="22"/>
        </w:rPr>
        <w:t xml:space="preserve"> </w:t>
      </w:r>
    </w:p>
    <w:p w14:paraId="3F25AB91" w14:textId="6910DF30" w:rsidR="007B0BE6" w:rsidRDefault="003D5C88" w:rsidP="0001442A">
      <w:pPr>
        <w:autoSpaceDE w:val="0"/>
        <w:autoSpaceDN w:val="0"/>
        <w:adjustRightInd w:val="0"/>
        <w:spacing w:before="120"/>
        <w:jc w:val="both"/>
        <w:rPr>
          <w:rFonts w:cs="Arial"/>
          <w:bCs/>
          <w:noProof/>
          <w:sz w:val="22"/>
          <w:szCs w:val="22"/>
        </w:rPr>
      </w:pPr>
      <w:r>
        <w:rPr>
          <w:noProof/>
        </w:rPr>
        <w:drawing>
          <wp:inline distT="0" distB="0" distL="0" distR="0" wp14:anchorId="474F3012" wp14:editId="6E345612">
            <wp:extent cx="5722012" cy="2238012"/>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25610" cy="2239419"/>
                    </a:xfrm>
                    <a:prstGeom prst="rect">
                      <a:avLst/>
                    </a:prstGeom>
                  </pic:spPr>
                </pic:pic>
              </a:graphicData>
            </a:graphic>
          </wp:inline>
        </w:drawing>
      </w:r>
    </w:p>
    <w:p w14:paraId="3F25AB92" w14:textId="10FEB5EB" w:rsidR="00524626" w:rsidRPr="00635A29" w:rsidRDefault="00524626" w:rsidP="00D241B1">
      <w:pPr>
        <w:autoSpaceDE w:val="0"/>
        <w:autoSpaceDN w:val="0"/>
        <w:adjustRightInd w:val="0"/>
        <w:spacing w:before="60"/>
        <w:jc w:val="both"/>
        <w:rPr>
          <w:rFonts w:cs="Arial"/>
          <w:bCs/>
          <w:sz w:val="18"/>
          <w:szCs w:val="18"/>
        </w:rPr>
      </w:pPr>
      <w:r w:rsidRPr="00635A29">
        <w:rPr>
          <w:rFonts w:cs="Arial"/>
          <w:b/>
          <w:bCs/>
          <w:sz w:val="18"/>
          <w:szCs w:val="18"/>
        </w:rPr>
        <w:t>Zdroj:</w:t>
      </w:r>
      <w:r w:rsidRPr="00635A29">
        <w:rPr>
          <w:rFonts w:cs="Arial"/>
          <w:bCs/>
          <w:sz w:val="18"/>
          <w:szCs w:val="18"/>
        </w:rPr>
        <w:t xml:space="preserve"> </w:t>
      </w:r>
      <w:r w:rsidR="002B621D">
        <w:rPr>
          <w:rFonts w:cs="Arial"/>
          <w:bCs/>
          <w:sz w:val="18"/>
          <w:szCs w:val="18"/>
        </w:rPr>
        <w:t>d</w:t>
      </w:r>
      <w:r w:rsidRPr="00635A29">
        <w:rPr>
          <w:rFonts w:cs="Arial"/>
          <w:bCs/>
          <w:sz w:val="18"/>
          <w:szCs w:val="18"/>
        </w:rPr>
        <w:t>oklady M</w:t>
      </w:r>
      <w:r w:rsidR="00773A92" w:rsidRPr="00635A29">
        <w:rPr>
          <w:rFonts w:cs="Arial"/>
          <w:bCs/>
          <w:sz w:val="18"/>
          <w:szCs w:val="18"/>
        </w:rPr>
        <w:t>O</w:t>
      </w:r>
      <w:r w:rsidRPr="00635A29">
        <w:rPr>
          <w:rFonts w:cs="Arial"/>
          <w:bCs/>
          <w:sz w:val="18"/>
          <w:szCs w:val="18"/>
        </w:rPr>
        <w:t xml:space="preserve"> a M</w:t>
      </w:r>
      <w:r w:rsidR="00773A92" w:rsidRPr="00635A29">
        <w:rPr>
          <w:rFonts w:cs="Arial"/>
          <w:bCs/>
          <w:sz w:val="18"/>
          <w:szCs w:val="18"/>
        </w:rPr>
        <w:t>V</w:t>
      </w:r>
    </w:p>
    <w:p w14:paraId="3F25AB93" w14:textId="1695B5E4" w:rsidR="00E2762E" w:rsidRPr="00635A29" w:rsidRDefault="00B15CF1" w:rsidP="005F0E6A">
      <w:pPr>
        <w:autoSpaceDE w:val="0"/>
        <w:autoSpaceDN w:val="0"/>
        <w:adjustRightInd w:val="0"/>
        <w:jc w:val="both"/>
        <w:rPr>
          <w:rFonts w:cs="Arial"/>
          <w:b/>
          <w:bCs/>
          <w:sz w:val="18"/>
          <w:szCs w:val="18"/>
        </w:rPr>
      </w:pPr>
      <w:r w:rsidRPr="00635A29">
        <w:rPr>
          <w:rFonts w:cs="Arial"/>
          <w:b/>
          <w:bCs/>
          <w:sz w:val="18"/>
          <w:szCs w:val="18"/>
        </w:rPr>
        <w:t>Pozn</w:t>
      </w:r>
      <w:r w:rsidR="002B621D">
        <w:rPr>
          <w:rFonts w:cs="Arial"/>
          <w:b/>
          <w:bCs/>
          <w:sz w:val="18"/>
          <w:szCs w:val="18"/>
        </w:rPr>
        <w:t>.</w:t>
      </w:r>
      <w:r w:rsidRPr="00635A29">
        <w:rPr>
          <w:rFonts w:cs="Arial"/>
          <w:b/>
          <w:bCs/>
          <w:sz w:val="18"/>
          <w:szCs w:val="18"/>
        </w:rPr>
        <w:t>:</w:t>
      </w:r>
    </w:p>
    <w:p w14:paraId="2B96082C" w14:textId="77777777" w:rsidR="003D5C88" w:rsidRPr="00635A29" w:rsidRDefault="00B15CF1" w:rsidP="003D5C88">
      <w:pPr>
        <w:autoSpaceDE w:val="0"/>
        <w:autoSpaceDN w:val="0"/>
        <w:adjustRightInd w:val="0"/>
        <w:ind w:left="284" w:hanging="284"/>
        <w:jc w:val="both"/>
        <w:rPr>
          <w:rFonts w:cs="Arial"/>
          <w:bCs/>
          <w:sz w:val="18"/>
          <w:szCs w:val="18"/>
        </w:rPr>
      </w:pPr>
      <w:r w:rsidRPr="00635A29">
        <w:rPr>
          <w:rFonts w:cs="Arial"/>
          <w:bCs/>
          <w:sz w:val="18"/>
          <w:szCs w:val="18"/>
        </w:rPr>
        <w:t>*</w:t>
      </w:r>
      <w:r w:rsidR="002B621D">
        <w:rPr>
          <w:rFonts w:cs="Arial"/>
          <w:bCs/>
          <w:sz w:val="18"/>
          <w:szCs w:val="18"/>
        </w:rPr>
        <w:t xml:space="preserve"> </w:t>
      </w:r>
      <w:r w:rsidR="002B621D">
        <w:rPr>
          <w:rFonts w:cs="Arial"/>
          <w:bCs/>
          <w:sz w:val="18"/>
          <w:szCs w:val="18"/>
        </w:rPr>
        <w:tab/>
      </w:r>
      <w:r w:rsidR="003D5C88" w:rsidRPr="00635A29">
        <w:rPr>
          <w:rFonts w:cs="Arial"/>
          <w:bCs/>
          <w:sz w:val="18"/>
          <w:szCs w:val="18"/>
        </w:rPr>
        <w:t>PPS CASA – OF/273 nebyla označena za předoffset</w:t>
      </w:r>
      <w:r w:rsidR="003D5C88">
        <w:rPr>
          <w:rFonts w:cs="Arial"/>
          <w:bCs/>
          <w:sz w:val="18"/>
          <w:szCs w:val="18"/>
        </w:rPr>
        <w:t>,</w:t>
      </w:r>
      <w:r w:rsidR="003D5C88" w:rsidRPr="00635A29">
        <w:rPr>
          <w:rFonts w:cs="Arial"/>
          <w:bCs/>
          <w:sz w:val="18"/>
          <w:szCs w:val="18"/>
        </w:rPr>
        <w:t xml:space="preserve"> ačkoli charakter předoffsetu splňovala.</w:t>
      </w:r>
    </w:p>
    <w:p w14:paraId="5512277E" w14:textId="10EB18ED" w:rsidR="003D5C88" w:rsidRDefault="003D5C88" w:rsidP="003D5C88">
      <w:pPr>
        <w:autoSpaceDE w:val="0"/>
        <w:autoSpaceDN w:val="0"/>
        <w:adjustRightInd w:val="0"/>
        <w:ind w:left="284" w:hanging="284"/>
        <w:jc w:val="both"/>
        <w:rPr>
          <w:rFonts w:cs="Arial"/>
          <w:bCs/>
          <w:sz w:val="18"/>
          <w:szCs w:val="18"/>
        </w:rPr>
      </w:pPr>
      <w:r w:rsidRPr="00635A29">
        <w:rPr>
          <w:rFonts w:cs="Arial"/>
          <w:bCs/>
          <w:sz w:val="18"/>
          <w:szCs w:val="18"/>
        </w:rPr>
        <w:t xml:space="preserve">** </w:t>
      </w:r>
      <w:r>
        <w:rPr>
          <w:rFonts w:cs="Arial"/>
          <w:bCs/>
          <w:sz w:val="18"/>
          <w:szCs w:val="18"/>
        </w:rPr>
        <w:tab/>
        <w:t>PPS GRIPEN – Dva</w:t>
      </w:r>
      <w:r w:rsidRPr="00635A29">
        <w:rPr>
          <w:rFonts w:cs="Arial"/>
          <w:bCs/>
          <w:sz w:val="18"/>
          <w:szCs w:val="18"/>
        </w:rPr>
        <w:t xml:space="preserve"> předoffsety spadají do kategorie přímých OFT a 6 do kategorie nepřímých OFT</w:t>
      </w:r>
      <w:r>
        <w:rPr>
          <w:rFonts w:cs="Arial"/>
          <w:bCs/>
          <w:sz w:val="18"/>
          <w:szCs w:val="18"/>
        </w:rPr>
        <w:t>.</w:t>
      </w:r>
      <w:r w:rsidRPr="00635A29">
        <w:rPr>
          <w:rFonts w:cs="Arial"/>
          <w:bCs/>
          <w:sz w:val="18"/>
          <w:szCs w:val="18"/>
        </w:rPr>
        <w:t xml:space="preserve"> </w:t>
      </w:r>
    </w:p>
    <w:p w14:paraId="3F25AB94" w14:textId="23EEEFE7" w:rsidR="00B15CF1" w:rsidRPr="00635A29" w:rsidRDefault="00C3032F" w:rsidP="00D241B1">
      <w:pPr>
        <w:autoSpaceDE w:val="0"/>
        <w:autoSpaceDN w:val="0"/>
        <w:adjustRightInd w:val="0"/>
        <w:ind w:left="284" w:hanging="284"/>
        <w:jc w:val="both"/>
        <w:rPr>
          <w:rFonts w:cs="Arial"/>
          <w:bCs/>
          <w:sz w:val="18"/>
          <w:szCs w:val="18"/>
        </w:rPr>
      </w:pPr>
      <w:r>
        <w:rPr>
          <w:rFonts w:cs="Arial"/>
          <w:bCs/>
          <w:sz w:val="18"/>
          <w:szCs w:val="18"/>
        </w:rPr>
        <w:t>***</w:t>
      </w:r>
      <w:r>
        <w:rPr>
          <w:rFonts w:cs="Arial"/>
          <w:bCs/>
          <w:sz w:val="18"/>
          <w:szCs w:val="18"/>
        </w:rPr>
        <w:tab/>
      </w:r>
      <w:r w:rsidR="00BF5F44" w:rsidRPr="00635A29">
        <w:rPr>
          <w:rFonts w:cs="Arial"/>
          <w:bCs/>
          <w:sz w:val="18"/>
          <w:szCs w:val="18"/>
        </w:rPr>
        <w:t xml:space="preserve">PPS PEGAS </w:t>
      </w:r>
      <w:r w:rsidR="00F6465D">
        <w:rPr>
          <w:rFonts w:cs="Arial"/>
          <w:bCs/>
          <w:sz w:val="18"/>
          <w:szCs w:val="18"/>
        </w:rPr>
        <w:t>–</w:t>
      </w:r>
      <w:r w:rsidR="00BF5F44" w:rsidRPr="00635A29">
        <w:rPr>
          <w:rFonts w:cs="Arial"/>
          <w:bCs/>
          <w:sz w:val="18"/>
          <w:szCs w:val="18"/>
        </w:rPr>
        <w:t xml:space="preserve"> </w:t>
      </w:r>
      <w:r w:rsidR="00B15CF1" w:rsidRPr="00635A29">
        <w:rPr>
          <w:rFonts w:cs="Arial"/>
          <w:bCs/>
          <w:sz w:val="18"/>
          <w:szCs w:val="18"/>
        </w:rPr>
        <w:t>4 OFT</w:t>
      </w:r>
      <w:r w:rsidR="003D02FA" w:rsidRPr="00635A29">
        <w:rPr>
          <w:rFonts w:cs="Arial"/>
          <w:bCs/>
          <w:sz w:val="18"/>
          <w:szCs w:val="18"/>
        </w:rPr>
        <w:t xml:space="preserve"> </w:t>
      </w:r>
      <w:r w:rsidR="00D920E5">
        <w:rPr>
          <w:rFonts w:cs="Arial"/>
          <w:bCs/>
          <w:sz w:val="18"/>
          <w:szCs w:val="18"/>
        </w:rPr>
        <w:t>z </w:t>
      </w:r>
      <w:r w:rsidR="003D02FA" w:rsidRPr="00635A29">
        <w:rPr>
          <w:rFonts w:cs="Arial"/>
          <w:bCs/>
          <w:sz w:val="18"/>
          <w:szCs w:val="18"/>
        </w:rPr>
        <w:t>16</w:t>
      </w:r>
      <w:r w:rsidR="00B15CF1" w:rsidRPr="00635A29">
        <w:rPr>
          <w:rFonts w:cs="Arial"/>
          <w:bCs/>
          <w:sz w:val="18"/>
          <w:szCs w:val="18"/>
        </w:rPr>
        <w:t xml:space="preserve"> </w:t>
      </w:r>
      <w:r w:rsidR="00EC147C" w:rsidRPr="00635A29">
        <w:rPr>
          <w:rFonts w:cs="Arial"/>
          <w:bCs/>
          <w:sz w:val="18"/>
          <w:szCs w:val="18"/>
        </w:rPr>
        <w:t>n</w:t>
      </w:r>
      <w:r w:rsidR="003D02FA" w:rsidRPr="00635A29">
        <w:rPr>
          <w:rFonts w:cs="Arial"/>
          <w:bCs/>
          <w:sz w:val="18"/>
          <w:szCs w:val="18"/>
        </w:rPr>
        <w:t xml:space="preserve">epřímých nebyly označeny žádnou </w:t>
      </w:r>
      <w:r w:rsidR="00B15CF1" w:rsidRPr="00635A29">
        <w:rPr>
          <w:rFonts w:cs="Arial"/>
          <w:bCs/>
          <w:sz w:val="18"/>
          <w:szCs w:val="18"/>
        </w:rPr>
        <w:t>kategori</w:t>
      </w:r>
      <w:r w:rsidR="003D02FA" w:rsidRPr="00635A29">
        <w:rPr>
          <w:rFonts w:cs="Arial"/>
          <w:bCs/>
          <w:sz w:val="18"/>
          <w:szCs w:val="18"/>
        </w:rPr>
        <w:t>í OFT, v tabulce jsou přiřazeny</w:t>
      </w:r>
      <w:r w:rsidR="003D5C88">
        <w:rPr>
          <w:rFonts w:cs="Arial"/>
          <w:bCs/>
          <w:sz w:val="18"/>
          <w:szCs w:val="18"/>
        </w:rPr>
        <w:t xml:space="preserve"> </w:t>
      </w:r>
      <w:r w:rsidR="003D02FA" w:rsidRPr="00635A29">
        <w:rPr>
          <w:rFonts w:cs="Arial"/>
          <w:bCs/>
          <w:sz w:val="18"/>
          <w:szCs w:val="18"/>
        </w:rPr>
        <w:t>k </w:t>
      </w:r>
      <w:r w:rsidR="00EC147C" w:rsidRPr="00635A29">
        <w:rPr>
          <w:rFonts w:cs="Arial"/>
          <w:bCs/>
          <w:sz w:val="18"/>
          <w:szCs w:val="18"/>
        </w:rPr>
        <w:t>n</w:t>
      </w:r>
      <w:r w:rsidR="003D02FA" w:rsidRPr="00635A29">
        <w:rPr>
          <w:rFonts w:cs="Arial"/>
          <w:bCs/>
          <w:sz w:val="18"/>
          <w:szCs w:val="18"/>
        </w:rPr>
        <w:t>epřímým OFT</w:t>
      </w:r>
      <w:r w:rsidR="00EC147C" w:rsidRPr="00635A29">
        <w:rPr>
          <w:rFonts w:cs="Arial"/>
          <w:bCs/>
          <w:sz w:val="18"/>
          <w:szCs w:val="18"/>
        </w:rPr>
        <w:t>.</w:t>
      </w:r>
      <w:r w:rsidR="00BF5F44" w:rsidRPr="00635A29">
        <w:rPr>
          <w:rFonts w:cs="Arial"/>
          <w:bCs/>
          <w:sz w:val="18"/>
          <w:szCs w:val="18"/>
        </w:rPr>
        <w:t xml:space="preserve"> </w:t>
      </w:r>
    </w:p>
    <w:p w14:paraId="3F25AB96" w14:textId="77777777" w:rsidR="0001442A" w:rsidRPr="00D241B1" w:rsidRDefault="0001442A" w:rsidP="0001442A">
      <w:pPr>
        <w:autoSpaceDE w:val="0"/>
        <w:autoSpaceDN w:val="0"/>
        <w:adjustRightInd w:val="0"/>
        <w:jc w:val="both"/>
        <w:rPr>
          <w:rFonts w:cs="Arial"/>
          <w:bCs/>
          <w:sz w:val="22"/>
          <w:szCs w:val="22"/>
        </w:rPr>
      </w:pPr>
    </w:p>
    <w:p w14:paraId="3F25AB97" w14:textId="256C4F70" w:rsidR="00E63D4A" w:rsidRPr="00773A92" w:rsidRDefault="003D02FA" w:rsidP="00C3032F">
      <w:pPr>
        <w:autoSpaceDE w:val="0"/>
        <w:autoSpaceDN w:val="0"/>
        <w:adjustRightInd w:val="0"/>
        <w:jc w:val="both"/>
        <w:rPr>
          <w:rFonts w:cs="Arial"/>
          <w:b/>
          <w:sz w:val="22"/>
          <w:szCs w:val="22"/>
        </w:rPr>
      </w:pPr>
      <w:r w:rsidRPr="00CD6B43">
        <w:rPr>
          <w:rFonts w:cs="Arial"/>
          <w:sz w:val="22"/>
          <w:szCs w:val="22"/>
        </w:rPr>
        <w:t>Z tabulky vyplývá, že celkem 15</w:t>
      </w:r>
      <w:r w:rsidR="00E77A3E">
        <w:rPr>
          <w:rFonts w:cs="Arial"/>
          <w:sz w:val="22"/>
          <w:szCs w:val="22"/>
        </w:rPr>
        <w:t>5</w:t>
      </w:r>
      <w:r w:rsidRPr="00CD6B43">
        <w:rPr>
          <w:rFonts w:cs="Arial"/>
          <w:sz w:val="22"/>
          <w:szCs w:val="22"/>
        </w:rPr>
        <w:t xml:space="preserve"> OFT bylo zařazeno do kontrolovaných PPS</w:t>
      </w:r>
      <w:r w:rsidR="00E146B5">
        <w:rPr>
          <w:rFonts w:cs="Arial"/>
          <w:sz w:val="22"/>
          <w:szCs w:val="22"/>
        </w:rPr>
        <w:t>,</w:t>
      </w:r>
      <w:r w:rsidR="00E105E8">
        <w:rPr>
          <w:rFonts w:cs="Arial"/>
          <w:sz w:val="22"/>
          <w:szCs w:val="22"/>
        </w:rPr>
        <w:t xml:space="preserve"> </w:t>
      </w:r>
      <w:r w:rsidR="00E146B5">
        <w:rPr>
          <w:rFonts w:cs="Arial"/>
          <w:sz w:val="22"/>
          <w:szCs w:val="22"/>
        </w:rPr>
        <w:t>z</w:t>
      </w:r>
      <w:r w:rsidR="006073A5">
        <w:rPr>
          <w:rFonts w:cs="Arial"/>
          <w:sz w:val="22"/>
          <w:szCs w:val="22"/>
        </w:rPr>
        <w:t> </w:t>
      </w:r>
      <w:r w:rsidR="001C2033">
        <w:rPr>
          <w:rFonts w:cs="Arial"/>
          <w:sz w:val="22"/>
          <w:szCs w:val="22"/>
        </w:rPr>
        <w:t>toho 12</w:t>
      </w:r>
      <w:r w:rsidR="00E146B5">
        <w:rPr>
          <w:rFonts w:cs="Arial"/>
          <w:sz w:val="22"/>
          <w:szCs w:val="22"/>
        </w:rPr>
        <w:t> </w:t>
      </w:r>
      <w:r w:rsidR="001C2033">
        <w:rPr>
          <w:rFonts w:cs="Arial"/>
          <w:sz w:val="22"/>
          <w:szCs w:val="22"/>
        </w:rPr>
        <w:t xml:space="preserve">OFT představovalo předoffsety. </w:t>
      </w:r>
      <w:r w:rsidR="006073A5">
        <w:rPr>
          <w:rFonts w:cs="Arial"/>
          <w:sz w:val="22"/>
          <w:szCs w:val="22"/>
        </w:rPr>
        <w:t>V</w:t>
      </w:r>
      <w:r w:rsidR="00E105E8">
        <w:rPr>
          <w:rFonts w:cs="Arial"/>
          <w:sz w:val="22"/>
          <w:szCs w:val="22"/>
        </w:rPr>
        <w:t> </w:t>
      </w:r>
      <w:r w:rsidR="00E63D4A" w:rsidRPr="00773A92">
        <w:rPr>
          <w:rFonts w:cs="Arial"/>
          <w:sz w:val="22"/>
          <w:szCs w:val="22"/>
        </w:rPr>
        <w:t>Rejstříku</w:t>
      </w:r>
      <w:r w:rsidR="00E105E8">
        <w:rPr>
          <w:rFonts w:cs="Arial"/>
          <w:sz w:val="22"/>
          <w:szCs w:val="22"/>
        </w:rPr>
        <w:t xml:space="preserve"> </w:t>
      </w:r>
      <w:r w:rsidR="00773A92">
        <w:rPr>
          <w:rFonts w:cs="Arial"/>
          <w:sz w:val="22"/>
          <w:szCs w:val="22"/>
        </w:rPr>
        <w:t xml:space="preserve">bylo </w:t>
      </w:r>
      <w:r w:rsidR="00E63D4A" w:rsidRPr="00773A92">
        <w:rPr>
          <w:rFonts w:cs="Arial"/>
          <w:sz w:val="22"/>
          <w:szCs w:val="22"/>
        </w:rPr>
        <w:t xml:space="preserve">označení příslušného PPS </w:t>
      </w:r>
      <w:r w:rsidR="00E146B5">
        <w:rPr>
          <w:rFonts w:cs="Arial"/>
          <w:sz w:val="22"/>
          <w:szCs w:val="22"/>
        </w:rPr>
        <w:t xml:space="preserve">uvedeno </w:t>
      </w:r>
      <w:r w:rsidR="00E63D4A" w:rsidRPr="00773A92">
        <w:rPr>
          <w:rFonts w:cs="Arial"/>
          <w:sz w:val="22"/>
          <w:szCs w:val="22"/>
        </w:rPr>
        <w:t>u</w:t>
      </w:r>
      <w:r w:rsidR="00E146B5">
        <w:rPr>
          <w:rFonts w:cs="Arial"/>
          <w:sz w:val="22"/>
          <w:szCs w:val="22"/>
        </w:rPr>
        <w:t> </w:t>
      </w:r>
      <w:r w:rsidR="00E63D4A" w:rsidRPr="00773A92">
        <w:rPr>
          <w:rFonts w:cs="Arial"/>
          <w:sz w:val="22"/>
          <w:szCs w:val="22"/>
        </w:rPr>
        <w:t>111 OFT.</w:t>
      </w:r>
      <w:r w:rsidR="0001442A">
        <w:rPr>
          <w:rFonts w:cs="Arial"/>
          <w:sz w:val="22"/>
          <w:szCs w:val="22"/>
        </w:rPr>
        <w:t xml:space="preserve"> </w:t>
      </w:r>
      <w:r w:rsidR="00E63D4A" w:rsidRPr="00773A92">
        <w:rPr>
          <w:rFonts w:cs="Arial"/>
          <w:sz w:val="22"/>
          <w:szCs w:val="22"/>
        </w:rPr>
        <w:t>Kontrolou bylo zjištěno, že</w:t>
      </w:r>
      <w:r w:rsidR="0022438B" w:rsidRPr="00773A92">
        <w:rPr>
          <w:rFonts w:cs="Arial"/>
          <w:sz w:val="22"/>
          <w:szCs w:val="22"/>
        </w:rPr>
        <w:t> </w:t>
      </w:r>
      <w:r w:rsidR="00E63D4A" w:rsidRPr="00773A92">
        <w:rPr>
          <w:rFonts w:cs="Arial"/>
          <w:sz w:val="22"/>
          <w:szCs w:val="22"/>
        </w:rPr>
        <w:t xml:space="preserve">v některých případech došlo na základě projednání </w:t>
      </w:r>
      <w:r w:rsidR="00E23439" w:rsidRPr="00773A92">
        <w:rPr>
          <w:rFonts w:cs="Arial"/>
          <w:sz w:val="22"/>
          <w:szCs w:val="22"/>
        </w:rPr>
        <w:t>a</w:t>
      </w:r>
      <w:r w:rsidR="00E146B5">
        <w:rPr>
          <w:rFonts w:cs="Arial"/>
          <w:sz w:val="22"/>
          <w:szCs w:val="22"/>
        </w:rPr>
        <w:t> </w:t>
      </w:r>
      <w:r w:rsidR="00E63D4A" w:rsidRPr="00773A92">
        <w:rPr>
          <w:rFonts w:cs="Arial"/>
          <w:sz w:val="22"/>
          <w:szCs w:val="22"/>
        </w:rPr>
        <w:t>schválení ze strany OF</w:t>
      </w:r>
      <w:r w:rsidR="00E63D4A" w:rsidRPr="00CD6B43">
        <w:rPr>
          <w:rFonts w:cs="Arial"/>
          <w:sz w:val="22"/>
          <w:szCs w:val="22"/>
        </w:rPr>
        <w:t>K ke změně</w:t>
      </w:r>
      <w:r w:rsidR="0001442A">
        <w:rPr>
          <w:rFonts w:cs="Arial"/>
          <w:sz w:val="22"/>
          <w:szCs w:val="22"/>
        </w:rPr>
        <w:t xml:space="preserve"> </w:t>
      </w:r>
      <w:r w:rsidR="00E63D4A" w:rsidRPr="00CD6B43">
        <w:rPr>
          <w:rFonts w:cs="Arial"/>
          <w:sz w:val="22"/>
          <w:szCs w:val="22"/>
        </w:rPr>
        <w:t>předoffsetu na offset. Tyto změny však nejsou ve všech případech uvedeny v Rejstříku a lze je považovat za příčinu rozdílných údajů zjištěných u MV a MO</w:t>
      </w:r>
      <w:r w:rsidR="006073A5">
        <w:rPr>
          <w:rFonts w:cs="Arial"/>
          <w:sz w:val="22"/>
          <w:szCs w:val="22"/>
        </w:rPr>
        <w:t xml:space="preserve">. </w:t>
      </w:r>
      <w:r w:rsidR="00312CEA" w:rsidRPr="00773A92">
        <w:rPr>
          <w:rFonts w:cs="Arial"/>
          <w:b/>
          <w:sz w:val="22"/>
          <w:szCs w:val="22"/>
        </w:rPr>
        <w:t xml:space="preserve">Rejstřík tak neposkytuje </w:t>
      </w:r>
      <w:r w:rsidR="00312CEA" w:rsidRPr="00773A92">
        <w:rPr>
          <w:rFonts w:cs="Arial"/>
          <w:b/>
          <w:bCs/>
          <w:sz w:val="22"/>
          <w:szCs w:val="22"/>
        </w:rPr>
        <w:t>spolehlivé a</w:t>
      </w:r>
      <w:r w:rsidR="00312CEA">
        <w:rPr>
          <w:rFonts w:cs="Arial"/>
          <w:b/>
          <w:bCs/>
          <w:sz w:val="22"/>
          <w:szCs w:val="22"/>
        </w:rPr>
        <w:t> </w:t>
      </w:r>
      <w:r w:rsidR="00312CEA" w:rsidRPr="00773A92">
        <w:rPr>
          <w:rFonts w:cs="Arial"/>
          <w:b/>
          <w:bCs/>
          <w:sz w:val="22"/>
          <w:szCs w:val="22"/>
        </w:rPr>
        <w:t>kompletní informace.</w:t>
      </w:r>
      <w:r w:rsidR="00312CEA">
        <w:rPr>
          <w:rFonts w:cs="Arial"/>
          <w:b/>
          <w:bCs/>
          <w:sz w:val="22"/>
          <w:szCs w:val="22"/>
        </w:rPr>
        <w:t xml:space="preserve"> </w:t>
      </w:r>
      <w:r w:rsidR="00296976" w:rsidRPr="00CD6B43">
        <w:rPr>
          <w:rFonts w:cs="Arial"/>
          <w:sz w:val="22"/>
          <w:szCs w:val="22"/>
        </w:rPr>
        <w:t xml:space="preserve">S ohledem na </w:t>
      </w:r>
      <w:r w:rsidR="00E146B5">
        <w:rPr>
          <w:rFonts w:cs="Arial"/>
          <w:sz w:val="22"/>
          <w:szCs w:val="22"/>
        </w:rPr>
        <w:t xml:space="preserve">skutečnost, že </w:t>
      </w:r>
      <w:r w:rsidR="00E146B5" w:rsidRPr="00CD6B43">
        <w:rPr>
          <w:rFonts w:cs="Arial"/>
          <w:sz w:val="22"/>
          <w:szCs w:val="22"/>
        </w:rPr>
        <w:t>Rejstřík</w:t>
      </w:r>
      <w:r w:rsidR="00296976" w:rsidRPr="00CD6B43">
        <w:rPr>
          <w:rFonts w:cs="Arial"/>
          <w:sz w:val="22"/>
          <w:szCs w:val="22"/>
        </w:rPr>
        <w:t xml:space="preserve"> </w:t>
      </w:r>
      <w:r w:rsidR="00E146B5">
        <w:rPr>
          <w:rFonts w:cs="Arial"/>
          <w:sz w:val="22"/>
          <w:szCs w:val="22"/>
        </w:rPr>
        <w:t xml:space="preserve">obsahuje velký počet návrhů OFT </w:t>
      </w:r>
      <w:r w:rsidR="00296976" w:rsidRPr="00CD6B43">
        <w:rPr>
          <w:rFonts w:cs="Arial"/>
          <w:sz w:val="22"/>
          <w:szCs w:val="22"/>
        </w:rPr>
        <w:t>nepřiřazených k</w:t>
      </w:r>
      <w:r w:rsidR="00E146B5">
        <w:rPr>
          <w:rFonts w:cs="Arial"/>
          <w:sz w:val="22"/>
          <w:szCs w:val="22"/>
        </w:rPr>
        <w:t> žádnému programu průmyslové spolupráce,</w:t>
      </w:r>
      <w:r w:rsidR="00296976" w:rsidRPr="00CD6B43">
        <w:rPr>
          <w:rFonts w:cs="Arial"/>
          <w:sz w:val="22"/>
          <w:szCs w:val="22"/>
        </w:rPr>
        <w:t xml:space="preserve"> nelze vyloučit, že tyto návrhy </w:t>
      </w:r>
      <w:r w:rsidR="00CA73A0">
        <w:rPr>
          <w:rFonts w:cs="Arial"/>
          <w:sz w:val="22"/>
          <w:szCs w:val="22"/>
        </w:rPr>
        <w:t>mohou být</w:t>
      </w:r>
      <w:r w:rsidR="00296976" w:rsidRPr="00CD6B43">
        <w:rPr>
          <w:rFonts w:cs="Arial"/>
          <w:sz w:val="22"/>
          <w:szCs w:val="22"/>
        </w:rPr>
        <w:t xml:space="preserve"> využity u</w:t>
      </w:r>
      <w:r w:rsidR="00E105E8">
        <w:rPr>
          <w:rFonts w:cs="Arial"/>
          <w:sz w:val="22"/>
          <w:szCs w:val="22"/>
        </w:rPr>
        <w:t> </w:t>
      </w:r>
      <w:r w:rsidR="00296976" w:rsidRPr="00CD6B43">
        <w:rPr>
          <w:rFonts w:cs="Arial"/>
          <w:sz w:val="22"/>
          <w:szCs w:val="22"/>
        </w:rPr>
        <w:t xml:space="preserve">některého z dosud probíhajících PPS. </w:t>
      </w:r>
    </w:p>
    <w:p w14:paraId="55877DC5" w14:textId="77777777" w:rsidR="005F0E6A" w:rsidRDefault="005F0E6A" w:rsidP="00D241B1">
      <w:pPr>
        <w:autoSpaceDE w:val="0"/>
        <w:autoSpaceDN w:val="0"/>
        <w:adjustRightInd w:val="0"/>
        <w:jc w:val="both"/>
        <w:rPr>
          <w:rFonts w:cs="Arial"/>
          <w:bCs/>
          <w:sz w:val="22"/>
          <w:szCs w:val="22"/>
        </w:rPr>
      </w:pPr>
    </w:p>
    <w:p w14:paraId="3F25AB98" w14:textId="683A2EF8" w:rsidR="00D65D29" w:rsidRDefault="007E57C3" w:rsidP="00D241B1">
      <w:pPr>
        <w:autoSpaceDE w:val="0"/>
        <w:autoSpaceDN w:val="0"/>
        <w:adjustRightInd w:val="0"/>
        <w:jc w:val="both"/>
        <w:rPr>
          <w:rFonts w:eastAsia="Calibri"/>
          <w:b/>
          <w:sz w:val="22"/>
          <w:szCs w:val="22"/>
          <w:lang w:eastAsia="en-US"/>
        </w:rPr>
      </w:pPr>
      <w:r>
        <w:rPr>
          <w:rFonts w:cs="Arial"/>
          <w:bCs/>
          <w:sz w:val="22"/>
          <w:szCs w:val="22"/>
        </w:rPr>
        <w:t>U</w:t>
      </w:r>
      <w:r w:rsidRPr="00AA69AD">
        <w:rPr>
          <w:rFonts w:eastAsia="Calibri"/>
          <w:sz w:val="22"/>
          <w:szCs w:val="22"/>
          <w:lang w:eastAsia="en-US"/>
        </w:rPr>
        <w:t xml:space="preserve"> všech PPS u MO </w:t>
      </w:r>
      <w:r>
        <w:rPr>
          <w:rFonts w:eastAsia="Calibri"/>
          <w:sz w:val="22"/>
          <w:szCs w:val="22"/>
          <w:lang w:eastAsia="en-US"/>
        </w:rPr>
        <w:t>i</w:t>
      </w:r>
      <w:r w:rsidRPr="00AA69AD">
        <w:rPr>
          <w:rFonts w:eastAsia="Calibri"/>
          <w:sz w:val="22"/>
          <w:szCs w:val="22"/>
          <w:lang w:eastAsia="en-US"/>
        </w:rPr>
        <w:t xml:space="preserve"> MV </w:t>
      </w:r>
      <w:r w:rsidR="00166899" w:rsidRPr="00773A92">
        <w:rPr>
          <w:rFonts w:eastAsia="Calibri"/>
          <w:sz w:val="22"/>
          <w:szCs w:val="22"/>
          <w:lang w:eastAsia="en-US"/>
        </w:rPr>
        <w:t>byly</w:t>
      </w:r>
      <w:r w:rsidR="00166899">
        <w:rPr>
          <w:rFonts w:eastAsia="Calibri"/>
          <w:sz w:val="22"/>
          <w:szCs w:val="22"/>
          <w:lang w:eastAsia="en-US"/>
        </w:rPr>
        <w:t xml:space="preserve"> </w:t>
      </w:r>
      <w:r w:rsidRPr="00AA69AD">
        <w:rPr>
          <w:rFonts w:eastAsia="Calibri"/>
          <w:sz w:val="22"/>
          <w:szCs w:val="22"/>
          <w:lang w:eastAsia="en-US"/>
        </w:rPr>
        <w:t>zjištěny výrazné odchylky od definice přímých offsetů</w:t>
      </w:r>
      <w:r>
        <w:rPr>
          <w:rFonts w:eastAsia="Calibri"/>
          <w:sz w:val="22"/>
          <w:szCs w:val="22"/>
          <w:lang w:eastAsia="en-US"/>
        </w:rPr>
        <w:t>.</w:t>
      </w:r>
      <w:r w:rsidR="0001442A">
        <w:rPr>
          <w:rFonts w:eastAsia="Calibri"/>
          <w:sz w:val="22"/>
          <w:szCs w:val="22"/>
          <w:lang w:eastAsia="en-US"/>
        </w:rPr>
        <w:t xml:space="preserve"> </w:t>
      </w:r>
      <w:r w:rsidR="00150373">
        <w:rPr>
          <w:rFonts w:cs="Arial"/>
          <w:bCs/>
          <w:sz w:val="22"/>
          <w:szCs w:val="22"/>
        </w:rPr>
        <w:t xml:space="preserve">Zvláštním případem je PPS TATRA </w:t>
      </w:r>
      <w:r w:rsidR="00E146B5">
        <w:rPr>
          <w:rFonts w:cs="Arial"/>
          <w:bCs/>
          <w:sz w:val="22"/>
          <w:szCs w:val="22"/>
        </w:rPr>
        <w:t>(</w:t>
      </w:r>
      <w:r w:rsidR="00150373">
        <w:rPr>
          <w:rFonts w:cs="Arial"/>
          <w:bCs/>
          <w:sz w:val="22"/>
          <w:szCs w:val="22"/>
        </w:rPr>
        <w:t>viz kapitola 4.</w:t>
      </w:r>
      <w:r w:rsidR="005A1F7E">
        <w:rPr>
          <w:rFonts w:cs="Arial"/>
          <w:bCs/>
          <w:sz w:val="22"/>
          <w:szCs w:val="22"/>
        </w:rPr>
        <w:t>2</w:t>
      </w:r>
      <w:r w:rsidR="00E146B5">
        <w:rPr>
          <w:rFonts w:cs="Arial"/>
          <w:bCs/>
          <w:sz w:val="22"/>
          <w:szCs w:val="22"/>
        </w:rPr>
        <w:t>)</w:t>
      </w:r>
      <w:r w:rsidR="00150373">
        <w:rPr>
          <w:rFonts w:cs="Arial"/>
          <w:bCs/>
          <w:sz w:val="22"/>
          <w:szCs w:val="22"/>
        </w:rPr>
        <w:t>.</w:t>
      </w:r>
      <w:r w:rsidR="00150373" w:rsidRPr="00AA69AD" w:rsidDel="00150373">
        <w:rPr>
          <w:rFonts w:eastAsia="Calibri"/>
          <w:sz w:val="22"/>
          <w:szCs w:val="22"/>
          <w:lang w:eastAsia="en-US"/>
        </w:rPr>
        <w:t xml:space="preserve"> </w:t>
      </w:r>
      <w:r w:rsidR="00C75BF1" w:rsidRPr="0076434B">
        <w:rPr>
          <w:rFonts w:eastAsia="Calibri"/>
          <w:b/>
          <w:sz w:val="22"/>
          <w:szCs w:val="22"/>
          <w:lang w:eastAsia="en-US"/>
        </w:rPr>
        <w:t>Zadavatelé</w:t>
      </w:r>
      <w:r w:rsidR="0001442A">
        <w:rPr>
          <w:rFonts w:eastAsia="Calibri"/>
          <w:b/>
          <w:sz w:val="22"/>
          <w:szCs w:val="22"/>
          <w:lang w:eastAsia="en-US"/>
        </w:rPr>
        <w:t xml:space="preserve"> </w:t>
      </w:r>
      <w:r w:rsidR="00C75BF1" w:rsidRPr="0076434B">
        <w:rPr>
          <w:rFonts w:eastAsia="Calibri"/>
          <w:b/>
          <w:sz w:val="22"/>
          <w:szCs w:val="22"/>
          <w:lang w:eastAsia="en-US"/>
        </w:rPr>
        <w:t>v některých případech s prokazatelným vědomím MPO definoval</w:t>
      </w:r>
      <w:r w:rsidR="001F297B">
        <w:rPr>
          <w:rFonts w:eastAsia="Calibri"/>
          <w:b/>
          <w:sz w:val="22"/>
          <w:szCs w:val="22"/>
          <w:lang w:eastAsia="en-US"/>
        </w:rPr>
        <w:t>i</w:t>
      </w:r>
      <w:r w:rsidR="00C75BF1" w:rsidRPr="0076434B">
        <w:rPr>
          <w:rFonts w:eastAsia="Calibri"/>
          <w:b/>
          <w:sz w:val="22"/>
          <w:szCs w:val="22"/>
          <w:lang w:eastAsia="en-US"/>
        </w:rPr>
        <w:t xml:space="preserve"> podmínky realizace přímých offsetů bez ohledu na vazbu k realizované veřejné zakázce. Zejména se jednalo o rozšíření definice </w:t>
      </w:r>
      <w:r w:rsidR="00E146B5">
        <w:rPr>
          <w:rFonts w:eastAsia="Calibri"/>
          <w:b/>
          <w:sz w:val="22"/>
          <w:szCs w:val="22"/>
          <w:lang w:eastAsia="en-US"/>
        </w:rPr>
        <w:t>pr</w:t>
      </w:r>
      <w:r w:rsidR="00C75BF1" w:rsidRPr="0076434B">
        <w:rPr>
          <w:rFonts w:eastAsia="Calibri"/>
          <w:b/>
          <w:sz w:val="22"/>
          <w:szCs w:val="22"/>
          <w:lang w:eastAsia="en-US"/>
        </w:rPr>
        <w:t>o projekty směřující do leteckého, obranného a bezpečnostního průmyslu</w:t>
      </w:r>
      <w:r w:rsidR="00E146B5">
        <w:rPr>
          <w:rFonts w:eastAsia="Calibri"/>
          <w:b/>
          <w:sz w:val="22"/>
          <w:szCs w:val="22"/>
          <w:lang w:eastAsia="en-US"/>
        </w:rPr>
        <w:t>, v důsledku čehož vzniklo</w:t>
      </w:r>
      <w:r w:rsidR="00C75BF1" w:rsidRPr="00AA69AD">
        <w:rPr>
          <w:rFonts w:eastAsia="Calibri"/>
          <w:b/>
          <w:sz w:val="22"/>
          <w:szCs w:val="22"/>
          <w:lang w:eastAsia="en-US"/>
        </w:rPr>
        <w:t xml:space="preserve"> širší pojetí přímých offsetů</w:t>
      </w:r>
      <w:r w:rsidR="00BF79C0">
        <w:rPr>
          <w:rFonts w:eastAsia="Calibri"/>
          <w:b/>
          <w:sz w:val="22"/>
          <w:szCs w:val="22"/>
          <w:lang w:eastAsia="en-US"/>
        </w:rPr>
        <w:t>,</w:t>
      </w:r>
      <w:r w:rsidR="00C75BF1" w:rsidRPr="00AA69AD">
        <w:rPr>
          <w:rFonts w:eastAsia="Calibri"/>
          <w:b/>
          <w:sz w:val="22"/>
          <w:szCs w:val="22"/>
          <w:lang w:eastAsia="en-US"/>
        </w:rPr>
        <w:t xml:space="preserve"> než</w:t>
      </w:r>
      <w:r w:rsidR="00E146B5">
        <w:rPr>
          <w:rFonts w:eastAsia="Calibri"/>
          <w:b/>
          <w:sz w:val="22"/>
          <w:szCs w:val="22"/>
          <w:lang w:eastAsia="en-US"/>
        </w:rPr>
        <w:t xml:space="preserve"> </w:t>
      </w:r>
      <w:r w:rsidR="00C75BF1" w:rsidRPr="00AA69AD">
        <w:rPr>
          <w:rFonts w:eastAsia="Calibri"/>
          <w:b/>
          <w:sz w:val="22"/>
          <w:szCs w:val="22"/>
          <w:lang w:eastAsia="en-US"/>
        </w:rPr>
        <w:t xml:space="preserve">stanovily Zásady 1998 </w:t>
      </w:r>
      <w:r w:rsidR="00E146B5">
        <w:rPr>
          <w:rFonts w:eastAsia="Calibri"/>
          <w:b/>
          <w:sz w:val="22"/>
          <w:szCs w:val="22"/>
          <w:lang w:eastAsia="en-US"/>
        </w:rPr>
        <w:t>či Zásady</w:t>
      </w:r>
      <w:r w:rsidR="00C75BF1" w:rsidRPr="00AA69AD">
        <w:rPr>
          <w:rFonts w:eastAsia="Calibri"/>
          <w:b/>
          <w:sz w:val="22"/>
          <w:szCs w:val="22"/>
          <w:lang w:eastAsia="en-US"/>
        </w:rPr>
        <w:t xml:space="preserve"> 2005.</w:t>
      </w:r>
      <w:r w:rsidR="00C75BF1" w:rsidRPr="0076434B">
        <w:rPr>
          <w:rFonts w:eastAsia="Calibri"/>
          <w:b/>
          <w:sz w:val="22"/>
          <w:szCs w:val="22"/>
          <w:lang w:eastAsia="en-US"/>
        </w:rPr>
        <w:t xml:space="preserve"> </w:t>
      </w:r>
      <w:r w:rsidR="00BF79C0" w:rsidRPr="007C66B7">
        <w:rPr>
          <w:rFonts w:eastAsia="Calibri"/>
          <w:sz w:val="22"/>
          <w:szCs w:val="22"/>
          <w:lang w:eastAsia="en-US"/>
        </w:rPr>
        <w:t>Přesn</w:t>
      </w:r>
      <w:r w:rsidR="00E146B5">
        <w:rPr>
          <w:rFonts w:eastAsia="Calibri"/>
          <w:sz w:val="22"/>
          <w:szCs w:val="22"/>
          <w:lang w:eastAsia="en-US"/>
        </w:rPr>
        <w:t>ou</w:t>
      </w:r>
      <w:r w:rsidR="00BF79C0" w:rsidRPr="007C66B7">
        <w:rPr>
          <w:rFonts w:eastAsia="Calibri"/>
          <w:sz w:val="22"/>
          <w:szCs w:val="22"/>
          <w:lang w:eastAsia="en-US"/>
        </w:rPr>
        <w:t xml:space="preserve"> definic</w:t>
      </w:r>
      <w:r w:rsidR="00E146B5">
        <w:rPr>
          <w:rFonts w:eastAsia="Calibri"/>
          <w:sz w:val="22"/>
          <w:szCs w:val="22"/>
          <w:lang w:eastAsia="en-US"/>
        </w:rPr>
        <w:t>i</w:t>
      </w:r>
      <w:r w:rsidR="00BF79C0" w:rsidRPr="007C66B7">
        <w:rPr>
          <w:rFonts w:eastAsia="Calibri"/>
          <w:sz w:val="22"/>
          <w:szCs w:val="22"/>
          <w:lang w:eastAsia="en-US"/>
        </w:rPr>
        <w:t xml:space="preserve"> pojmu „letecký, obranný a bezpečnostní průmysl“ však MPO ani zadavatel</w:t>
      </w:r>
      <w:r w:rsidR="00AE1E0C" w:rsidRPr="007C66B7">
        <w:rPr>
          <w:rFonts w:eastAsia="Calibri"/>
          <w:sz w:val="22"/>
          <w:szCs w:val="22"/>
          <w:lang w:eastAsia="en-US"/>
        </w:rPr>
        <w:t>é</w:t>
      </w:r>
      <w:r w:rsidR="00BF79C0" w:rsidRPr="007C66B7">
        <w:rPr>
          <w:rFonts w:eastAsia="Calibri"/>
          <w:sz w:val="22"/>
          <w:szCs w:val="22"/>
          <w:lang w:eastAsia="en-US"/>
        </w:rPr>
        <w:t xml:space="preserve"> pro potřeby offsetových dohod nespecifikovali.</w:t>
      </w:r>
      <w:r w:rsidR="00096853">
        <w:rPr>
          <w:rFonts w:eastAsia="Calibri"/>
          <w:b/>
          <w:sz w:val="22"/>
          <w:szCs w:val="22"/>
          <w:lang w:eastAsia="en-US"/>
        </w:rPr>
        <w:t xml:space="preserve"> </w:t>
      </w:r>
    </w:p>
    <w:p w14:paraId="49F0CD20" w14:textId="77777777" w:rsidR="005F0E6A" w:rsidRDefault="005F0E6A" w:rsidP="00D241B1">
      <w:pPr>
        <w:autoSpaceDE w:val="0"/>
        <w:autoSpaceDN w:val="0"/>
        <w:adjustRightInd w:val="0"/>
        <w:jc w:val="both"/>
        <w:rPr>
          <w:rFonts w:eastAsia="Calibri"/>
          <w:sz w:val="22"/>
          <w:szCs w:val="22"/>
          <w:lang w:eastAsia="en-US"/>
        </w:rPr>
      </w:pPr>
    </w:p>
    <w:p w14:paraId="3F25AB99" w14:textId="20408E3B" w:rsidR="00C75BF1" w:rsidRDefault="00C75BF1" w:rsidP="00D241B1">
      <w:pPr>
        <w:autoSpaceDE w:val="0"/>
        <w:autoSpaceDN w:val="0"/>
        <w:adjustRightInd w:val="0"/>
        <w:jc w:val="both"/>
        <w:rPr>
          <w:rFonts w:eastAsia="Calibri"/>
          <w:b/>
          <w:sz w:val="22"/>
          <w:szCs w:val="22"/>
          <w:lang w:eastAsia="en-US"/>
        </w:rPr>
      </w:pPr>
      <w:r w:rsidRPr="00BF6920">
        <w:rPr>
          <w:rFonts w:eastAsia="Calibri"/>
          <w:sz w:val="22"/>
          <w:szCs w:val="22"/>
          <w:lang w:eastAsia="en-US"/>
        </w:rPr>
        <w:t xml:space="preserve">Pouze v PPS KOT PANDUR, LOV IVECO a EUROCOPTER byly </w:t>
      </w:r>
      <w:r w:rsidR="00F9722A">
        <w:rPr>
          <w:rFonts w:eastAsia="Calibri"/>
          <w:sz w:val="22"/>
          <w:szCs w:val="22"/>
          <w:lang w:eastAsia="en-US"/>
        </w:rPr>
        <w:t xml:space="preserve">obsaženy skutečné přímé </w:t>
      </w:r>
      <w:r w:rsidRPr="00BF6920">
        <w:rPr>
          <w:rFonts w:eastAsia="Calibri"/>
          <w:sz w:val="22"/>
          <w:szCs w:val="22"/>
          <w:lang w:eastAsia="en-US"/>
        </w:rPr>
        <w:t>OFT</w:t>
      </w:r>
      <w:r w:rsidR="00F9722A">
        <w:rPr>
          <w:rFonts w:eastAsia="Calibri"/>
          <w:sz w:val="22"/>
          <w:szCs w:val="22"/>
          <w:lang w:eastAsia="en-US"/>
        </w:rPr>
        <w:t>,</w:t>
      </w:r>
      <w:r w:rsidRPr="00BF6920">
        <w:rPr>
          <w:rFonts w:eastAsia="Calibri"/>
          <w:sz w:val="22"/>
          <w:szCs w:val="22"/>
          <w:lang w:eastAsia="en-US"/>
        </w:rPr>
        <w:t xml:space="preserve"> které spočívaly ve faktickém podílu na realizac</w:t>
      </w:r>
      <w:r w:rsidR="00615A29" w:rsidRPr="00BF6920">
        <w:rPr>
          <w:rFonts w:eastAsia="Calibri"/>
          <w:sz w:val="22"/>
          <w:szCs w:val="22"/>
          <w:lang w:eastAsia="en-US"/>
        </w:rPr>
        <w:t>i</w:t>
      </w:r>
      <w:r w:rsidRPr="00BF6920">
        <w:rPr>
          <w:rFonts w:eastAsia="Calibri"/>
          <w:sz w:val="22"/>
          <w:szCs w:val="22"/>
          <w:lang w:eastAsia="en-US"/>
        </w:rPr>
        <w:t xml:space="preserve"> veřejné zakázky.</w:t>
      </w:r>
      <w:r>
        <w:rPr>
          <w:rFonts w:eastAsia="Calibri"/>
          <w:b/>
          <w:sz w:val="22"/>
          <w:szCs w:val="22"/>
          <w:lang w:eastAsia="en-US"/>
        </w:rPr>
        <w:t xml:space="preserve"> </w:t>
      </w:r>
      <w:r w:rsidR="00CD6541" w:rsidRPr="00B71862">
        <w:rPr>
          <w:rFonts w:eastAsia="Calibri"/>
          <w:b/>
          <w:sz w:val="22"/>
          <w:szCs w:val="22"/>
          <w:lang w:eastAsia="en-US"/>
        </w:rPr>
        <w:t>U</w:t>
      </w:r>
      <w:r w:rsidR="00B71862">
        <w:rPr>
          <w:rFonts w:eastAsia="Calibri"/>
          <w:b/>
          <w:sz w:val="22"/>
          <w:szCs w:val="22"/>
          <w:lang w:eastAsia="en-US"/>
        </w:rPr>
        <w:t> </w:t>
      </w:r>
      <w:r w:rsidR="00613FD8" w:rsidRPr="00B71862">
        <w:rPr>
          <w:rFonts w:eastAsia="Calibri"/>
          <w:b/>
          <w:sz w:val="22"/>
          <w:szCs w:val="22"/>
          <w:lang w:eastAsia="en-US"/>
        </w:rPr>
        <w:t>uvedených</w:t>
      </w:r>
      <w:r w:rsidR="009F3F20" w:rsidRPr="00B71862">
        <w:rPr>
          <w:rFonts w:eastAsia="Calibri"/>
          <w:b/>
          <w:sz w:val="22"/>
          <w:szCs w:val="22"/>
          <w:lang w:eastAsia="en-US"/>
        </w:rPr>
        <w:t xml:space="preserve"> PPS byl </w:t>
      </w:r>
      <w:r w:rsidRPr="00B71862">
        <w:rPr>
          <w:rFonts w:eastAsia="Calibri"/>
          <w:b/>
          <w:sz w:val="22"/>
          <w:szCs w:val="22"/>
          <w:lang w:eastAsia="en-US"/>
        </w:rPr>
        <w:t xml:space="preserve">obsah </w:t>
      </w:r>
      <w:r w:rsidR="009F3F20" w:rsidRPr="00B71862">
        <w:rPr>
          <w:rFonts w:eastAsia="Calibri"/>
          <w:b/>
          <w:sz w:val="22"/>
          <w:szCs w:val="22"/>
          <w:lang w:eastAsia="en-US"/>
        </w:rPr>
        <w:t>realizace</w:t>
      </w:r>
      <w:r w:rsidRPr="00B71862">
        <w:rPr>
          <w:rFonts w:eastAsia="Calibri"/>
          <w:b/>
          <w:sz w:val="22"/>
          <w:szCs w:val="22"/>
          <w:lang w:eastAsia="en-US"/>
        </w:rPr>
        <w:t xml:space="preserve"> </w:t>
      </w:r>
      <w:r w:rsidR="009F3F20" w:rsidRPr="00B71862">
        <w:rPr>
          <w:rFonts w:eastAsia="Calibri"/>
          <w:b/>
          <w:sz w:val="22"/>
          <w:szCs w:val="22"/>
          <w:lang w:eastAsia="en-US"/>
        </w:rPr>
        <w:t xml:space="preserve">těchto přímých </w:t>
      </w:r>
      <w:r w:rsidRPr="00B71862">
        <w:rPr>
          <w:rFonts w:eastAsia="Calibri"/>
          <w:b/>
          <w:sz w:val="22"/>
          <w:szCs w:val="22"/>
          <w:lang w:eastAsia="en-US"/>
        </w:rPr>
        <w:t>OFT</w:t>
      </w:r>
      <w:r w:rsidR="009F3F20" w:rsidRPr="00B71862">
        <w:rPr>
          <w:rFonts w:eastAsia="Calibri"/>
          <w:b/>
          <w:sz w:val="22"/>
          <w:szCs w:val="22"/>
          <w:lang w:eastAsia="en-US"/>
        </w:rPr>
        <w:t xml:space="preserve"> řešen již ve smlouvách </w:t>
      </w:r>
      <w:r w:rsidR="009F3F20">
        <w:rPr>
          <w:rFonts w:eastAsia="Calibri"/>
          <w:b/>
          <w:sz w:val="22"/>
          <w:szCs w:val="22"/>
          <w:lang w:eastAsia="en-US"/>
        </w:rPr>
        <w:t>k</w:t>
      </w:r>
      <w:r w:rsidR="00B71862">
        <w:rPr>
          <w:rFonts w:eastAsia="Calibri"/>
          <w:b/>
          <w:sz w:val="22"/>
          <w:szCs w:val="22"/>
          <w:lang w:eastAsia="en-US"/>
        </w:rPr>
        <w:t> </w:t>
      </w:r>
      <w:r>
        <w:rPr>
          <w:rFonts w:eastAsia="Calibri"/>
          <w:b/>
          <w:sz w:val="22"/>
          <w:szCs w:val="22"/>
          <w:lang w:eastAsia="en-US"/>
        </w:rPr>
        <w:t xml:space="preserve">plnění předmětných veřejných zakázek. </w:t>
      </w:r>
      <w:r w:rsidR="00F9722A">
        <w:rPr>
          <w:rFonts w:eastAsia="Calibri"/>
          <w:b/>
          <w:sz w:val="22"/>
          <w:szCs w:val="22"/>
          <w:lang w:eastAsia="en-US"/>
        </w:rPr>
        <w:t>NKÚ však v</w:t>
      </w:r>
      <w:r w:rsidR="00AE1E0C">
        <w:rPr>
          <w:rFonts w:eastAsia="Calibri"/>
          <w:b/>
          <w:sz w:val="22"/>
          <w:szCs w:val="22"/>
          <w:lang w:eastAsia="en-US"/>
        </w:rPr>
        <w:t> těchto případech nemohl ověřit, zda a</w:t>
      </w:r>
      <w:r w:rsidR="005978E4">
        <w:rPr>
          <w:rFonts w:eastAsia="Calibri"/>
          <w:b/>
          <w:sz w:val="22"/>
          <w:szCs w:val="22"/>
          <w:lang w:eastAsia="en-US"/>
        </w:rPr>
        <w:t> </w:t>
      </w:r>
      <w:r w:rsidR="00AE1E0C">
        <w:rPr>
          <w:rFonts w:eastAsia="Calibri"/>
          <w:b/>
          <w:sz w:val="22"/>
          <w:szCs w:val="22"/>
          <w:lang w:eastAsia="en-US"/>
        </w:rPr>
        <w:t>jakým způsobem se promítl do výsledné pořizovací ceny přenos produkce a</w:t>
      </w:r>
      <w:r w:rsidR="00B71862">
        <w:rPr>
          <w:rFonts w:eastAsia="Calibri"/>
          <w:b/>
          <w:sz w:val="22"/>
          <w:szCs w:val="22"/>
          <w:lang w:eastAsia="en-US"/>
        </w:rPr>
        <w:t> </w:t>
      </w:r>
      <w:r w:rsidR="00AE1E0C">
        <w:rPr>
          <w:rFonts w:eastAsia="Calibri"/>
          <w:b/>
          <w:sz w:val="22"/>
          <w:szCs w:val="22"/>
          <w:lang w:eastAsia="en-US"/>
        </w:rPr>
        <w:t>služeb do ČR</w:t>
      </w:r>
      <w:r w:rsidR="00F91F8E">
        <w:rPr>
          <w:rFonts w:eastAsia="Calibri"/>
          <w:b/>
          <w:sz w:val="22"/>
          <w:szCs w:val="22"/>
          <w:lang w:eastAsia="en-US"/>
        </w:rPr>
        <w:t>, což by snižovalo efektivitu offsetů</w:t>
      </w:r>
      <w:r w:rsidR="00AE1E0C">
        <w:rPr>
          <w:rFonts w:eastAsia="Calibri"/>
          <w:b/>
          <w:sz w:val="22"/>
          <w:szCs w:val="22"/>
          <w:lang w:eastAsia="en-US"/>
        </w:rPr>
        <w:t>.</w:t>
      </w:r>
      <w:r w:rsidR="0001442A">
        <w:rPr>
          <w:rFonts w:eastAsia="Calibri"/>
          <w:b/>
          <w:sz w:val="22"/>
          <w:szCs w:val="22"/>
          <w:lang w:eastAsia="en-US"/>
        </w:rPr>
        <w:t xml:space="preserve"> </w:t>
      </w:r>
    </w:p>
    <w:p w14:paraId="35FA274E" w14:textId="77777777" w:rsidR="005F0E6A" w:rsidRDefault="005F0E6A" w:rsidP="00D241B1">
      <w:pPr>
        <w:autoSpaceDE w:val="0"/>
        <w:autoSpaceDN w:val="0"/>
        <w:adjustRightInd w:val="0"/>
        <w:jc w:val="both"/>
        <w:rPr>
          <w:rFonts w:eastAsia="Calibri"/>
          <w:b/>
          <w:sz w:val="22"/>
          <w:szCs w:val="22"/>
          <w:lang w:eastAsia="en-US"/>
        </w:rPr>
      </w:pPr>
    </w:p>
    <w:p w14:paraId="3F25AB9A" w14:textId="523F2194" w:rsidR="007C3F38" w:rsidRPr="0001442A" w:rsidRDefault="00773C7A" w:rsidP="00D241B1">
      <w:pPr>
        <w:pStyle w:val="Nadpis2"/>
        <w:spacing w:before="0"/>
        <w:rPr>
          <w:sz w:val="22"/>
          <w:szCs w:val="22"/>
        </w:rPr>
      </w:pPr>
      <w:r>
        <w:rPr>
          <w:sz w:val="22"/>
          <w:szCs w:val="22"/>
        </w:rPr>
        <w:t xml:space="preserve">4. </w:t>
      </w:r>
      <w:r w:rsidR="007C3F38" w:rsidRPr="0001442A">
        <w:rPr>
          <w:sz w:val="22"/>
          <w:szCs w:val="22"/>
        </w:rPr>
        <w:t>PPS</w:t>
      </w:r>
      <w:r w:rsidR="00513A4C" w:rsidRPr="0001442A">
        <w:rPr>
          <w:sz w:val="22"/>
          <w:szCs w:val="22"/>
        </w:rPr>
        <w:t xml:space="preserve"> realizované u </w:t>
      </w:r>
      <w:r w:rsidR="0099281A" w:rsidRPr="0001442A">
        <w:rPr>
          <w:sz w:val="22"/>
          <w:szCs w:val="22"/>
        </w:rPr>
        <w:t xml:space="preserve">MO a </w:t>
      </w:r>
      <w:r w:rsidR="00513A4C" w:rsidRPr="0001442A">
        <w:rPr>
          <w:sz w:val="22"/>
          <w:szCs w:val="22"/>
        </w:rPr>
        <w:t xml:space="preserve">MV </w:t>
      </w:r>
    </w:p>
    <w:p w14:paraId="3F25AB9B" w14:textId="50211DF3" w:rsidR="00A53A7D" w:rsidRDefault="00513A4C" w:rsidP="00D241B1">
      <w:pPr>
        <w:autoSpaceDE w:val="0"/>
        <w:autoSpaceDN w:val="0"/>
        <w:adjustRightInd w:val="0"/>
        <w:jc w:val="both"/>
        <w:rPr>
          <w:rFonts w:cs="Arial"/>
          <w:sz w:val="22"/>
          <w:szCs w:val="22"/>
        </w:rPr>
      </w:pPr>
      <w:r w:rsidRPr="0045372B">
        <w:rPr>
          <w:rFonts w:cs="Arial"/>
          <w:sz w:val="22"/>
          <w:szCs w:val="22"/>
        </w:rPr>
        <w:t>MPO se na přípravě PPS podílelo pouze omezeně a jen u některých veřejných zakázek</w:t>
      </w:r>
      <w:r w:rsidR="007C48F5">
        <w:rPr>
          <w:rFonts w:cs="Arial"/>
          <w:sz w:val="22"/>
          <w:szCs w:val="22"/>
        </w:rPr>
        <w:t>,</w:t>
      </w:r>
      <w:r w:rsidRPr="0045372B">
        <w:rPr>
          <w:rFonts w:cs="Arial"/>
          <w:sz w:val="22"/>
          <w:szCs w:val="22"/>
        </w:rPr>
        <w:t xml:space="preserve"> </w:t>
      </w:r>
      <w:r w:rsidR="00707F5B">
        <w:rPr>
          <w:rFonts w:cs="Arial"/>
          <w:sz w:val="22"/>
          <w:szCs w:val="22"/>
        </w:rPr>
        <w:t xml:space="preserve">a to </w:t>
      </w:r>
      <w:r w:rsidR="00A53A7D">
        <w:rPr>
          <w:rFonts w:cs="Arial"/>
          <w:sz w:val="22"/>
          <w:szCs w:val="22"/>
        </w:rPr>
        <w:t xml:space="preserve">například v podobě přípravy směrnice </w:t>
      </w:r>
      <w:r w:rsidR="00D920E5">
        <w:rPr>
          <w:rFonts w:cs="Arial"/>
          <w:sz w:val="22"/>
          <w:szCs w:val="22"/>
        </w:rPr>
        <w:t>k </w:t>
      </w:r>
      <w:r w:rsidR="00A53A7D">
        <w:rPr>
          <w:rFonts w:cs="Arial"/>
          <w:sz w:val="22"/>
          <w:szCs w:val="22"/>
        </w:rPr>
        <w:t xml:space="preserve">realizaci PPS </w:t>
      </w:r>
      <w:r w:rsidR="00A53A7D" w:rsidRPr="0045372B">
        <w:rPr>
          <w:rFonts w:cs="Arial"/>
          <w:sz w:val="22"/>
          <w:szCs w:val="22"/>
        </w:rPr>
        <w:t>GRIPEN</w:t>
      </w:r>
      <w:r w:rsidR="00A53A7D">
        <w:rPr>
          <w:rFonts w:cs="Arial"/>
          <w:sz w:val="22"/>
          <w:szCs w:val="22"/>
        </w:rPr>
        <w:t xml:space="preserve"> nebo</w:t>
      </w:r>
      <w:r w:rsidR="00A53A7D" w:rsidRPr="0045372B">
        <w:rPr>
          <w:rFonts w:cs="Arial"/>
          <w:sz w:val="22"/>
          <w:szCs w:val="22"/>
        </w:rPr>
        <w:t xml:space="preserve"> </w:t>
      </w:r>
      <w:r w:rsidR="00A53A7D">
        <w:rPr>
          <w:rFonts w:cs="Arial"/>
          <w:sz w:val="22"/>
          <w:szCs w:val="22"/>
        </w:rPr>
        <w:t xml:space="preserve">PPS </w:t>
      </w:r>
      <w:r w:rsidR="00A53A7D" w:rsidRPr="0045372B">
        <w:rPr>
          <w:rFonts w:cs="Arial"/>
          <w:sz w:val="22"/>
          <w:szCs w:val="22"/>
        </w:rPr>
        <w:t>KOT PANDUR</w:t>
      </w:r>
      <w:r w:rsidRPr="0045372B">
        <w:rPr>
          <w:rFonts w:cs="Arial"/>
          <w:sz w:val="22"/>
          <w:szCs w:val="22"/>
        </w:rPr>
        <w:t xml:space="preserve">. </w:t>
      </w:r>
      <w:r w:rsidR="00BA14BE" w:rsidRPr="0045372B">
        <w:rPr>
          <w:rFonts w:cs="Arial"/>
          <w:sz w:val="22"/>
          <w:szCs w:val="22"/>
        </w:rPr>
        <w:t>Hlavní odpovědnost spočívala na MO a MV jako zadavatelích</w:t>
      </w:r>
      <w:r w:rsidR="00A53A7D">
        <w:rPr>
          <w:rFonts w:cs="Arial"/>
          <w:sz w:val="22"/>
          <w:szCs w:val="22"/>
        </w:rPr>
        <w:t>.</w:t>
      </w:r>
      <w:r w:rsidR="00BA14BE" w:rsidRPr="0045372B">
        <w:rPr>
          <w:rFonts w:cs="Arial"/>
          <w:sz w:val="22"/>
          <w:szCs w:val="22"/>
        </w:rPr>
        <w:t xml:space="preserve"> </w:t>
      </w:r>
    </w:p>
    <w:p w14:paraId="58C2BDA4" w14:textId="77777777" w:rsidR="005F0E6A" w:rsidRDefault="005F0E6A" w:rsidP="00D241B1">
      <w:pPr>
        <w:autoSpaceDE w:val="0"/>
        <w:autoSpaceDN w:val="0"/>
        <w:adjustRightInd w:val="0"/>
        <w:jc w:val="both"/>
        <w:rPr>
          <w:rFonts w:cs="Arial"/>
          <w:sz w:val="22"/>
          <w:szCs w:val="22"/>
        </w:rPr>
      </w:pPr>
    </w:p>
    <w:p w14:paraId="3F25AB9C" w14:textId="188CF20A" w:rsidR="00834B71" w:rsidRPr="006929B1" w:rsidRDefault="00CD6B43" w:rsidP="00D241B1">
      <w:pPr>
        <w:autoSpaceDE w:val="0"/>
        <w:autoSpaceDN w:val="0"/>
        <w:adjustRightInd w:val="0"/>
        <w:jc w:val="both"/>
        <w:rPr>
          <w:rFonts w:cs="Arial"/>
          <w:sz w:val="22"/>
          <w:szCs w:val="22"/>
        </w:rPr>
      </w:pPr>
      <w:r w:rsidRPr="006929B1">
        <w:rPr>
          <w:rFonts w:cs="Arial"/>
          <w:sz w:val="22"/>
          <w:szCs w:val="22"/>
        </w:rPr>
        <w:t xml:space="preserve">Celý </w:t>
      </w:r>
      <w:r w:rsidR="00F9722A">
        <w:rPr>
          <w:rFonts w:cs="Arial"/>
          <w:sz w:val="22"/>
          <w:szCs w:val="22"/>
        </w:rPr>
        <w:t>proces, v jehož rámci je do PPS zařazena</w:t>
      </w:r>
      <w:r w:rsidRPr="006929B1">
        <w:rPr>
          <w:rFonts w:cs="Arial"/>
          <w:sz w:val="22"/>
          <w:szCs w:val="22"/>
        </w:rPr>
        <w:t xml:space="preserve"> konkrétní OFT</w:t>
      </w:r>
      <w:r w:rsidR="00F9722A">
        <w:rPr>
          <w:rFonts w:cs="Arial"/>
          <w:sz w:val="22"/>
          <w:szCs w:val="22"/>
        </w:rPr>
        <w:t>,</w:t>
      </w:r>
      <w:r w:rsidRPr="006929B1">
        <w:rPr>
          <w:rFonts w:cs="Arial"/>
          <w:sz w:val="22"/>
          <w:szCs w:val="22"/>
        </w:rPr>
        <w:t xml:space="preserve"> jejímž prostřednictvím </w:t>
      </w:r>
      <w:r w:rsidR="00F9722A">
        <w:rPr>
          <w:rFonts w:cs="Arial"/>
          <w:sz w:val="22"/>
          <w:szCs w:val="22"/>
        </w:rPr>
        <w:t>dochází k plnění</w:t>
      </w:r>
      <w:r w:rsidR="009969D2" w:rsidRPr="006929B1">
        <w:rPr>
          <w:rFonts w:cs="Arial"/>
          <w:sz w:val="22"/>
          <w:szCs w:val="22"/>
        </w:rPr>
        <w:t xml:space="preserve"> offsetov</w:t>
      </w:r>
      <w:r w:rsidR="00F9722A">
        <w:rPr>
          <w:rFonts w:cs="Arial"/>
          <w:sz w:val="22"/>
          <w:szCs w:val="22"/>
        </w:rPr>
        <w:t>ého</w:t>
      </w:r>
      <w:r w:rsidR="009969D2" w:rsidRPr="006929B1">
        <w:rPr>
          <w:rFonts w:cs="Arial"/>
          <w:sz w:val="22"/>
          <w:szCs w:val="22"/>
        </w:rPr>
        <w:t xml:space="preserve"> závaz</w:t>
      </w:r>
      <w:r w:rsidR="00F9722A">
        <w:rPr>
          <w:rFonts w:cs="Arial"/>
          <w:sz w:val="22"/>
          <w:szCs w:val="22"/>
        </w:rPr>
        <w:t>ku</w:t>
      </w:r>
      <w:r w:rsidRPr="006929B1">
        <w:rPr>
          <w:rFonts w:cs="Arial"/>
          <w:sz w:val="22"/>
          <w:szCs w:val="22"/>
        </w:rPr>
        <w:t xml:space="preserve">, je znázorněn </w:t>
      </w:r>
      <w:r w:rsidRPr="00A77368">
        <w:rPr>
          <w:rFonts w:cs="Arial"/>
          <w:sz w:val="22"/>
          <w:szCs w:val="22"/>
        </w:rPr>
        <w:t xml:space="preserve">v příloze </w:t>
      </w:r>
      <w:r w:rsidR="00F9722A">
        <w:rPr>
          <w:rFonts w:cs="Arial"/>
          <w:sz w:val="22"/>
          <w:szCs w:val="22"/>
        </w:rPr>
        <w:t>č. </w:t>
      </w:r>
      <w:r w:rsidRPr="00A77368">
        <w:rPr>
          <w:rFonts w:cs="Arial"/>
          <w:sz w:val="22"/>
          <w:szCs w:val="22"/>
        </w:rPr>
        <w:t>2.</w:t>
      </w:r>
      <w:r w:rsidR="009B2703" w:rsidRPr="006929B1">
        <w:rPr>
          <w:rFonts w:cs="Arial"/>
          <w:sz w:val="22"/>
          <w:szCs w:val="22"/>
        </w:rPr>
        <w:t xml:space="preserve"> Provázanost mezi </w:t>
      </w:r>
      <w:r w:rsidR="009B2703" w:rsidRPr="006929B1">
        <w:rPr>
          <w:rFonts w:cs="Arial"/>
          <w:sz w:val="22"/>
          <w:szCs w:val="22"/>
        </w:rPr>
        <w:lastRenderedPageBreak/>
        <w:t>jednotlivými zainteresovanými subjekty pak nutně předpokládá jednoznačné nastavení procesních pravidel včetně práv a povinností všech subjektů.</w:t>
      </w:r>
      <w:r w:rsidR="0001442A">
        <w:rPr>
          <w:rFonts w:cs="Arial"/>
          <w:sz w:val="22"/>
          <w:szCs w:val="22"/>
        </w:rPr>
        <w:t xml:space="preserve"> </w:t>
      </w:r>
      <w:r w:rsidR="00834B71" w:rsidRPr="006929B1">
        <w:rPr>
          <w:rFonts w:cs="Arial"/>
          <w:sz w:val="22"/>
          <w:szCs w:val="22"/>
        </w:rPr>
        <w:t xml:space="preserve">Předkladatelem návrhu OFT mohl být </w:t>
      </w:r>
      <w:r w:rsidR="006929B1" w:rsidRPr="006929B1">
        <w:rPr>
          <w:rFonts w:cs="Arial"/>
          <w:sz w:val="22"/>
          <w:szCs w:val="22"/>
        </w:rPr>
        <w:t>kterýkoliv subjekt</w:t>
      </w:r>
      <w:r w:rsidR="00834B71" w:rsidRPr="006929B1">
        <w:rPr>
          <w:rFonts w:cs="Arial"/>
          <w:sz w:val="22"/>
          <w:szCs w:val="22"/>
        </w:rPr>
        <w:t xml:space="preserve">. </w:t>
      </w:r>
      <w:r w:rsidR="00F91F8E">
        <w:rPr>
          <w:rFonts w:cs="Arial"/>
          <w:sz w:val="22"/>
          <w:szCs w:val="22"/>
        </w:rPr>
        <w:t xml:space="preserve">Zpravidla </w:t>
      </w:r>
      <w:r w:rsidR="00F9722A">
        <w:rPr>
          <w:rFonts w:cs="Arial"/>
          <w:sz w:val="22"/>
          <w:szCs w:val="22"/>
        </w:rPr>
        <w:t>tuto roli plnili</w:t>
      </w:r>
      <w:r w:rsidR="00834B71" w:rsidRPr="006929B1">
        <w:rPr>
          <w:rFonts w:cs="Arial"/>
          <w:sz w:val="22"/>
          <w:szCs w:val="22"/>
        </w:rPr>
        <w:t xml:space="preserve"> </w:t>
      </w:r>
      <w:r w:rsidR="007837B5" w:rsidRPr="006929B1">
        <w:rPr>
          <w:rFonts w:cs="Arial"/>
          <w:sz w:val="22"/>
          <w:szCs w:val="22"/>
        </w:rPr>
        <w:t>zahraniční (sub)dodavatel</w:t>
      </w:r>
      <w:r w:rsidR="00834B71" w:rsidRPr="006929B1">
        <w:rPr>
          <w:rFonts w:cs="Arial"/>
          <w:sz w:val="22"/>
          <w:szCs w:val="22"/>
        </w:rPr>
        <w:t>é</w:t>
      </w:r>
      <w:r w:rsidR="007837B5" w:rsidRPr="006929B1">
        <w:rPr>
          <w:rFonts w:cs="Arial"/>
          <w:sz w:val="22"/>
          <w:szCs w:val="22"/>
        </w:rPr>
        <w:t xml:space="preserve"> veřejné zakázky, kteří však v řadě případů neměli přímo se zadavatelem uzavřenou smlouvu</w:t>
      </w:r>
      <w:r w:rsidR="00834B71" w:rsidRPr="006929B1">
        <w:rPr>
          <w:rFonts w:cs="Arial"/>
          <w:sz w:val="22"/>
          <w:szCs w:val="22"/>
        </w:rPr>
        <w:t>.</w:t>
      </w:r>
      <w:r w:rsidR="009969D2" w:rsidRPr="006929B1">
        <w:rPr>
          <w:rFonts w:cs="Arial"/>
          <w:sz w:val="22"/>
          <w:szCs w:val="22"/>
        </w:rPr>
        <w:t xml:space="preserve"> </w:t>
      </w:r>
      <w:r w:rsidR="00834B71" w:rsidRPr="006929B1">
        <w:rPr>
          <w:rFonts w:cs="Arial"/>
          <w:sz w:val="22"/>
          <w:szCs w:val="22"/>
        </w:rPr>
        <w:t>V</w:t>
      </w:r>
      <w:r w:rsidR="00F9722A">
        <w:rPr>
          <w:rFonts w:cs="Arial"/>
          <w:sz w:val="22"/>
          <w:szCs w:val="22"/>
        </w:rPr>
        <w:t> mnoha případech</w:t>
      </w:r>
      <w:r w:rsidR="00834B71" w:rsidRPr="006929B1">
        <w:rPr>
          <w:rFonts w:cs="Arial"/>
          <w:sz w:val="22"/>
          <w:szCs w:val="22"/>
        </w:rPr>
        <w:t xml:space="preserve"> byly do PPS zařazeny </w:t>
      </w:r>
      <w:r w:rsidR="006929B1" w:rsidRPr="006929B1">
        <w:rPr>
          <w:rFonts w:cs="Arial"/>
          <w:sz w:val="22"/>
          <w:szCs w:val="22"/>
        </w:rPr>
        <w:t xml:space="preserve">i </w:t>
      </w:r>
      <w:r w:rsidR="00834B71" w:rsidRPr="006929B1">
        <w:rPr>
          <w:rFonts w:cs="Arial"/>
          <w:sz w:val="22"/>
          <w:szCs w:val="22"/>
        </w:rPr>
        <w:t xml:space="preserve">OFT, které nepředložil </w:t>
      </w:r>
      <w:r w:rsidR="00F91F8E">
        <w:rPr>
          <w:rFonts w:cs="Arial"/>
          <w:sz w:val="22"/>
          <w:szCs w:val="22"/>
        </w:rPr>
        <w:t xml:space="preserve">ani </w:t>
      </w:r>
      <w:r w:rsidR="00834B71" w:rsidRPr="006929B1">
        <w:rPr>
          <w:rFonts w:cs="Arial"/>
          <w:sz w:val="22"/>
          <w:szCs w:val="22"/>
        </w:rPr>
        <w:t>nositel offsetového závazku ani dodavatel veřejné zakázky.</w:t>
      </w:r>
      <w:r w:rsidR="006929B1" w:rsidRPr="006929B1">
        <w:rPr>
          <w:rFonts w:cs="Arial"/>
          <w:sz w:val="22"/>
          <w:szCs w:val="22"/>
        </w:rPr>
        <w:t xml:space="preserve"> Offsetová politika současně umožnila OFT mezi PPS převádět, aby mohly být započteny v konkrétní výši do plnění příslušného PPS</w:t>
      </w:r>
      <w:r w:rsidR="00F91F8E">
        <w:rPr>
          <w:rFonts w:cs="Arial"/>
          <w:sz w:val="22"/>
          <w:szCs w:val="22"/>
        </w:rPr>
        <w:t>.</w:t>
      </w:r>
    </w:p>
    <w:p w14:paraId="41F22268" w14:textId="77777777" w:rsidR="005F0E6A" w:rsidRDefault="005F0E6A" w:rsidP="00D241B1">
      <w:pPr>
        <w:autoSpaceDE w:val="0"/>
        <w:autoSpaceDN w:val="0"/>
        <w:adjustRightInd w:val="0"/>
        <w:jc w:val="both"/>
        <w:rPr>
          <w:rFonts w:cs="Arial"/>
          <w:sz w:val="22"/>
          <w:szCs w:val="22"/>
        </w:rPr>
      </w:pPr>
    </w:p>
    <w:p w14:paraId="3F25AB9D" w14:textId="2C5C51C6" w:rsidR="007837B5" w:rsidRPr="00A77368" w:rsidRDefault="009969D2" w:rsidP="00D241B1">
      <w:pPr>
        <w:autoSpaceDE w:val="0"/>
        <w:autoSpaceDN w:val="0"/>
        <w:adjustRightInd w:val="0"/>
        <w:jc w:val="both"/>
        <w:rPr>
          <w:rFonts w:cs="Arial"/>
          <w:sz w:val="22"/>
          <w:szCs w:val="22"/>
        </w:rPr>
      </w:pPr>
      <w:r w:rsidRPr="006929B1">
        <w:rPr>
          <w:rFonts w:cs="Arial"/>
          <w:sz w:val="22"/>
          <w:szCs w:val="22"/>
        </w:rPr>
        <w:t xml:space="preserve">Nepřehlednost situace </w:t>
      </w:r>
      <w:r w:rsidR="00300B6C" w:rsidRPr="006929B1">
        <w:rPr>
          <w:rFonts w:cs="Arial"/>
          <w:sz w:val="22"/>
          <w:szCs w:val="22"/>
        </w:rPr>
        <w:t>zvyšoval i fakt, že MO uzavíralo smlouvy k plnění veřejných zakázek v některých případech s prostředníky</w:t>
      </w:r>
      <w:r w:rsidR="006929B1" w:rsidRPr="006929B1">
        <w:rPr>
          <w:rStyle w:val="Znakapoznpodarou"/>
          <w:rFonts w:cs="Arial"/>
          <w:sz w:val="22"/>
          <w:szCs w:val="22"/>
        </w:rPr>
        <w:footnoteReference w:id="29"/>
      </w:r>
      <w:r w:rsidR="00F9722A">
        <w:rPr>
          <w:rFonts w:cs="Arial"/>
          <w:sz w:val="22"/>
          <w:szCs w:val="22"/>
        </w:rPr>
        <w:t>,</w:t>
      </w:r>
      <w:r w:rsidR="00300B6C" w:rsidRPr="006929B1">
        <w:rPr>
          <w:rFonts w:cs="Arial"/>
          <w:sz w:val="22"/>
          <w:szCs w:val="22"/>
        </w:rPr>
        <w:t xml:space="preserve"> a nikoli přímo se zahraničními (sub)dodavateli, kteří měli offsetový závazek nést, jak ostatně vyplývá z </w:t>
      </w:r>
      <w:r w:rsidR="00300B6C" w:rsidRPr="00A77368">
        <w:rPr>
          <w:rFonts w:cs="Arial"/>
          <w:sz w:val="22"/>
          <w:szCs w:val="22"/>
        </w:rPr>
        <w:t>přílohy č. 3.</w:t>
      </w:r>
      <w:r w:rsidR="00834B71" w:rsidRPr="00A77368">
        <w:rPr>
          <w:rFonts w:cs="Arial"/>
          <w:sz w:val="22"/>
          <w:szCs w:val="22"/>
        </w:rPr>
        <w:t xml:space="preserve"> </w:t>
      </w:r>
    </w:p>
    <w:p w14:paraId="011EC3DB" w14:textId="77777777" w:rsidR="005F0E6A" w:rsidRDefault="005F0E6A" w:rsidP="00D241B1">
      <w:pPr>
        <w:autoSpaceDE w:val="0"/>
        <w:autoSpaceDN w:val="0"/>
        <w:adjustRightInd w:val="0"/>
        <w:jc w:val="both"/>
        <w:rPr>
          <w:rFonts w:cs="Arial"/>
          <w:bCs/>
          <w:sz w:val="22"/>
          <w:szCs w:val="22"/>
        </w:rPr>
      </w:pPr>
    </w:p>
    <w:p w14:paraId="3F25AB9E" w14:textId="6E254C95" w:rsidR="00313A3E" w:rsidRDefault="00971D22" w:rsidP="00D241B1">
      <w:pPr>
        <w:autoSpaceDE w:val="0"/>
        <w:autoSpaceDN w:val="0"/>
        <w:adjustRightInd w:val="0"/>
        <w:jc w:val="both"/>
        <w:rPr>
          <w:rFonts w:cs="Arial"/>
          <w:bCs/>
          <w:sz w:val="22"/>
          <w:szCs w:val="22"/>
        </w:rPr>
      </w:pPr>
      <w:r w:rsidRPr="00971D22">
        <w:rPr>
          <w:rFonts w:cs="Arial"/>
          <w:bCs/>
          <w:sz w:val="22"/>
          <w:szCs w:val="22"/>
        </w:rPr>
        <w:t>P</w:t>
      </w:r>
      <w:r w:rsidR="00313A3E" w:rsidRPr="00971D22">
        <w:rPr>
          <w:rFonts w:cs="Arial"/>
          <w:bCs/>
          <w:sz w:val="22"/>
          <w:szCs w:val="22"/>
        </w:rPr>
        <w:t xml:space="preserve">ředkladatelé návrhů OFT byli </w:t>
      </w:r>
      <w:r w:rsidRPr="00971D22">
        <w:rPr>
          <w:rFonts w:cs="Arial"/>
          <w:bCs/>
          <w:sz w:val="22"/>
          <w:szCs w:val="22"/>
        </w:rPr>
        <w:t xml:space="preserve">limitováni </w:t>
      </w:r>
      <w:r w:rsidR="00313A3E" w:rsidRPr="00971D22">
        <w:rPr>
          <w:rFonts w:cs="Arial"/>
          <w:bCs/>
          <w:sz w:val="22"/>
          <w:szCs w:val="22"/>
        </w:rPr>
        <w:t>pouze</w:t>
      </w:r>
      <w:r w:rsidRPr="00971D22">
        <w:rPr>
          <w:rFonts w:cs="Arial"/>
          <w:bCs/>
          <w:sz w:val="22"/>
          <w:szCs w:val="22"/>
        </w:rPr>
        <w:t xml:space="preserve"> podmínkami</w:t>
      </w:r>
      <w:r w:rsidR="00313A3E" w:rsidRPr="00971D22">
        <w:rPr>
          <w:rFonts w:cs="Arial"/>
          <w:bCs/>
          <w:sz w:val="22"/>
          <w:szCs w:val="22"/>
        </w:rPr>
        <w:t xml:space="preserve"> příslušn</w:t>
      </w:r>
      <w:r w:rsidRPr="00971D22">
        <w:rPr>
          <w:rFonts w:cs="Arial"/>
          <w:bCs/>
          <w:sz w:val="22"/>
          <w:szCs w:val="22"/>
        </w:rPr>
        <w:t>é</w:t>
      </w:r>
      <w:r w:rsidR="00313A3E" w:rsidRPr="00971D22">
        <w:rPr>
          <w:rFonts w:cs="Arial"/>
          <w:bCs/>
          <w:sz w:val="22"/>
          <w:szCs w:val="22"/>
        </w:rPr>
        <w:t xml:space="preserve"> smlouv</w:t>
      </w:r>
      <w:r w:rsidRPr="00971D22">
        <w:rPr>
          <w:rFonts w:cs="Arial"/>
          <w:bCs/>
          <w:sz w:val="22"/>
          <w:szCs w:val="22"/>
        </w:rPr>
        <w:t>y</w:t>
      </w:r>
      <w:r w:rsidR="00313A3E" w:rsidRPr="00971D22">
        <w:rPr>
          <w:rFonts w:cs="Arial"/>
          <w:bCs/>
          <w:sz w:val="22"/>
          <w:szCs w:val="22"/>
        </w:rPr>
        <w:t xml:space="preserve"> (zpravidla offsetová dohoda)</w:t>
      </w:r>
      <w:r w:rsidR="00F9722A">
        <w:rPr>
          <w:rFonts w:cs="Arial"/>
          <w:bCs/>
          <w:sz w:val="22"/>
          <w:szCs w:val="22"/>
        </w:rPr>
        <w:t>,</w:t>
      </w:r>
      <w:r w:rsidR="00313A3E" w:rsidRPr="00971D22">
        <w:rPr>
          <w:rFonts w:cs="Arial"/>
          <w:bCs/>
          <w:sz w:val="22"/>
          <w:szCs w:val="22"/>
        </w:rPr>
        <w:t xml:space="preserve"> pokud v</w:t>
      </w:r>
      <w:r w:rsidR="00274340">
        <w:rPr>
          <w:rFonts w:cs="Arial"/>
          <w:bCs/>
          <w:sz w:val="22"/>
          <w:szCs w:val="22"/>
        </w:rPr>
        <w:t>e svém návrhu</w:t>
      </w:r>
      <w:r w:rsidR="00313A3E" w:rsidRPr="00971D22">
        <w:rPr>
          <w:rFonts w:cs="Arial"/>
          <w:bCs/>
          <w:sz w:val="22"/>
          <w:szCs w:val="22"/>
        </w:rPr>
        <w:t xml:space="preserve"> informovali o záměru zařazení do konkrétního PPS. Uplatňování dodatečných požadavků na předkladatele návrhů OFT nad rámec těchto smluv ze strany OFK bylo právně nevynutitelné. </w:t>
      </w:r>
      <w:r w:rsidRPr="003D0AF1">
        <w:rPr>
          <w:rFonts w:cs="Arial"/>
          <w:bCs/>
          <w:sz w:val="22"/>
          <w:szCs w:val="22"/>
        </w:rPr>
        <w:t xml:space="preserve">Pokud MPO chtělo </w:t>
      </w:r>
      <w:r w:rsidR="00313A3E" w:rsidRPr="003D0AF1">
        <w:rPr>
          <w:rFonts w:cs="Arial"/>
          <w:bCs/>
          <w:sz w:val="22"/>
          <w:szCs w:val="22"/>
        </w:rPr>
        <w:t>motivova</w:t>
      </w:r>
      <w:r w:rsidRPr="003D0AF1">
        <w:rPr>
          <w:rFonts w:cs="Arial"/>
          <w:bCs/>
          <w:sz w:val="22"/>
          <w:szCs w:val="22"/>
        </w:rPr>
        <w:t>t</w:t>
      </w:r>
      <w:r w:rsidR="00313A3E" w:rsidRPr="003D0AF1">
        <w:rPr>
          <w:rFonts w:cs="Arial"/>
          <w:bCs/>
          <w:sz w:val="22"/>
          <w:szCs w:val="22"/>
        </w:rPr>
        <w:t xml:space="preserve"> předkladatele offsetových transakcí (uchazeče) </w:t>
      </w:r>
      <w:r w:rsidR="001A2EDA" w:rsidRPr="003D0AF1">
        <w:rPr>
          <w:rFonts w:cs="Arial"/>
          <w:bCs/>
          <w:sz w:val="22"/>
          <w:szCs w:val="22"/>
        </w:rPr>
        <w:t xml:space="preserve">k podávání </w:t>
      </w:r>
      <w:r w:rsidR="00313A3E" w:rsidRPr="003D0AF1">
        <w:rPr>
          <w:rFonts w:cs="Arial"/>
          <w:bCs/>
          <w:sz w:val="22"/>
          <w:szCs w:val="22"/>
        </w:rPr>
        <w:t>návrh</w:t>
      </w:r>
      <w:r w:rsidR="001A2EDA" w:rsidRPr="003D0AF1">
        <w:rPr>
          <w:rFonts w:cs="Arial"/>
          <w:bCs/>
          <w:sz w:val="22"/>
          <w:szCs w:val="22"/>
        </w:rPr>
        <w:t>ů</w:t>
      </w:r>
      <w:r w:rsidR="00313A3E" w:rsidRPr="003D0AF1">
        <w:rPr>
          <w:rFonts w:cs="Arial"/>
          <w:bCs/>
          <w:sz w:val="22"/>
          <w:szCs w:val="22"/>
        </w:rPr>
        <w:t xml:space="preserve"> OFT s vysokým přínosem pro Č</w:t>
      </w:r>
      <w:r w:rsidR="0032659B" w:rsidRPr="003D0AF1">
        <w:rPr>
          <w:rFonts w:cs="Arial"/>
          <w:bCs/>
          <w:sz w:val="22"/>
          <w:szCs w:val="22"/>
        </w:rPr>
        <w:t>R</w:t>
      </w:r>
      <w:r w:rsidR="00313A3E" w:rsidRPr="003D0AF1">
        <w:rPr>
          <w:rFonts w:cs="Arial"/>
          <w:bCs/>
          <w:sz w:val="22"/>
          <w:szCs w:val="22"/>
        </w:rPr>
        <w:t>, resp. české partnery</w:t>
      </w:r>
      <w:r w:rsidR="001A2EDA" w:rsidRPr="003D0AF1">
        <w:rPr>
          <w:rFonts w:cs="Arial"/>
          <w:bCs/>
          <w:sz w:val="22"/>
          <w:szCs w:val="22"/>
        </w:rPr>
        <w:t>,</w:t>
      </w:r>
      <w:r w:rsidRPr="003D0AF1">
        <w:rPr>
          <w:rFonts w:cs="Arial"/>
          <w:bCs/>
          <w:sz w:val="22"/>
          <w:szCs w:val="22"/>
        </w:rPr>
        <w:t xml:space="preserve"> </w:t>
      </w:r>
      <w:r w:rsidR="001A2EDA" w:rsidRPr="003D0AF1">
        <w:rPr>
          <w:rFonts w:cs="Arial"/>
          <w:bCs/>
          <w:sz w:val="22"/>
          <w:szCs w:val="22"/>
        </w:rPr>
        <w:t>bylo j</w:t>
      </w:r>
      <w:r w:rsidRPr="003D0AF1">
        <w:rPr>
          <w:rFonts w:cs="Arial"/>
          <w:bCs/>
          <w:sz w:val="22"/>
          <w:szCs w:val="22"/>
        </w:rPr>
        <w:t xml:space="preserve">edinou možností </w:t>
      </w:r>
      <w:r w:rsidR="00274340">
        <w:rPr>
          <w:rFonts w:cs="Arial"/>
          <w:bCs/>
          <w:sz w:val="22"/>
          <w:szCs w:val="22"/>
        </w:rPr>
        <w:t>vhodné</w:t>
      </w:r>
      <w:r w:rsidR="00274340" w:rsidRPr="003D0AF1">
        <w:rPr>
          <w:rFonts w:cs="Arial"/>
          <w:bCs/>
          <w:sz w:val="22"/>
          <w:szCs w:val="22"/>
        </w:rPr>
        <w:t xml:space="preserve"> </w:t>
      </w:r>
      <w:r w:rsidRPr="003D0AF1">
        <w:rPr>
          <w:rFonts w:cs="Arial"/>
          <w:bCs/>
          <w:sz w:val="22"/>
          <w:szCs w:val="22"/>
        </w:rPr>
        <w:t>nastavení systému stimul</w:t>
      </w:r>
      <w:r w:rsidR="0032659B" w:rsidRPr="003D0AF1">
        <w:rPr>
          <w:rFonts w:cs="Arial"/>
          <w:bCs/>
          <w:sz w:val="22"/>
          <w:szCs w:val="22"/>
        </w:rPr>
        <w:t>ů</w:t>
      </w:r>
      <w:r w:rsidR="003D0AF1" w:rsidRPr="003D0AF1">
        <w:rPr>
          <w:rFonts w:cs="Arial"/>
          <w:bCs/>
          <w:sz w:val="22"/>
          <w:szCs w:val="22"/>
        </w:rPr>
        <w:t xml:space="preserve"> (koeficientů).</w:t>
      </w:r>
      <w:r w:rsidRPr="003D0AF1">
        <w:rPr>
          <w:rFonts w:cs="Arial"/>
          <w:bCs/>
          <w:sz w:val="22"/>
          <w:szCs w:val="22"/>
        </w:rPr>
        <w:t xml:space="preserve"> </w:t>
      </w:r>
      <w:r w:rsidR="00313A3E" w:rsidRPr="003D0AF1">
        <w:rPr>
          <w:rFonts w:cs="Arial"/>
          <w:bCs/>
          <w:sz w:val="22"/>
          <w:szCs w:val="22"/>
        </w:rPr>
        <w:t xml:space="preserve">Žádný efektivní způsob </w:t>
      </w:r>
      <w:r w:rsidR="0032659B" w:rsidRPr="003D0AF1">
        <w:rPr>
          <w:rFonts w:cs="Arial"/>
          <w:bCs/>
          <w:sz w:val="22"/>
          <w:szCs w:val="22"/>
        </w:rPr>
        <w:t xml:space="preserve">použití stimulů </w:t>
      </w:r>
      <w:r w:rsidR="00274340">
        <w:rPr>
          <w:rFonts w:cs="Arial"/>
          <w:bCs/>
          <w:sz w:val="22"/>
          <w:szCs w:val="22"/>
        </w:rPr>
        <w:t xml:space="preserve">však </w:t>
      </w:r>
      <w:r w:rsidR="00313A3E" w:rsidRPr="003D0AF1">
        <w:rPr>
          <w:rFonts w:cs="Arial"/>
          <w:bCs/>
          <w:sz w:val="22"/>
          <w:szCs w:val="22"/>
        </w:rPr>
        <w:t>MPO nevytvořilo a</w:t>
      </w:r>
      <w:r w:rsidR="00274340">
        <w:rPr>
          <w:rFonts w:cs="Arial"/>
          <w:bCs/>
          <w:sz w:val="22"/>
          <w:szCs w:val="22"/>
        </w:rPr>
        <w:t>ni</w:t>
      </w:r>
      <w:r w:rsidR="00313A3E" w:rsidRPr="003D0AF1">
        <w:rPr>
          <w:rFonts w:cs="Arial"/>
          <w:bCs/>
          <w:sz w:val="22"/>
          <w:szCs w:val="22"/>
        </w:rPr>
        <w:t xml:space="preserve"> systematicky neuplatňovalo.</w:t>
      </w:r>
    </w:p>
    <w:p w14:paraId="144C5465" w14:textId="77777777" w:rsidR="005F0E6A" w:rsidRDefault="005F0E6A" w:rsidP="00D241B1">
      <w:pPr>
        <w:jc w:val="both"/>
        <w:rPr>
          <w:b/>
          <w:sz w:val="22"/>
          <w:szCs w:val="22"/>
        </w:rPr>
      </w:pPr>
    </w:p>
    <w:p w14:paraId="3F25AB9F" w14:textId="760139B2" w:rsidR="00E516D6" w:rsidRPr="00E516D6" w:rsidRDefault="00E516D6" w:rsidP="00D241B1">
      <w:pPr>
        <w:jc w:val="both"/>
        <w:rPr>
          <w:rFonts w:cs="Arial"/>
          <w:b/>
          <w:sz w:val="22"/>
          <w:szCs w:val="22"/>
        </w:rPr>
      </w:pPr>
      <w:r w:rsidRPr="003D0AF1">
        <w:rPr>
          <w:b/>
          <w:sz w:val="22"/>
          <w:szCs w:val="22"/>
        </w:rPr>
        <w:t xml:space="preserve">Podle MPO </w:t>
      </w:r>
      <w:r w:rsidR="00274340" w:rsidRPr="003D0AF1">
        <w:rPr>
          <w:b/>
          <w:sz w:val="22"/>
          <w:szCs w:val="22"/>
        </w:rPr>
        <w:t xml:space="preserve">nebyly </w:t>
      </w:r>
      <w:r w:rsidRPr="003D0AF1">
        <w:rPr>
          <w:b/>
          <w:sz w:val="22"/>
          <w:szCs w:val="22"/>
        </w:rPr>
        <w:t>koeficienty v praxi nikdy použity, a to zejména z důvod</w:t>
      </w:r>
      <w:r w:rsidR="00274340">
        <w:rPr>
          <w:b/>
          <w:sz w:val="22"/>
          <w:szCs w:val="22"/>
        </w:rPr>
        <w:t>u</w:t>
      </w:r>
      <w:r w:rsidRPr="003D0AF1">
        <w:rPr>
          <w:b/>
          <w:sz w:val="22"/>
          <w:szCs w:val="22"/>
        </w:rPr>
        <w:t xml:space="preserve"> zásadního snížení skutečných ekonomických přínosů realizovaných OFT, nemožnost</w:t>
      </w:r>
      <w:r w:rsidR="00274340">
        <w:rPr>
          <w:b/>
          <w:sz w:val="22"/>
          <w:szCs w:val="22"/>
        </w:rPr>
        <w:t>i</w:t>
      </w:r>
      <w:r w:rsidRPr="003D0AF1">
        <w:rPr>
          <w:b/>
          <w:sz w:val="22"/>
          <w:szCs w:val="22"/>
        </w:rPr>
        <w:t xml:space="preserve"> zaji</w:t>
      </w:r>
      <w:r w:rsidR="00274340">
        <w:rPr>
          <w:b/>
          <w:sz w:val="22"/>
          <w:szCs w:val="22"/>
        </w:rPr>
        <w:t>stit</w:t>
      </w:r>
      <w:r w:rsidRPr="003D0AF1">
        <w:rPr>
          <w:b/>
          <w:sz w:val="22"/>
          <w:szCs w:val="22"/>
        </w:rPr>
        <w:t xml:space="preserve"> jejich objektivní stanovení a zejména </w:t>
      </w:r>
      <w:r w:rsidR="00274340">
        <w:rPr>
          <w:b/>
          <w:sz w:val="22"/>
          <w:szCs w:val="22"/>
        </w:rPr>
        <w:t xml:space="preserve">z důvodu </w:t>
      </w:r>
      <w:r w:rsidRPr="003D0AF1">
        <w:rPr>
          <w:b/>
          <w:sz w:val="22"/>
          <w:szCs w:val="22"/>
        </w:rPr>
        <w:t>dlouhodobost</w:t>
      </w:r>
      <w:r w:rsidR="00274340">
        <w:rPr>
          <w:b/>
          <w:sz w:val="22"/>
          <w:szCs w:val="22"/>
        </w:rPr>
        <w:t>i</w:t>
      </w:r>
      <w:r w:rsidRPr="003D0AF1">
        <w:rPr>
          <w:b/>
          <w:sz w:val="22"/>
          <w:szCs w:val="22"/>
        </w:rPr>
        <w:t xml:space="preserve"> většiny offsetových transakcí a významného rizika netransparentnosti při rozhodování o jejich aplikaci. </w:t>
      </w:r>
    </w:p>
    <w:p w14:paraId="4F4E6422" w14:textId="77777777" w:rsidR="005F0E6A" w:rsidRDefault="005F0E6A" w:rsidP="00D241B1">
      <w:pPr>
        <w:autoSpaceDE w:val="0"/>
        <w:autoSpaceDN w:val="0"/>
        <w:adjustRightInd w:val="0"/>
        <w:jc w:val="both"/>
        <w:rPr>
          <w:rFonts w:cs="Arial"/>
          <w:bCs/>
          <w:sz w:val="22"/>
          <w:szCs w:val="22"/>
        </w:rPr>
      </w:pPr>
    </w:p>
    <w:p w14:paraId="3F25ABA0" w14:textId="3B04627B" w:rsidR="00C908A6" w:rsidRDefault="00C908A6" w:rsidP="00D241B1">
      <w:pPr>
        <w:autoSpaceDE w:val="0"/>
        <w:autoSpaceDN w:val="0"/>
        <w:adjustRightInd w:val="0"/>
        <w:jc w:val="both"/>
        <w:rPr>
          <w:b/>
          <w:sz w:val="22"/>
          <w:szCs w:val="22"/>
        </w:rPr>
      </w:pPr>
      <w:r w:rsidRPr="00EA19DB">
        <w:rPr>
          <w:rFonts w:cs="Arial"/>
          <w:bCs/>
          <w:sz w:val="22"/>
          <w:szCs w:val="22"/>
        </w:rPr>
        <w:t>U řady návrhů OFT předkládaných OFK nebylo průkazným způsobem vysvětleno, zda a</w:t>
      </w:r>
      <w:r w:rsidR="0001442A">
        <w:rPr>
          <w:rFonts w:cs="Arial"/>
          <w:bCs/>
          <w:sz w:val="22"/>
          <w:szCs w:val="22"/>
        </w:rPr>
        <w:t> </w:t>
      </w:r>
      <w:r w:rsidRPr="00EA19DB">
        <w:rPr>
          <w:rFonts w:cs="Arial"/>
          <w:bCs/>
          <w:sz w:val="22"/>
          <w:szCs w:val="22"/>
        </w:rPr>
        <w:t xml:space="preserve">jakým způsobem předkladatel návrhu OFT přispěl k alokaci projektu do ČR a v čem spočívá jeho novost. OFK podmínku kauzality zkoumala pouze v některých případech. NKÚ například </w:t>
      </w:r>
      <w:r w:rsidR="00634820" w:rsidRPr="00EA19DB">
        <w:rPr>
          <w:rFonts w:cs="Arial"/>
          <w:bCs/>
          <w:sz w:val="22"/>
          <w:szCs w:val="22"/>
        </w:rPr>
        <w:t xml:space="preserve">u PPS GRIPEN </w:t>
      </w:r>
      <w:r w:rsidRPr="00EA19DB">
        <w:rPr>
          <w:rFonts w:cs="Arial"/>
          <w:bCs/>
          <w:sz w:val="22"/>
          <w:szCs w:val="22"/>
        </w:rPr>
        <w:t>zjistil, že</w:t>
      </w:r>
      <w:r w:rsidR="00634820" w:rsidRPr="00EA19DB">
        <w:rPr>
          <w:rFonts w:cs="Arial"/>
          <w:bCs/>
          <w:sz w:val="22"/>
          <w:szCs w:val="22"/>
        </w:rPr>
        <w:t xml:space="preserve"> OFK schvál</w:t>
      </w:r>
      <w:r w:rsidR="00274340">
        <w:rPr>
          <w:rFonts w:cs="Arial"/>
          <w:bCs/>
          <w:sz w:val="22"/>
          <w:szCs w:val="22"/>
        </w:rPr>
        <w:t>ila</w:t>
      </w:r>
      <w:r w:rsidR="00634820" w:rsidRPr="00EA19DB">
        <w:rPr>
          <w:rFonts w:cs="Arial"/>
          <w:bCs/>
          <w:sz w:val="22"/>
          <w:szCs w:val="22"/>
        </w:rPr>
        <w:t xml:space="preserve"> projekt </w:t>
      </w:r>
      <w:r w:rsidR="003E75B5">
        <w:rPr>
          <w:rFonts w:cs="Arial"/>
          <w:bCs/>
          <w:sz w:val="22"/>
          <w:szCs w:val="22"/>
        </w:rPr>
        <w:t xml:space="preserve">spadající </w:t>
      </w:r>
      <w:r w:rsidR="00634820" w:rsidRPr="00EA19DB">
        <w:rPr>
          <w:rFonts w:cs="Arial"/>
          <w:bCs/>
          <w:sz w:val="22"/>
          <w:szCs w:val="22"/>
        </w:rPr>
        <w:t>pod OF/205 (výroba a</w:t>
      </w:r>
      <w:r w:rsidR="00545943">
        <w:rPr>
          <w:rFonts w:cs="Arial"/>
          <w:bCs/>
          <w:sz w:val="22"/>
          <w:szCs w:val="22"/>
        </w:rPr>
        <w:t> </w:t>
      </w:r>
      <w:r w:rsidR="00634820" w:rsidRPr="00EA19DB">
        <w:rPr>
          <w:rFonts w:cs="Arial"/>
          <w:bCs/>
          <w:sz w:val="22"/>
          <w:szCs w:val="22"/>
        </w:rPr>
        <w:t>export leteckých součástí a dílů), na který byla současně čerpána investiční pobídka</w:t>
      </w:r>
      <w:r w:rsidR="00274340">
        <w:rPr>
          <w:rFonts w:cs="Arial"/>
          <w:bCs/>
          <w:sz w:val="22"/>
          <w:szCs w:val="22"/>
        </w:rPr>
        <w:t>,</w:t>
      </w:r>
      <w:r w:rsidR="00634820" w:rsidRPr="00EA19DB">
        <w:rPr>
          <w:rFonts w:cs="Arial"/>
          <w:bCs/>
          <w:sz w:val="22"/>
          <w:szCs w:val="22"/>
        </w:rPr>
        <w:t xml:space="preserve"> a </w:t>
      </w:r>
      <w:r w:rsidR="00EA19DB">
        <w:rPr>
          <w:rFonts w:cs="Arial"/>
          <w:bCs/>
          <w:sz w:val="22"/>
          <w:szCs w:val="22"/>
        </w:rPr>
        <w:t xml:space="preserve">MO se souhlasem MPO </w:t>
      </w:r>
      <w:r w:rsidR="00634820" w:rsidRPr="00EA19DB">
        <w:rPr>
          <w:rFonts w:cs="Arial"/>
          <w:bCs/>
          <w:sz w:val="22"/>
          <w:szCs w:val="22"/>
        </w:rPr>
        <w:t>celou výslednou produkci započíta</w:t>
      </w:r>
      <w:r w:rsidR="00EA19DB">
        <w:rPr>
          <w:rFonts w:cs="Arial"/>
          <w:bCs/>
          <w:sz w:val="22"/>
          <w:szCs w:val="22"/>
        </w:rPr>
        <w:t>lo</w:t>
      </w:r>
      <w:r w:rsidR="00634820" w:rsidRPr="00EA19DB">
        <w:rPr>
          <w:rFonts w:cs="Arial"/>
          <w:bCs/>
          <w:sz w:val="22"/>
          <w:szCs w:val="22"/>
        </w:rPr>
        <w:t xml:space="preserve"> do plnění této OFT</w:t>
      </w:r>
      <w:r w:rsidR="00274340">
        <w:rPr>
          <w:rFonts w:cs="Arial"/>
          <w:bCs/>
          <w:sz w:val="22"/>
          <w:szCs w:val="22"/>
        </w:rPr>
        <w:t>, a tedy i</w:t>
      </w:r>
      <w:r w:rsidR="00634820" w:rsidRPr="00EA19DB">
        <w:rPr>
          <w:rFonts w:cs="Arial"/>
          <w:bCs/>
          <w:sz w:val="22"/>
          <w:szCs w:val="22"/>
        </w:rPr>
        <w:t xml:space="preserve"> ve prospěch PPS GRIPEN. Obdobn</w:t>
      </w:r>
      <w:r w:rsidR="0044188F">
        <w:rPr>
          <w:rFonts w:cs="Arial"/>
          <w:bCs/>
          <w:sz w:val="22"/>
          <w:szCs w:val="22"/>
        </w:rPr>
        <w:t>á</w:t>
      </w:r>
      <w:r w:rsidR="00634820" w:rsidRPr="00EA19DB">
        <w:rPr>
          <w:rFonts w:cs="Arial"/>
          <w:bCs/>
          <w:sz w:val="22"/>
          <w:szCs w:val="22"/>
        </w:rPr>
        <w:t xml:space="preserve"> </w:t>
      </w:r>
      <w:r w:rsidR="0044188F">
        <w:rPr>
          <w:rFonts w:cs="Arial"/>
          <w:bCs/>
          <w:sz w:val="22"/>
          <w:szCs w:val="22"/>
        </w:rPr>
        <w:t xml:space="preserve">situace </w:t>
      </w:r>
      <w:r w:rsidR="00634820" w:rsidRPr="00EA19DB">
        <w:rPr>
          <w:rFonts w:cs="Arial"/>
          <w:bCs/>
          <w:sz w:val="22"/>
          <w:szCs w:val="22"/>
        </w:rPr>
        <w:t>byl</w:t>
      </w:r>
      <w:r w:rsidR="0044188F">
        <w:rPr>
          <w:rFonts w:cs="Arial"/>
          <w:bCs/>
          <w:sz w:val="22"/>
          <w:szCs w:val="22"/>
        </w:rPr>
        <w:t>a</w:t>
      </w:r>
      <w:r w:rsidR="00634820" w:rsidRPr="00EA19DB">
        <w:rPr>
          <w:rFonts w:cs="Arial"/>
          <w:bCs/>
          <w:sz w:val="22"/>
          <w:szCs w:val="22"/>
        </w:rPr>
        <w:t xml:space="preserve"> zjištěn</w:t>
      </w:r>
      <w:r w:rsidR="0044188F">
        <w:rPr>
          <w:rFonts w:cs="Arial"/>
          <w:bCs/>
          <w:sz w:val="22"/>
          <w:szCs w:val="22"/>
        </w:rPr>
        <w:t>a</w:t>
      </w:r>
      <w:r w:rsidR="00634820" w:rsidRPr="00EA19DB">
        <w:rPr>
          <w:rFonts w:cs="Arial"/>
          <w:bCs/>
          <w:sz w:val="22"/>
          <w:szCs w:val="22"/>
        </w:rPr>
        <w:t xml:space="preserve"> </w:t>
      </w:r>
      <w:r w:rsidR="00274340">
        <w:rPr>
          <w:rFonts w:cs="Arial"/>
          <w:bCs/>
          <w:sz w:val="22"/>
          <w:szCs w:val="22"/>
        </w:rPr>
        <w:t>také</w:t>
      </w:r>
      <w:r w:rsidR="00634820" w:rsidRPr="00EA19DB">
        <w:rPr>
          <w:rFonts w:cs="Arial"/>
          <w:bCs/>
          <w:sz w:val="22"/>
          <w:szCs w:val="22"/>
        </w:rPr>
        <w:t xml:space="preserve"> u PPS RBS-70, kde předmětem investiční pobídky byla strojní investice, která se týkala i produkce zdravotnického materiálu</w:t>
      </w:r>
      <w:r w:rsidR="001A6916" w:rsidRPr="00EA19DB">
        <w:rPr>
          <w:rFonts w:cs="Arial"/>
          <w:bCs/>
          <w:sz w:val="22"/>
          <w:szCs w:val="22"/>
        </w:rPr>
        <w:t xml:space="preserve"> pod OF/195.</w:t>
      </w:r>
      <w:r w:rsidR="00AA31CC">
        <w:rPr>
          <w:rFonts w:cs="Arial"/>
          <w:bCs/>
          <w:sz w:val="22"/>
          <w:szCs w:val="22"/>
        </w:rPr>
        <w:t xml:space="preserve"> </w:t>
      </w:r>
      <w:r w:rsidR="00034362" w:rsidRPr="00034362">
        <w:rPr>
          <w:rFonts w:cs="Arial"/>
          <w:bCs/>
          <w:sz w:val="22"/>
          <w:szCs w:val="22"/>
        </w:rPr>
        <w:t>B</w:t>
      </w:r>
      <w:r w:rsidR="00AA31CC" w:rsidRPr="00034362">
        <w:rPr>
          <w:rFonts w:cs="Arial"/>
          <w:bCs/>
          <w:sz w:val="22"/>
          <w:szCs w:val="22"/>
        </w:rPr>
        <w:t>ližší údaje z dokladů MPO k těmto OFT nebylo možné zjistit.</w:t>
      </w:r>
      <w:r w:rsidR="0001442A">
        <w:rPr>
          <w:rFonts w:cs="Arial"/>
          <w:bCs/>
          <w:sz w:val="22"/>
          <w:szCs w:val="22"/>
        </w:rPr>
        <w:t xml:space="preserve"> </w:t>
      </w:r>
      <w:r w:rsidR="00870FC6" w:rsidRPr="0044188F">
        <w:rPr>
          <w:rFonts w:cs="Arial"/>
          <w:b/>
          <w:bCs/>
          <w:sz w:val="22"/>
          <w:szCs w:val="22"/>
        </w:rPr>
        <w:t>V těchto případech se nejedná o</w:t>
      </w:r>
      <w:r w:rsidR="0001442A">
        <w:rPr>
          <w:rFonts w:cs="Arial"/>
          <w:b/>
          <w:bCs/>
          <w:sz w:val="22"/>
          <w:szCs w:val="22"/>
        </w:rPr>
        <w:t> </w:t>
      </w:r>
      <w:r w:rsidR="00870FC6" w:rsidRPr="0044188F">
        <w:rPr>
          <w:rFonts w:cs="Arial"/>
          <w:b/>
          <w:bCs/>
          <w:sz w:val="22"/>
          <w:szCs w:val="22"/>
        </w:rPr>
        <w:t>účelné dosahování cílů a přínosů offsetů, neboť</w:t>
      </w:r>
      <w:r w:rsidR="00480906" w:rsidRPr="0044188F">
        <w:rPr>
          <w:rFonts w:cs="Arial"/>
          <w:b/>
          <w:bCs/>
          <w:sz w:val="22"/>
          <w:szCs w:val="22"/>
        </w:rPr>
        <w:t xml:space="preserve"> část OFT</w:t>
      </w:r>
      <w:r w:rsidR="00480906" w:rsidRPr="0044188F">
        <w:rPr>
          <w:b/>
          <w:sz w:val="22"/>
          <w:szCs w:val="22"/>
        </w:rPr>
        <w:t xml:space="preserve"> vytváří efekt mrtvé váhy</w:t>
      </w:r>
      <w:r w:rsidR="00616B11" w:rsidRPr="0044188F">
        <w:rPr>
          <w:rStyle w:val="Znakapoznpodarou"/>
          <w:rFonts w:cs="Arial"/>
          <w:b/>
          <w:bCs/>
          <w:sz w:val="22"/>
          <w:szCs w:val="22"/>
        </w:rPr>
        <w:footnoteReference w:id="30"/>
      </w:r>
      <w:r w:rsidR="003E75B5">
        <w:rPr>
          <w:b/>
          <w:sz w:val="22"/>
          <w:szCs w:val="22"/>
        </w:rPr>
        <w:t>, v důsledku čehož</w:t>
      </w:r>
      <w:r w:rsidR="00870FC6" w:rsidRPr="0044188F">
        <w:rPr>
          <w:b/>
          <w:sz w:val="22"/>
          <w:szCs w:val="22"/>
        </w:rPr>
        <w:t xml:space="preserve"> </w:t>
      </w:r>
      <w:r w:rsidR="00480906" w:rsidRPr="0044188F">
        <w:rPr>
          <w:b/>
          <w:sz w:val="22"/>
          <w:szCs w:val="22"/>
        </w:rPr>
        <w:t>nelze</w:t>
      </w:r>
      <w:r w:rsidR="00870FC6" w:rsidRPr="0044188F">
        <w:rPr>
          <w:b/>
          <w:sz w:val="22"/>
          <w:szCs w:val="22"/>
        </w:rPr>
        <w:t xml:space="preserve"> </w:t>
      </w:r>
      <w:r w:rsidR="003E75B5">
        <w:rPr>
          <w:b/>
          <w:sz w:val="22"/>
          <w:szCs w:val="22"/>
        </w:rPr>
        <w:t xml:space="preserve">tyto cíle a přínosy </w:t>
      </w:r>
      <w:r w:rsidR="00870FC6" w:rsidRPr="0044188F">
        <w:rPr>
          <w:b/>
          <w:sz w:val="22"/>
          <w:szCs w:val="22"/>
        </w:rPr>
        <w:t xml:space="preserve">jednoznačně </w:t>
      </w:r>
      <w:r w:rsidR="00480906" w:rsidRPr="0044188F">
        <w:rPr>
          <w:b/>
          <w:sz w:val="22"/>
          <w:szCs w:val="22"/>
        </w:rPr>
        <w:t>přičíst k důsledkům PPS, resp. důvodům investice na základě existence offsetového závazku.</w:t>
      </w:r>
      <w:r w:rsidR="002F3D5D" w:rsidRPr="0044188F">
        <w:rPr>
          <w:b/>
          <w:sz w:val="22"/>
          <w:szCs w:val="22"/>
        </w:rPr>
        <w:t xml:space="preserve"> Mechanismus měření hodnoty OFT, který stanovil postup pro tyto případy, upravilo MPO až v Pravidlech 2010</w:t>
      </w:r>
      <w:r w:rsidR="004B168E">
        <w:rPr>
          <w:b/>
          <w:sz w:val="22"/>
          <w:szCs w:val="22"/>
        </w:rPr>
        <w:t>,</w:t>
      </w:r>
      <w:r w:rsidR="00C85FA7">
        <w:rPr>
          <w:b/>
          <w:sz w:val="22"/>
          <w:szCs w:val="22"/>
        </w:rPr>
        <w:t xml:space="preserve"> a to </w:t>
      </w:r>
      <w:r w:rsidR="004B168E">
        <w:rPr>
          <w:b/>
          <w:sz w:val="22"/>
          <w:szCs w:val="22"/>
        </w:rPr>
        <w:t>tím způsobem</w:t>
      </w:r>
      <w:r w:rsidR="00C85FA7">
        <w:rPr>
          <w:b/>
          <w:sz w:val="22"/>
          <w:szCs w:val="22"/>
        </w:rPr>
        <w:t xml:space="preserve">, že umožnilo </w:t>
      </w:r>
      <w:r w:rsidR="002F3D5D" w:rsidRPr="0044188F">
        <w:rPr>
          <w:b/>
          <w:sz w:val="22"/>
          <w:szCs w:val="22"/>
        </w:rPr>
        <w:t>započítat výslednou produkci</w:t>
      </w:r>
      <w:r w:rsidR="00C85FA7">
        <w:rPr>
          <w:b/>
          <w:sz w:val="22"/>
          <w:szCs w:val="22"/>
        </w:rPr>
        <w:t xml:space="preserve"> a </w:t>
      </w:r>
      <w:r w:rsidR="002F3D5D" w:rsidRPr="0044188F">
        <w:rPr>
          <w:b/>
          <w:sz w:val="22"/>
          <w:szCs w:val="22"/>
        </w:rPr>
        <w:t>ze započtení vyloučil</w:t>
      </w:r>
      <w:r w:rsidR="00C85FA7">
        <w:rPr>
          <w:b/>
          <w:sz w:val="22"/>
          <w:szCs w:val="22"/>
        </w:rPr>
        <w:t>o</w:t>
      </w:r>
      <w:r w:rsidR="002F3D5D" w:rsidRPr="0044188F">
        <w:rPr>
          <w:b/>
          <w:sz w:val="22"/>
          <w:szCs w:val="22"/>
        </w:rPr>
        <w:t xml:space="preserve"> pouze hodnotu </w:t>
      </w:r>
      <w:r w:rsidR="00861776" w:rsidRPr="0044188F">
        <w:rPr>
          <w:b/>
          <w:sz w:val="22"/>
          <w:szCs w:val="22"/>
        </w:rPr>
        <w:t xml:space="preserve">poskytnuté </w:t>
      </w:r>
      <w:r w:rsidR="002F3D5D" w:rsidRPr="0044188F">
        <w:rPr>
          <w:b/>
          <w:sz w:val="22"/>
          <w:szCs w:val="22"/>
        </w:rPr>
        <w:t xml:space="preserve">veřejné podpory (investiční pobídky). </w:t>
      </w:r>
    </w:p>
    <w:p w14:paraId="0D644F99" w14:textId="77777777" w:rsidR="005F0E6A" w:rsidRDefault="005F0E6A" w:rsidP="00D241B1">
      <w:pPr>
        <w:autoSpaceDE w:val="0"/>
        <w:autoSpaceDN w:val="0"/>
        <w:adjustRightInd w:val="0"/>
        <w:jc w:val="both"/>
        <w:rPr>
          <w:rFonts w:cs="Arial"/>
          <w:bCs/>
          <w:sz w:val="22"/>
          <w:szCs w:val="22"/>
        </w:rPr>
      </w:pPr>
    </w:p>
    <w:p w14:paraId="3F25ABA1" w14:textId="77777777" w:rsidR="005A1F7E" w:rsidRPr="005A1F7E" w:rsidRDefault="005A1F7E" w:rsidP="00D241B1">
      <w:pPr>
        <w:spacing w:after="60"/>
        <w:jc w:val="both"/>
        <w:rPr>
          <w:rFonts w:cs="Arial"/>
          <w:b/>
          <w:sz w:val="22"/>
          <w:szCs w:val="22"/>
        </w:rPr>
      </w:pPr>
      <w:r w:rsidRPr="005A1F7E">
        <w:rPr>
          <w:rFonts w:cs="Arial"/>
          <w:b/>
          <w:sz w:val="22"/>
          <w:szCs w:val="22"/>
        </w:rPr>
        <w:t xml:space="preserve">4.1 Plnění PPS podle typů offsetových transakcí </w:t>
      </w:r>
    </w:p>
    <w:p w14:paraId="3F25ABA2" w14:textId="01EB5943" w:rsidR="00D36350" w:rsidRDefault="00D36350" w:rsidP="00D241B1">
      <w:pPr>
        <w:jc w:val="both"/>
        <w:rPr>
          <w:rFonts w:cs="Arial"/>
          <w:sz w:val="22"/>
          <w:szCs w:val="22"/>
        </w:rPr>
      </w:pPr>
      <w:r w:rsidRPr="00D36350">
        <w:rPr>
          <w:rFonts w:cs="Arial"/>
          <w:sz w:val="22"/>
          <w:szCs w:val="22"/>
        </w:rPr>
        <w:t xml:space="preserve">Jak </w:t>
      </w:r>
      <w:r w:rsidR="000E39EE">
        <w:rPr>
          <w:rFonts w:cs="Arial"/>
          <w:sz w:val="22"/>
          <w:szCs w:val="22"/>
        </w:rPr>
        <w:t xml:space="preserve">je </w:t>
      </w:r>
      <w:r w:rsidRPr="00D36350">
        <w:rPr>
          <w:rFonts w:cs="Arial"/>
          <w:sz w:val="22"/>
          <w:szCs w:val="22"/>
        </w:rPr>
        <w:t xml:space="preserve">blíže vysvětleno </w:t>
      </w:r>
      <w:r w:rsidRPr="00A77368">
        <w:rPr>
          <w:rFonts w:cs="Arial"/>
          <w:sz w:val="22"/>
          <w:szCs w:val="22"/>
        </w:rPr>
        <w:t>v </w:t>
      </w:r>
      <w:r w:rsidR="0044188F" w:rsidRPr="00A77368">
        <w:rPr>
          <w:rFonts w:cs="Arial"/>
          <w:sz w:val="22"/>
          <w:szCs w:val="22"/>
        </w:rPr>
        <w:t>p</w:t>
      </w:r>
      <w:r w:rsidRPr="00A77368">
        <w:rPr>
          <w:rFonts w:cs="Arial"/>
          <w:sz w:val="22"/>
          <w:szCs w:val="22"/>
        </w:rPr>
        <w:t>říloze č. 1</w:t>
      </w:r>
      <w:r w:rsidR="001F297B">
        <w:rPr>
          <w:rFonts w:cs="Arial"/>
          <w:sz w:val="22"/>
          <w:szCs w:val="22"/>
        </w:rPr>
        <w:t>,</w:t>
      </w:r>
      <w:r w:rsidRPr="00D36350">
        <w:rPr>
          <w:rFonts w:cs="Arial"/>
          <w:sz w:val="22"/>
          <w:szCs w:val="22"/>
        </w:rPr>
        <w:t xml:space="preserve"> existují čtyři typy offsetových transakcí, přičemž čtvrtým jsou </w:t>
      </w:r>
      <w:r w:rsidR="00AD653F">
        <w:rPr>
          <w:rFonts w:cs="Arial"/>
          <w:sz w:val="22"/>
          <w:szCs w:val="22"/>
        </w:rPr>
        <w:t>„</w:t>
      </w:r>
      <w:r w:rsidRPr="00D36350">
        <w:rPr>
          <w:rFonts w:cs="Arial"/>
          <w:sz w:val="22"/>
          <w:szCs w:val="22"/>
        </w:rPr>
        <w:t>ostatní transakce</w:t>
      </w:r>
      <w:r w:rsidR="00AD653F">
        <w:rPr>
          <w:rFonts w:cs="Arial"/>
          <w:sz w:val="22"/>
          <w:szCs w:val="22"/>
        </w:rPr>
        <w:t>“</w:t>
      </w:r>
      <w:r w:rsidRPr="00D36350">
        <w:rPr>
          <w:rFonts w:cs="Arial"/>
          <w:sz w:val="22"/>
          <w:szCs w:val="22"/>
        </w:rPr>
        <w:t xml:space="preserve">, které nelze zařadit pod jeden ze tří typů. Přehled plnění PPS prostřednictvím </w:t>
      </w:r>
      <w:r>
        <w:rPr>
          <w:rFonts w:cs="Arial"/>
          <w:sz w:val="22"/>
          <w:szCs w:val="22"/>
        </w:rPr>
        <w:t xml:space="preserve">jednotlivých </w:t>
      </w:r>
      <w:r w:rsidRPr="00D36350">
        <w:rPr>
          <w:rFonts w:cs="Arial"/>
          <w:sz w:val="22"/>
          <w:szCs w:val="22"/>
        </w:rPr>
        <w:t xml:space="preserve">typů transakcí, </w:t>
      </w:r>
      <w:r w:rsidR="004B168E">
        <w:rPr>
          <w:rFonts w:cs="Arial"/>
          <w:sz w:val="22"/>
          <w:szCs w:val="22"/>
        </w:rPr>
        <w:t>z nichž</w:t>
      </w:r>
      <w:r>
        <w:rPr>
          <w:rFonts w:cs="Arial"/>
          <w:sz w:val="22"/>
          <w:szCs w:val="22"/>
        </w:rPr>
        <w:t xml:space="preserve"> některé byly </w:t>
      </w:r>
      <w:r w:rsidR="00D920E5">
        <w:rPr>
          <w:rFonts w:cs="Arial"/>
          <w:sz w:val="22"/>
          <w:szCs w:val="22"/>
        </w:rPr>
        <w:t>v </w:t>
      </w:r>
      <w:r w:rsidRPr="00D36350">
        <w:rPr>
          <w:rFonts w:cs="Arial"/>
          <w:sz w:val="22"/>
          <w:szCs w:val="22"/>
        </w:rPr>
        <w:t xml:space="preserve">kategorii „přímé“, je uveden </w:t>
      </w:r>
      <w:r w:rsidR="00D920E5">
        <w:rPr>
          <w:rFonts w:cs="Arial"/>
          <w:sz w:val="22"/>
          <w:szCs w:val="22"/>
        </w:rPr>
        <w:t>v </w:t>
      </w:r>
      <w:r w:rsidRPr="00D36350">
        <w:rPr>
          <w:rFonts w:cs="Arial"/>
          <w:sz w:val="22"/>
          <w:szCs w:val="22"/>
        </w:rPr>
        <w:t xml:space="preserve">následující tabulce </w:t>
      </w:r>
      <w:r w:rsidR="004B168E">
        <w:rPr>
          <w:rFonts w:cs="Arial"/>
          <w:sz w:val="22"/>
          <w:szCs w:val="22"/>
        </w:rPr>
        <w:t>(</w:t>
      </w:r>
      <w:r w:rsidRPr="00D36350">
        <w:rPr>
          <w:rFonts w:cs="Arial"/>
          <w:sz w:val="22"/>
          <w:szCs w:val="22"/>
        </w:rPr>
        <w:t xml:space="preserve">č. </w:t>
      </w:r>
      <w:r>
        <w:rPr>
          <w:rFonts w:cs="Arial"/>
          <w:sz w:val="22"/>
          <w:szCs w:val="22"/>
        </w:rPr>
        <w:t>3</w:t>
      </w:r>
      <w:r w:rsidR="004B168E">
        <w:rPr>
          <w:rFonts w:cs="Arial"/>
          <w:sz w:val="22"/>
          <w:szCs w:val="22"/>
        </w:rPr>
        <w:t>)</w:t>
      </w:r>
      <w:r w:rsidRPr="00D36350">
        <w:rPr>
          <w:rFonts w:cs="Arial"/>
          <w:sz w:val="22"/>
          <w:szCs w:val="22"/>
        </w:rPr>
        <w:t>.</w:t>
      </w:r>
    </w:p>
    <w:p w14:paraId="2B6868F4" w14:textId="77777777" w:rsidR="005F0E6A" w:rsidRDefault="005F0E6A" w:rsidP="00D241B1">
      <w:pPr>
        <w:jc w:val="both"/>
        <w:rPr>
          <w:rFonts w:cs="Arial"/>
          <w:sz w:val="22"/>
          <w:szCs w:val="22"/>
        </w:rPr>
      </w:pPr>
    </w:p>
    <w:p w14:paraId="3F25ABA3" w14:textId="0E87CB9A" w:rsidR="00854268" w:rsidRPr="0001442A" w:rsidRDefault="00854268" w:rsidP="0001442A">
      <w:pPr>
        <w:rPr>
          <w:rFonts w:cs="Arial"/>
          <w:b/>
          <w:sz w:val="22"/>
          <w:szCs w:val="22"/>
        </w:rPr>
      </w:pPr>
      <w:r w:rsidRPr="0001442A">
        <w:rPr>
          <w:rFonts w:cs="Arial"/>
          <w:b/>
          <w:sz w:val="22"/>
          <w:szCs w:val="22"/>
        </w:rPr>
        <w:lastRenderedPageBreak/>
        <w:t xml:space="preserve">Tabulka č. 3 </w:t>
      </w:r>
      <w:r w:rsidR="004B168E">
        <w:rPr>
          <w:rFonts w:cs="Arial"/>
          <w:b/>
          <w:sz w:val="22"/>
          <w:szCs w:val="22"/>
        </w:rPr>
        <w:t xml:space="preserve">– </w:t>
      </w:r>
      <w:r w:rsidRPr="0001442A">
        <w:rPr>
          <w:rFonts w:cs="Arial"/>
          <w:b/>
          <w:sz w:val="22"/>
          <w:szCs w:val="22"/>
        </w:rPr>
        <w:t xml:space="preserve">Přehled typů OFT realizovaných českými partnery v rámci PPS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197"/>
        <w:gridCol w:w="1630"/>
        <w:gridCol w:w="1635"/>
        <w:gridCol w:w="1667"/>
        <w:gridCol w:w="1563"/>
      </w:tblGrid>
      <w:tr w:rsidR="00E01D1E" w:rsidRPr="006E20A1" w14:paraId="3F25ABA7" w14:textId="77777777" w:rsidTr="007C66B7">
        <w:trPr>
          <w:trHeight w:val="549"/>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F25ABA4" w14:textId="77777777" w:rsidR="00E01D1E" w:rsidRPr="003633A6" w:rsidRDefault="00E01D1E" w:rsidP="0001442A">
            <w:pPr>
              <w:jc w:val="center"/>
              <w:rPr>
                <w:rFonts w:cs="Arial"/>
                <w:b/>
                <w:sz w:val="18"/>
                <w:szCs w:val="18"/>
              </w:rPr>
            </w:pPr>
            <w:r w:rsidRPr="003633A6">
              <w:rPr>
                <w:rFonts w:cs="Arial"/>
                <w:b/>
                <w:sz w:val="18"/>
                <w:szCs w:val="18"/>
              </w:rPr>
              <w:t>Název PPS</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F25ABA5" w14:textId="77777777" w:rsidR="00E01D1E" w:rsidRPr="003633A6" w:rsidRDefault="00E01D1E" w:rsidP="0001442A">
            <w:pPr>
              <w:jc w:val="center"/>
              <w:rPr>
                <w:rFonts w:cs="Arial"/>
                <w:b/>
                <w:sz w:val="18"/>
                <w:szCs w:val="18"/>
              </w:rPr>
            </w:pPr>
            <w:r w:rsidRPr="003633A6">
              <w:rPr>
                <w:rFonts w:cs="Arial"/>
                <w:b/>
                <w:sz w:val="18"/>
                <w:szCs w:val="18"/>
              </w:rPr>
              <w:t>Počet českých partnerů zapojených do plnění PPS</w:t>
            </w:r>
          </w:p>
        </w:tc>
        <w:tc>
          <w:tcPr>
            <w:tcW w:w="6495"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F25ABA6" w14:textId="2002DF19" w:rsidR="00E01D1E" w:rsidRPr="003633A6" w:rsidRDefault="00E01D1E" w:rsidP="0001442A">
            <w:pPr>
              <w:jc w:val="center"/>
              <w:rPr>
                <w:rFonts w:cs="Arial"/>
                <w:b/>
                <w:sz w:val="18"/>
                <w:szCs w:val="18"/>
              </w:rPr>
            </w:pPr>
            <w:r w:rsidRPr="003633A6">
              <w:rPr>
                <w:rFonts w:cs="Arial"/>
                <w:b/>
                <w:sz w:val="18"/>
                <w:szCs w:val="18"/>
              </w:rPr>
              <w:t xml:space="preserve">Počet OFT dle typu a </w:t>
            </w:r>
            <w:r w:rsidR="004B168E">
              <w:rPr>
                <w:rFonts w:cs="Arial"/>
                <w:b/>
                <w:sz w:val="18"/>
                <w:szCs w:val="18"/>
              </w:rPr>
              <w:t xml:space="preserve">jejich </w:t>
            </w:r>
            <w:r w:rsidRPr="003633A6">
              <w:rPr>
                <w:rFonts w:cs="Arial"/>
                <w:b/>
                <w:sz w:val="18"/>
                <w:szCs w:val="18"/>
              </w:rPr>
              <w:t xml:space="preserve">hodnota </w:t>
            </w:r>
          </w:p>
        </w:tc>
      </w:tr>
      <w:tr w:rsidR="00E01D1E" w:rsidRPr="006E20A1" w14:paraId="3F25ABAE" w14:textId="77777777" w:rsidTr="007C66B7">
        <w:tc>
          <w:tcPr>
            <w:tcW w:w="1487"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F25ABA8" w14:textId="77777777" w:rsidR="00E01D1E" w:rsidRPr="003633A6" w:rsidRDefault="00E01D1E" w:rsidP="0001442A">
            <w:pPr>
              <w:jc w:val="center"/>
              <w:rPr>
                <w:rFonts w:cs="Arial"/>
                <w:b/>
                <w:sz w:val="18"/>
                <w:szCs w:val="18"/>
              </w:rPr>
            </w:pPr>
          </w:p>
        </w:tc>
        <w:tc>
          <w:tcPr>
            <w:tcW w:w="1197" w:type="dxa"/>
            <w:vMerge/>
            <w:tcBorders>
              <w:left w:val="single" w:sz="12" w:space="0" w:color="auto"/>
              <w:bottom w:val="single" w:sz="12" w:space="0" w:color="auto"/>
              <w:right w:val="single" w:sz="12" w:space="0" w:color="auto"/>
            </w:tcBorders>
            <w:shd w:val="clear" w:color="auto" w:fill="B8CCE4" w:themeFill="accent1" w:themeFillTint="66"/>
            <w:vAlign w:val="center"/>
          </w:tcPr>
          <w:p w14:paraId="3F25ABA9" w14:textId="77777777" w:rsidR="00E01D1E" w:rsidRPr="003633A6" w:rsidRDefault="00E01D1E" w:rsidP="0001442A">
            <w:pPr>
              <w:jc w:val="center"/>
              <w:rPr>
                <w:rFonts w:cs="Arial"/>
                <w:b/>
                <w:sz w:val="18"/>
                <w:szCs w:val="18"/>
              </w:rPr>
            </w:pPr>
          </w:p>
        </w:tc>
        <w:tc>
          <w:tcPr>
            <w:tcW w:w="1630" w:type="dxa"/>
            <w:tcBorders>
              <w:top w:val="single" w:sz="12" w:space="0" w:color="auto"/>
              <w:left w:val="single" w:sz="12" w:space="0" w:color="auto"/>
              <w:bottom w:val="single" w:sz="12" w:space="0" w:color="auto"/>
            </w:tcBorders>
            <w:shd w:val="clear" w:color="auto" w:fill="B8CCE4" w:themeFill="accent1" w:themeFillTint="66"/>
            <w:vAlign w:val="center"/>
          </w:tcPr>
          <w:p w14:paraId="3F25ABAA" w14:textId="77777777" w:rsidR="00E01D1E" w:rsidRPr="003633A6" w:rsidRDefault="00E01D1E" w:rsidP="007C66B7">
            <w:pPr>
              <w:jc w:val="center"/>
              <w:rPr>
                <w:rFonts w:cs="Arial"/>
                <w:b/>
                <w:sz w:val="18"/>
                <w:szCs w:val="18"/>
              </w:rPr>
            </w:pPr>
            <w:r w:rsidRPr="003633A6">
              <w:rPr>
                <w:rFonts w:cs="Arial"/>
                <w:b/>
                <w:sz w:val="18"/>
                <w:szCs w:val="18"/>
              </w:rPr>
              <w:t>Podpora exportu</w:t>
            </w:r>
          </w:p>
        </w:tc>
        <w:tc>
          <w:tcPr>
            <w:tcW w:w="1635" w:type="dxa"/>
            <w:tcBorders>
              <w:top w:val="single" w:sz="12" w:space="0" w:color="auto"/>
              <w:bottom w:val="single" w:sz="12" w:space="0" w:color="auto"/>
            </w:tcBorders>
            <w:shd w:val="clear" w:color="auto" w:fill="B8CCE4" w:themeFill="accent1" w:themeFillTint="66"/>
            <w:vAlign w:val="center"/>
          </w:tcPr>
          <w:p w14:paraId="3F25ABAB" w14:textId="77777777" w:rsidR="00E01D1E" w:rsidRPr="003633A6" w:rsidRDefault="00E01D1E" w:rsidP="0001442A">
            <w:pPr>
              <w:jc w:val="center"/>
              <w:rPr>
                <w:rFonts w:cs="Arial"/>
                <w:b/>
                <w:sz w:val="18"/>
                <w:szCs w:val="18"/>
              </w:rPr>
            </w:pPr>
            <w:r w:rsidRPr="003633A6">
              <w:rPr>
                <w:rFonts w:cs="Arial"/>
                <w:b/>
                <w:sz w:val="18"/>
                <w:szCs w:val="18"/>
              </w:rPr>
              <w:t>Přímé zahraniční investice</w:t>
            </w:r>
          </w:p>
        </w:tc>
        <w:tc>
          <w:tcPr>
            <w:tcW w:w="1667" w:type="dxa"/>
            <w:tcBorders>
              <w:top w:val="single" w:sz="12" w:space="0" w:color="auto"/>
              <w:bottom w:val="single" w:sz="12" w:space="0" w:color="auto"/>
            </w:tcBorders>
            <w:shd w:val="clear" w:color="auto" w:fill="B8CCE4" w:themeFill="accent1" w:themeFillTint="66"/>
            <w:vAlign w:val="center"/>
          </w:tcPr>
          <w:p w14:paraId="3F25ABAC" w14:textId="77777777" w:rsidR="00E01D1E" w:rsidRPr="003633A6" w:rsidRDefault="00E01D1E" w:rsidP="0001442A">
            <w:pPr>
              <w:jc w:val="center"/>
              <w:rPr>
                <w:rFonts w:cs="Arial"/>
                <w:b/>
                <w:sz w:val="18"/>
                <w:szCs w:val="18"/>
              </w:rPr>
            </w:pPr>
            <w:r w:rsidRPr="003633A6">
              <w:rPr>
                <w:rFonts w:cs="Arial"/>
                <w:b/>
                <w:sz w:val="18"/>
                <w:szCs w:val="18"/>
              </w:rPr>
              <w:t>Transfery technologií</w:t>
            </w:r>
          </w:p>
        </w:tc>
        <w:tc>
          <w:tcPr>
            <w:tcW w:w="1563" w:type="dxa"/>
            <w:tcBorders>
              <w:top w:val="single" w:sz="12" w:space="0" w:color="auto"/>
              <w:bottom w:val="single" w:sz="12" w:space="0" w:color="auto"/>
              <w:right w:val="single" w:sz="12" w:space="0" w:color="auto"/>
            </w:tcBorders>
            <w:shd w:val="clear" w:color="auto" w:fill="B8CCE4" w:themeFill="accent1" w:themeFillTint="66"/>
            <w:vAlign w:val="center"/>
          </w:tcPr>
          <w:p w14:paraId="3F25ABAD" w14:textId="77777777" w:rsidR="00E01D1E" w:rsidRPr="003633A6" w:rsidRDefault="00E01D1E" w:rsidP="007C66B7">
            <w:pPr>
              <w:jc w:val="center"/>
              <w:rPr>
                <w:rFonts w:cs="Arial"/>
                <w:b/>
                <w:sz w:val="18"/>
                <w:szCs w:val="18"/>
              </w:rPr>
            </w:pPr>
            <w:r w:rsidRPr="003633A6">
              <w:rPr>
                <w:rFonts w:cs="Arial"/>
                <w:b/>
                <w:sz w:val="18"/>
                <w:szCs w:val="18"/>
              </w:rPr>
              <w:t>Ostatní</w:t>
            </w:r>
          </w:p>
        </w:tc>
      </w:tr>
      <w:tr w:rsidR="00E01D1E" w:rsidRPr="006E20A1" w14:paraId="3F25ABB5" w14:textId="77777777" w:rsidTr="007C66B7">
        <w:tc>
          <w:tcPr>
            <w:tcW w:w="1487"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F25ABAF" w14:textId="77777777" w:rsidR="00E01D1E" w:rsidRPr="003633A6" w:rsidRDefault="00E01D1E" w:rsidP="0001442A">
            <w:pPr>
              <w:jc w:val="center"/>
              <w:rPr>
                <w:rFonts w:cs="Arial"/>
                <w:b/>
                <w:sz w:val="18"/>
                <w:szCs w:val="18"/>
              </w:rPr>
            </w:pPr>
          </w:p>
        </w:tc>
        <w:tc>
          <w:tcPr>
            <w:tcW w:w="1197" w:type="dxa"/>
            <w:vMerge/>
            <w:tcBorders>
              <w:left w:val="single" w:sz="12" w:space="0" w:color="auto"/>
              <w:bottom w:val="single" w:sz="12" w:space="0" w:color="auto"/>
              <w:right w:val="single" w:sz="12" w:space="0" w:color="auto"/>
            </w:tcBorders>
            <w:shd w:val="clear" w:color="auto" w:fill="B8CCE4" w:themeFill="accent1" w:themeFillTint="66"/>
            <w:vAlign w:val="center"/>
          </w:tcPr>
          <w:p w14:paraId="3F25ABB0" w14:textId="77777777" w:rsidR="00E01D1E" w:rsidRPr="003633A6" w:rsidRDefault="00E01D1E" w:rsidP="0001442A">
            <w:pPr>
              <w:jc w:val="center"/>
              <w:rPr>
                <w:rFonts w:cs="Arial"/>
                <w:b/>
                <w:sz w:val="18"/>
                <w:szCs w:val="18"/>
              </w:rPr>
            </w:pPr>
          </w:p>
        </w:tc>
        <w:tc>
          <w:tcPr>
            <w:tcW w:w="1630" w:type="dxa"/>
            <w:tcBorders>
              <w:top w:val="single" w:sz="12" w:space="0" w:color="auto"/>
              <w:left w:val="single" w:sz="12" w:space="0" w:color="auto"/>
              <w:bottom w:val="single" w:sz="4" w:space="0" w:color="auto"/>
            </w:tcBorders>
            <w:shd w:val="clear" w:color="auto" w:fill="B8CCE4" w:themeFill="accent1" w:themeFillTint="66"/>
            <w:vAlign w:val="center"/>
          </w:tcPr>
          <w:p w14:paraId="3F25ABB1" w14:textId="77777777" w:rsidR="00E01D1E" w:rsidRPr="003633A6" w:rsidRDefault="0044188F" w:rsidP="0001442A">
            <w:pPr>
              <w:jc w:val="center"/>
              <w:rPr>
                <w:rFonts w:cs="Arial"/>
                <w:b/>
                <w:sz w:val="18"/>
                <w:szCs w:val="18"/>
              </w:rPr>
            </w:pPr>
            <w:r w:rsidRPr="003633A6">
              <w:rPr>
                <w:rFonts w:cs="Arial"/>
                <w:b/>
                <w:sz w:val="18"/>
                <w:szCs w:val="18"/>
              </w:rPr>
              <w:t>P</w:t>
            </w:r>
            <w:r w:rsidR="00E01D1E" w:rsidRPr="003633A6">
              <w:rPr>
                <w:rFonts w:cs="Arial"/>
                <w:b/>
                <w:sz w:val="18"/>
                <w:szCs w:val="18"/>
              </w:rPr>
              <w:t>očet</w:t>
            </w:r>
          </w:p>
        </w:tc>
        <w:tc>
          <w:tcPr>
            <w:tcW w:w="1635" w:type="dxa"/>
            <w:tcBorders>
              <w:top w:val="single" w:sz="12" w:space="0" w:color="auto"/>
              <w:bottom w:val="single" w:sz="4" w:space="0" w:color="auto"/>
            </w:tcBorders>
            <w:shd w:val="clear" w:color="auto" w:fill="B8CCE4" w:themeFill="accent1" w:themeFillTint="66"/>
            <w:vAlign w:val="center"/>
          </w:tcPr>
          <w:p w14:paraId="3F25ABB2" w14:textId="3CCC075A" w:rsidR="00E01D1E" w:rsidRPr="003633A6" w:rsidRDefault="004B168E" w:rsidP="0001442A">
            <w:pPr>
              <w:jc w:val="center"/>
              <w:rPr>
                <w:rFonts w:cs="Arial"/>
                <w:b/>
                <w:sz w:val="18"/>
                <w:szCs w:val="18"/>
              </w:rPr>
            </w:pPr>
            <w:r>
              <w:rPr>
                <w:rFonts w:cs="Arial"/>
                <w:b/>
                <w:sz w:val="18"/>
                <w:szCs w:val="18"/>
              </w:rPr>
              <w:t>P</w:t>
            </w:r>
            <w:r w:rsidR="00E01D1E" w:rsidRPr="003633A6">
              <w:rPr>
                <w:rFonts w:cs="Arial"/>
                <w:b/>
                <w:sz w:val="18"/>
                <w:szCs w:val="18"/>
              </w:rPr>
              <w:t>očet</w:t>
            </w:r>
          </w:p>
        </w:tc>
        <w:tc>
          <w:tcPr>
            <w:tcW w:w="1667" w:type="dxa"/>
            <w:tcBorders>
              <w:top w:val="single" w:sz="12" w:space="0" w:color="auto"/>
              <w:bottom w:val="single" w:sz="4" w:space="0" w:color="auto"/>
            </w:tcBorders>
            <w:shd w:val="clear" w:color="auto" w:fill="B8CCE4" w:themeFill="accent1" w:themeFillTint="66"/>
            <w:vAlign w:val="center"/>
          </w:tcPr>
          <w:p w14:paraId="3F25ABB3" w14:textId="7A42E162" w:rsidR="00E01D1E" w:rsidRPr="003633A6" w:rsidRDefault="004B168E" w:rsidP="0001442A">
            <w:pPr>
              <w:jc w:val="center"/>
              <w:rPr>
                <w:rFonts w:cs="Arial"/>
                <w:b/>
                <w:sz w:val="18"/>
                <w:szCs w:val="18"/>
              </w:rPr>
            </w:pPr>
            <w:r>
              <w:rPr>
                <w:rFonts w:cs="Arial"/>
                <w:b/>
                <w:sz w:val="18"/>
                <w:szCs w:val="18"/>
              </w:rPr>
              <w:t>P</w:t>
            </w:r>
            <w:r w:rsidR="00E01D1E" w:rsidRPr="003633A6">
              <w:rPr>
                <w:rFonts w:cs="Arial"/>
                <w:b/>
                <w:sz w:val="18"/>
                <w:szCs w:val="18"/>
              </w:rPr>
              <w:t>očet</w:t>
            </w:r>
          </w:p>
        </w:tc>
        <w:tc>
          <w:tcPr>
            <w:tcW w:w="1563" w:type="dxa"/>
            <w:tcBorders>
              <w:top w:val="single" w:sz="12" w:space="0" w:color="auto"/>
              <w:bottom w:val="single" w:sz="4" w:space="0" w:color="auto"/>
              <w:right w:val="single" w:sz="12" w:space="0" w:color="auto"/>
            </w:tcBorders>
            <w:shd w:val="clear" w:color="auto" w:fill="B8CCE4" w:themeFill="accent1" w:themeFillTint="66"/>
            <w:vAlign w:val="center"/>
          </w:tcPr>
          <w:p w14:paraId="3F25ABB4" w14:textId="77777777" w:rsidR="00E01D1E" w:rsidRPr="003633A6" w:rsidRDefault="00060B07" w:rsidP="0001442A">
            <w:pPr>
              <w:jc w:val="center"/>
              <w:rPr>
                <w:rFonts w:cs="Arial"/>
                <w:b/>
                <w:sz w:val="18"/>
                <w:szCs w:val="18"/>
              </w:rPr>
            </w:pPr>
            <w:r w:rsidRPr="003633A6">
              <w:rPr>
                <w:rFonts w:cs="Arial"/>
                <w:b/>
                <w:sz w:val="18"/>
                <w:szCs w:val="18"/>
              </w:rPr>
              <w:t>P</w:t>
            </w:r>
            <w:r w:rsidR="00E01D1E" w:rsidRPr="003633A6">
              <w:rPr>
                <w:rFonts w:cs="Arial"/>
                <w:b/>
                <w:sz w:val="18"/>
                <w:szCs w:val="18"/>
              </w:rPr>
              <w:t>očet</w:t>
            </w:r>
          </w:p>
        </w:tc>
      </w:tr>
      <w:tr w:rsidR="00E01D1E" w:rsidRPr="006E20A1" w14:paraId="3F25ABBC" w14:textId="77777777" w:rsidTr="00901313">
        <w:tc>
          <w:tcPr>
            <w:tcW w:w="1487"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F25ABB6" w14:textId="77777777" w:rsidR="00E01D1E" w:rsidRPr="003633A6" w:rsidRDefault="00E01D1E" w:rsidP="0001442A">
            <w:pPr>
              <w:jc w:val="center"/>
              <w:rPr>
                <w:rFonts w:cs="Arial"/>
                <w:b/>
                <w:sz w:val="18"/>
                <w:szCs w:val="18"/>
              </w:rPr>
            </w:pPr>
          </w:p>
        </w:tc>
        <w:tc>
          <w:tcPr>
            <w:tcW w:w="1197" w:type="dxa"/>
            <w:vMerge/>
            <w:tcBorders>
              <w:left w:val="single" w:sz="12" w:space="0" w:color="auto"/>
              <w:bottom w:val="single" w:sz="12" w:space="0" w:color="auto"/>
              <w:right w:val="single" w:sz="12" w:space="0" w:color="auto"/>
            </w:tcBorders>
            <w:shd w:val="clear" w:color="auto" w:fill="B8CCE4" w:themeFill="accent1" w:themeFillTint="66"/>
            <w:vAlign w:val="center"/>
          </w:tcPr>
          <w:p w14:paraId="3F25ABB7" w14:textId="77777777" w:rsidR="00E01D1E" w:rsidRPr="003633A6" w:rsidRDefault="00E01D1E" w:rsidP="0001442A">
            <w:pPr>
              <w:jc w:val="center"/>
              <w:rPr>
                <w:rFonts w:cs="Arial"/>
                <w:b/>
                <w:sz w:val="18"/>
                <w:szCs w:val="18"/>
              </w:rPr>
            </w:pPr>
          </w:p>
        </w:tc>
        <w:tc>
          <w:tcPr>
            <w:tcW w:w="1630" w:type="dxa"/>
            <w:tcBorders>
              <w:left w:val="single" w:sz="12" w:space="0" w:color="auto"/>
              <w:bottom w:val="single" w:sz="12" w:space="0" w:color="auto"/>
            </w:tcBorders>
            <w:shd w:val="clear" w:color="auto" w:fill="B8CCE4" w:themeFill="accent1" w:themeFillTint="66"/>
            <w:vAlign w:val="center"/>
          </w:tcPr>
          <w:p w14:paraId="3F25ABB8" w14:textId="77777777" w:rsidR="00E01D1E" w:rsidRPr="003633A6" w:rsidRDefault="00E01D1E" w:rsidP="0001442A">
            <w:pPr>
              <w:jc w:val="center"/>
              <w:rPr>
                <w:rFonts w:cs="Arial"/>
                <w:b/>
                <w:sz w:val="18"/>
                <w:szCs w:val="18"/>
              </w:rPr>
            </w:pPr>
            <w:r w:rsidRPr="003633A6">
              <w:rPr>
                <w:rFonts w:cs="Arial"/>
                <w:b/>
                <w:sz w:val="18"/>
                <w:szCs w:val="18"/>
              </w:rPr>
              <w:t>mil. Kč</w:t>
            </w:r>
          </w:p>
        </w:tc>
        <w:tc>
          <w:tcPr>
            <w:tcW w:w="1635" w:type="dxa"/>
            <w:tcBorders>
              <w:bottom w:val="single" w:sz="12" w:space="0" w:color="auto"/>
            </w:tcBorders>
            <w:shd w:val="clear" w:color="auto" w:fill="B8CCE4" w:themeFill="accent1" w:themeFillTint="66"/>
            <w:vAlign w:val="center"/>
          </w:tcPr>
          <w:p w14:paraId="3F25ABB9" w14:textId="77777777" w:rsidR="00E01D1E" w:rsidRPr="003633A6" w:rsidRDefault="00E01D1E" w:rsidP="0001442A">
            <w:pPr>
              <w:jc w:val="center"/>
              <w:rPr>
                <w:rFonts w:cs="Arial"/>
                <w:b/>
                <w:sz w:val="18"/>
                <w:szCs w:val="18"/>
              </w:rPr>
            </w:pPr>
            <w:r w:rsidRPr="003633A6">
              <w:rPr>
                <w:rFonts w:cs="Arial"/>
                <w:b/>
                <w:sz w:val="18"/>
                <w:szCs w:val="18"/>
              </w:rPr>
              <w:t>mil. Kč</w:t>
            </w:r>
          </w:p>
        </w:tc>
        <w:tc>
          <w:tcPr>
            <w:tcW w:w="1667" w:type="dxa"/>
            <w:tcBorders>
              <w:bottom w:val="single" w:sz="12" w:space="0" w:color="auto"/>
            </w:tcBorders>
            <w:shd w:val="clear" w:color="auto" w:fill="B8CCE4" w:themeFill="accent1" w:themeFillTint="66"/>
            <w:vAlign w:val="center"/>
          </w:tcPr>
          <w:p w14:paraId="3F25ABBA" w14:textId="77777777" w:rsidR="00E01D1E" w:rsidRPr="003633A6" w:rsidRDefault="00E01D1E" w:rsidP="0001442A">
            <w:pPr>
              <w:jc w:val="center"/>
              <w:rPr>
                <w:rFonts w:cs="Arial"/>
                <w:b/>
                <w:sz w:val="18"/>
                <w:szCs w:val="18"/>
              </w:rPr>
            </w:pPr>
            <w:r w:rsidRPr="003633A6">
              <w:rPr>
                <w:rFonts w:cs="Arial"/>
                <w:b/>
                <w:sz w:val="18"/>
                <w:szCs w:val="18"/>
              </w:rPr>
              <w:t>mil. Kč</w:t>
            </w:r>
          </w:p>
        </w:tc>
        <w:tc>
          <w:tcPr>
            <w:tcW w:w="1563" w:type="dxa"/>
            <w:tcBorders>
              <w:bottom w:val="single" w:sz="12" w:space="0" w:color="auto"/>
              <w:right w:val="single" w:sz="12" w:space="0" w:color="auto"/>
            </w:tcBorders>
            <w:shd w:val="clear" w:color="auto" w:fill="B8CCE4" w:themeFill="accent1" w:themeFillTint="66"/>
            <w:vAlign w:val="center"/>
          </w:tcPr>
          <w:p w14:paraId="3F25ABBB" w14:textId="77777777" w:rsidR="00E01D1E" w:rsidRPr="003633A6" w:rsidRDefault="00E01D1E" w:rsidP="0001442A">
            <w:pPr>
              <w:jc w:val="center"/>
              <w:rPr>
                <w:rFonts w:cs="Arial"/>
                <w:b/>
                <w:sz w:val="18"/>
                <w:szCs w:val="18"/>
              </w:rPr>
            </w:pPr>
            <w:r w:rsidRPr="003633A6">
              <w:rPr>
                <w:rFonts w:cs="Arial"/>
                <w:b/>
                <w:sz w:val="18"/>
                <w:szCs w:val="18"/>
              </w:rPr>
              <w:t>mil. Kč</w:t>
            </w:r>
          </w:p>
        </w:tc>
      </w:tr>
      <w:tr w:rsidR="00E01D1E" w:rsidRPr="006E20A1" w14:paraId="3F25ABC3" w14:textId="77777777" w:rsidTr="00901313">
        <w:trPr>
          <w:trHeight w:val="20"/>
        </w:trPr>
        <w:tc>
          <w:tcPr>
            <w:tcW w:w="1487" w:type="dxa"/>
            <w:vMerge w:val="restart"/>
            <w:tcBorders>
              <w:top w:val="single" w:sz="12" w:space="0" w:color="auto"/>
              <w:left w:val="single" w:sz="12" w:space="0" w:color="auto"/>
              <w:right w:val="single" w:sz="12" w:space="0" w:color="auto"/>
            </w:tcBorders>
            <w:shd w:val="clear" w:color="auto" w:fill="auto"/>
            <w:vAlign w:val="center"/>
          </w:tcPr>
          <w:p w14:paraId="3F25ABBD" w14:textId="77777777" w:rsidR="00E01D1E" w:rsidRPr="003633A6" w:rsidRDefault="00E01D1E" w:rsidP="0001442A">
            <w:pPr>
              <w:rPr>
                <w:rFonts w:cs="Arial"/>
                <w:sz w:val="18"/>
                <w:szCs w:val="18"/>
              </w:rPr>
            </w:pPr>
            <w:r w:rsidRPr="003633A6">
              <w:rPr>
                <w:rFonts w:cs="Arial"/>
                <w:sz w:val="18"/>
                <w:szCs w:val="18"/>
              </w:rPr>
              <w:t>CASA</w:t>
            </w:r>
          </w:p>
        </w:tc>
        <w:tc>
          <w:tcPr>
            <w:tcW w:w="1197" w:type="dxa"/>
            <w:vMerge w:val="restart"/>
            <w:tcBorders>
              <w:top w:val="single" w:sz="12" w:space="0" w:color="auto"/>
              <w:left w:val="single" w:sz="12" w:space="0" w:color="auto"/>
              <w:right w:val="single" w:sz="12" w:space="0" w:color="auto"/>
            </w:tcBorders>
            <w:shd w:val="clear" w:color="auto" w:fill="auto"/>
            <w:vAlign w:val="center"/>
          </w:tcPr>
          <w:p w14:paraId="3F25ABBE" w14:textId="77777777" w:rsidR="00E01D1E" w:rsidRPr="003633A6" w:rsidRDefault="00E01D1E" w:rsidP="002E1200">
            <w:pPr>
              <w:ind w:right="161"/>
              <w:jc w:val="right"/>
              <w:rPr>
                <w:rFonts w:cs="Arial"/>
                <w:sz w:val="18"/>
                <w:szCs w:val="18"/>
              </w:rPr>
            </w:pPr>
            <w:r w:rsidRPr="003633A6">
              <w:rPr>
                <w:rFonts w:cs="Arial"/>
                <w:sz w:val="18"/>
                <w:szCs w:val="18"/>
              </w:rPr>
              <w:t>6</w:t>
            </w:r>
          </w:p>
        </w:tc>
        <w:tc>
          <w:tcPr>
            <w:tcW w:w="1630" w:type="dxa"/>
            <w:tcBorders>
              <w:top w:val="single" w:sz="12" w:space="0" w:color="auto"/>
              <w:left w:val="single" w:sz="12" w:space="0" w:color="auto"/>
              <w:bottom w:val="single" w:sz="4" w:space="0" w:color="auto"/>
              <w:right w:val="single" w:sz="2" w:space="0" w:color="auto"/>
            </w:tcBorders>
            <w:shd w:val="clear" w:color="auto" w:fill="auto"/>
            <w:vAlign w:val="center"/>
          </w:tcPr>
          <w:p w14:paraId="3F25ABBF" w14:textId="187BCB34" w:rsidR="00E01D1E" w:rsidRPr="003633A6" w:rsidRDefault="00E01D1E" w:rsidP="002E1200">
            <w:pPr>
              <w:ind w:right="95"/>
              <w:jc w:val="right"/>
              <w:rPr>
                <w:rFonts w:cs="Arial"/>
                <w:sz w:val="18"/>
                <w:szCs w:val="18"/>
              </w:rPr>
            </w:pPr>
            <w:r w:rsidRPr="003633A6">
              <w:rPr>
                <w:rFonts w:cs="Arial"/>
                <w:sz w:val="18"/>
                <w:szCs w:val="18"/>
              </w:rPr>
              <w:t>5</w:t>
            </w:r>
          </w:p>
        </w:tc>
        <w:tc>
          <w:tcPr>
            <w:tcW w:w="1635" w:type="dxa"/>
            <w:tcBorders>
              <w:top w:val="single" w:sz="12" w:space="0" w:color="auto"/>
              <w:left w:val="single" w:sz="2" w:space="0" w:color="auto"/>
              <w:bottom w:val="single" w:sz="4" w:space="0" w:color="auto"/>
              <w:right w:val="single" w:sz="2" w:space="0" w:color="auto"/>
            </w:tcBorders>
            <w:shd w:val="clear" w:color="auto" w:fill="auto"/>
            <w:vAlign w:val="center"/>
          </w:tcPr>
          <w:p w14:paraId="3F25ABC0"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top w:val="single" w:sz="12" w:space="0" w:color="auto"/>
              <w:left w:val="single" w:sz="2" w:space="0" w:color="auto"/>
              <w:bottom w:val="single" w:sz="4" w:space="0" w:color="auto"/>
              <w:right w:val="single" w:sz="2" w:space="0" w:color="auto"/>
            </w:tcBorders>
            <w:shd w:val="clear" w:color="auto" w:fill="auto"/>
            <w:vAlign w:val="center"/>
          </w:tcPr>
          <w:p w14:paraId="3F25ABC1" w14:textId="77777777" w:rsidR="00E01D1E" w:rsidRPr="003633A6" w:rsidRDefault="00E01D1E" w:rsidP="002E1200">
            <w:pPr>
              <w:ind w:right="137"/>
              <w:jc w:val="right"/>
              <w:rPr>
                <w:rFonts w:cs="Arial"/>
                <w:sz w:val="18"/>
                <w:szCs w:val="18"/>
              </w:rPr>
            </w:pPr>
            <w:r w:rsidRPr="003633A6">
              <w:rPr>
                <w:rFonts w:cs="Arial"/>
                <w:sz w:val="18"/>
                <w:szCs w:val="18"/>
              </w:rPr>
              <w:t>2</w:t>
            </w:r>
          </w:p>
        </w:tc>
        <w:tc>
          <w:tcPr>
            <w:tcW w:w="1563" w:type="dxa"/>
            <w:tcBorders>
              <w:top w:val="single" w:sz="12" w:space="0" w:color="auto"/>
              <w:left w:val="single" w:sz="2" w:space="0" w:color="auto"/>
              <w:bottom w:val="single" w:sz="4" w:space="0" w:color="auto"/>
              <w:right w:val="single" w:sz="12" w:space="0" w:color="auto"/>
            </w:tcBorders>
            <w:shd w:val="clear" w:color="auto" w:fill="auto"/>
            <w:vAlign w:val="center"/>
          </w:tcPr>
          <w:p w14:paraId="3F25ABC2"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BCA" w14:textId="77777777" w:rsidTr="00901313">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BC4" w14:textId="77777777" w:rsidR="00E01D1E" w:rsidRDefault="00E01D1E" w:rsidP="0001442A">
            <w:pPr>
              <w:rPr>
                <w:rFonts w:cs="Arial"/>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BC5" w14:textId="77777777" w:rsidR="00E01D1E" w:rsidRPr="003633A6" w:rsidRDefault="00E01D1E" w:rsidP="0001442A">
            <w:pPr>
              <w:jc w:val="right"/>
              <w:rPr>
                <w:rFonts w:cs="Arial"/>
                <w:sz w:val="18"/>
                <w:szCs w:val="18"/>
              </w:rPr>
            </w:pPr>
          </w:p>
        </w:tc>
        <w:tc>
          <w:tcPr>
            <w:tcW w:w="1630" w:type="dxa"/>
            <w:tcBorders>
              <w:top w:val="single" w:sz="4" w:space="0" w:color="auto"/>
              <w:left w:val="single" w:sz="12" w:space="0" w:color="auto"/>
              <w:bottom w:val="single" w:sz="2" w:space="0" w:color="auto"/>
              <w:right w:val="single" w:sz="2" w:space="0" w:color="auto"/>
            </w:tcBorders>
            <w:shd w:val="clear" w:color="auto" w:fill="auto"/>
            <w:vAlign w:val="center"/>
          </w:tcPr>
          <w:p w14:paraId="3F25ABC6" w14:textId="77777777" w:rsidR="00E01D1E" w:rsidRPr="003633A6" w:rsidRDefault="00E01D1E" w:rsidP="002E1200">
            <w:pPr>
              <w:ind w:right="95"/>
              <w:jc w:val="right"/>
              <w:rPr>
                <w:rFonts w:cs="Arial"/>
                <w:sz w:val="18"/>
                <w:szCs w:val="18"/>
              </w:rPr>
            </w:pPr>
            <w:r w:rsidRPr="003633A6">
              <w:rPr>
                <w:rFonts w:cs="Arial"/>
                <w:sz w:val="18"/>
                <w:szCs w:val="18"/>
              </w:rPr>
              <w:t>715,9</w:t>
            </w:r>
          </w:p>
        </w:tc>
        <w:tc>
          <w:tcPr>
            <w:tcW w:w="1635" w:type="dxa"/>
            <w:tcBorders>
              <w:top w:val="single" w:sz="4" w:space="0" w:color="auto"/>
              <w:left w:val="single" w:sz="2" w:space="0" w:color="auto"/>
              <w:bottom w:val="single" w:sz="2" w:space="0" w:color="auto"/>
              <w:right w:val="single" w:sz="2" w:space="0" w:color="auto"/>
            </w:tcBorders>
            <w:shd w:val="clear" w:color="auto" w:fill="auto"/>
            <w:vAlign w:val="center"/>
          </w:tcPr>
          <w:p w14:paraId="3F25ABC7"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top w:val="single" w:sz="4" w:space="0" w:color="auto"/>
              <w:left w:val="single" w:sz="2" w:space="0" w:color="auto"/>
              <w:bottom w:val="single" w:sz="2" w:space="0" w:color="auto"/>
              <w:right w:val="single" w:sz="2" w:space="0" w:color="auto"/>
            </w:tcBorders>
            <w:shd w:val="clear" w:color="auto" w:fill="auto"/>
            <w:vAlign w:val="center"/>
          </w:tcPr>
          <w:p w14:paraId="3F25ABC8" w14:textId="77777777" w:rsidR="00E01D1E" w:rsidRPr="003633A6" w:rsidRDefault="00E01D1E" w:rsidP="002E1200">
            <w:pPr>
              <w:ind w:right="137"/>
              <w:jc w:val="right"/>
              <w:rPr>
                <w:rFonts w:cs="Arial"/>
                <w:sz w:val="18"/>
                <w:szCs w:val="18"/>
              </w:rPr>
            </w:pPr>
            <w:r w:rsidRPr="003633A6">
              <w:rPr>
                <w:rFonts w:cs="Arial"/>
                <w:sz w:val="18"/>
                <w:szCs w:val="18"/>
              </w:rPr>
              <w:t>198,4</w:t>
            </w:r>
          </w:p>
        </w:tc>
        <w:tc>
          <w:tcPr>
            <w:tcW w:w="1563" w:type="dxa"/>
            <w:tcBorders>
              <w:top w:val="single" w:sz="4" w:space="0" w:color="auto"/>
              <w:left w:val="single" w:sz="2" w:space="0" w:color="auto"/>
              <w:bottom w:val="single" w:sz="2" w:space="0" w:color="auto"/>
              <w:right w:val="single" w:sz="12" w:space="0" w:color="auto"/>
            </w:tcBorders>
            <w:shd w:val="clear" w:color="auto" w:fill="auto"/>
            <w:vAlign w:val="center"/>
          </w:tcPr>
          <w:p w14:paraId="3F25ABC9"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BD1" w14:textId="77777777" w:rsidTr="00001621">
        <w:trPr>
          <w:trHeight w:val="20"/>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BCB" w14:textId="77777777" w:rsidR="00E01D1E" w:rsidRPr="003633A6" w:rsidRDefault="00E01D1E" w:rsidP="0001442A">
            <w:pPr>
              <w:rPr>
                <w:rFonts w:cs="Arial"/>
                <w:sz w:val="18"/>
                <w:szCs w:val="18"/>
              </w:rPr>
            </w:pPr>
            <w:r w:rsidRPr="003633A6">
              <w:rPr>
                <w:rFonts w:cs="Arial"/>
                <w:sz w:val="18"/>
                <w:szCs w:val="18"/>
              </w:rPr>
              <w:t>LOV</w:t>
            </w:r>
            <w:r>
              <w:rPr>
                <w:rFonts w:cs="Arial"/>
                <w:sz w:val="18"/>
                <w:szCs w:val="18"/>
              </w:rPr>
              <w:t xml:space="preserve"> IVECO</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BCC" w14:textId="72CD6DB3" w:rsidR="00E01D1E" w:rsidRPr="002E1200" w:rsidRDefault="00E01D1E" w:rsidP="002E1200">
            <w:pPr>
              <w:jc w:val="right"/>
              <w:rPr>
                <w:rFonts w:cs="Arial"/>
                <w:sz w:val="18"/>
                <w:szCs w:val="18"/>
              </w:rPr>
            </w:pPr>
            <w:r w:rsidRPr="002E1200">
              <w:rPr>
                <w:rFonts w:cs="Arial"/>
                <w:sz w:val="18"/>
                <w:szCs w:val="18"/>
              </w:rPr>
              <w:t>5</w:t>
            </w:r>
            <w:r w:rsidR="002E1200">
              <w:rPr>
                <w:rFonts w:cs="Arial"/>
                <w:sz w:val="18"/>
                <w:szCs w:val="18"/>
                <w:vertAlign w:val="superscript"/>
              </w:rPr>
              <w:t>(</w:t>
            </w:r>
            <w:r w:rsidR="002E1200" w:rsidRPr="002E1200">
              <w:rPr>
                <w:rFonts w:cs="Arial"/>
                <w:sz w:val="18"/>
                <w:szCs w:val="18"/>
                <w:vertAlign w:val="superscript"/>
              </w:rPr>
              <w:t>1</w:t>
            </w:r>
            <w:r w:rsidR="002E1200">
              <w:rPr>
                <w:rFonts w:cs="Arial"/>
                <w:sz w:val="18"/>
                <w:szCs w:val="18"/>
                <w:vertAlign w:val="superscript"/>
              </w:rPr>
              <w:t>)</w:t>
            </w:r>
          </w:p>
        </w:tc>
        <w:tc>
          <w:tcPr>
            <w:tcW w:w="1630" w:type="dxa"/>
            <w:tcBorders>
              <w:top w:val="single" w:sz="12" w:space="0" w:color="auto"/>
              <w:left w:val="single" w:sz="12" w:space="0" w:color="auto"/>
              <w:bottom w:val="single" w:sz="2" w:space="0" w:color="auto"/>
              <w:right w:val="single" w:sz="2" w:space="0" w:color="auto"/>
            </w:tcBorders>
            <w:shd w:val="clear" w:color="auto" w:fill="auto"/>
            <w:vAlign w:val="center"/>
          </w:tcPr>
          <w:p w14:paraId="3F25ABCD" w14:textId="77777777" w:rsidR="00E01D1E" w:rsidRPr="003633A6" w:rsidRDefault="00E01D1E" w:rsidP="002E1200">
            <w:pPr>
              <w:ind w:right="95"/>
              <w:jc w:val="right"/>
              <w:rPr>
                <w:rFonts w:cs="Arial"/>
                <w:sz w:val="18"/>
                <w:szCs w:val="18"/>
              </w:rPr>
            </w:pPr>
            <w:r w:rsidRPr="003633A6">
              <w:rPr>
                <w:rFonts w:cs="Arial"/>
                <w:sz w:val="18"/>
                <w:szCs w:val="18"/>
              </w:rPr>
              <w:t>1</w:t>
            </w:r>
          </w:p>
        </w:tc>
        <w:tc>
          <w:tcPr>
            <w:tcW w:w="1635" w:type="dxa"/>
            <w:tcBorders>
              <w:top w:val="single" w:sz="12" w:space="0" w:color="auto"/>
              <w:left w:val="single" w:sz="2" w:space="0" w:color="auto"/>
              <w:bottom w:val="single" w:sz="2" w:space="0" w:color="auto"/>
              <w:right w:val="single" w:sz="2" w:space="0" w:color="auto"/>
            </w:tcBorders>
            <w:shd w:val="clear" w:color="auto" w:fill="auto"/>
            <w:vAlign w:val="center"/>
          </w:tcPr>
          <w:p w14:paraId="3F25ABCE" w14:textId="77777777" w:rsidR="00E01D1E" w:rsidRPr="003633A6" w:rsidRDefault="00E01D1E" w:rsidP="002E1200">
            <w:pPr>
              <w:ind w:right="171"/>
              <w:jc w:val="right"/>
              <w:rPr>
                <w:rFonts w:cs="Arial"/>
                <w:sz w:val="18"/>
                <w:szCs w:val="18"/>
              </w:rPr>
            </w:pPr>
            <w:r w:rsidRPr="003633A6">
              <w:rPr>
                <w:rFonts w:cs="Arial"/>
                <w:sz w:val="18"/>
                <w:szCs w:val="18"/>
              </w:rPr>
              <w:t>1</w:t>
            </w:r>
          </w:p>
        </w:tc>
        <w:tc>
          <w:tcPr>
            <w:tcW w:w="1667" w:type="dxa"/>
            <w:tcBorders>
              <w:top w:val="single" w:sz="12" w:space="0" w:color="auto"/>
              <w:left w:val="single" w:sz="2" w:space="0" w:color="auto"/>
              <w:bottom w:val="single" w:sz="2" w:space="0" w:color="auto"/>
              <w:right w:val="single" w:sz="2" w:space="0" w:color="auto"/>
            </w:tcBorders>
            <w:shd w:val="clear" w:color="auto" w:fill="auto"/>
            <w:vAlign w:val="center"/>
          </w:tcPr>
          <w:p w14:paraId="3F25ABCF" w14:textId="77777777" w:rsidR="00E01D1E" w:rsidRPr="003633A6" w:rsidRDefault="00E01D1E" w:rsidP="002E1200">
            <w:pPr>
              <w:ind w:right="137"/>
              <w:jc w:val="right"/>
              <w:rPr>
                <w:rFonts w:cs="Arial"/>
                <w:sz w:val="18"/>
                <w:szCs w:val="18"/>
              </w:rPr>
            </w:pPr>
            <w:r w:rsidRPr="003633A6">
              <w:rPr>
                <w:rFonts w:cs="Arial"/>
                <w:sz w:val="18"/>
                <w:szCs w:val="18"/>
              </w:rPr>
              <w:t>0</w:t>
            </w:r>
          </w:p>
        </w:tc>
        <w:tc>
          <w:tcPr>
            <w:tcW w:w="1563" w:type="dxa"/>
            <w:tcBorders>
              <w:top w:val="single" w:sz="12" w:space="0" w:color="auto"/>
              <w:left w:val="single" w:sz="2" w:space="0" w:color="auto"/>
              <w:bottom w:val="single" w:sz="2" w:space="0" w:color="auto"/>
              <w:right w:val="single" w:sz="12" w:space="0" w:color="auto"/>
            </w:tcBorders>
            <w:shd w:val="clear" w:color="auto" w:fill="auto"/>
            <w:vAlign w:val="center"/>
          </w:tcPr>
          <w:p w14:paraId="3F25ABD0" w14:textId="4DF66B08" w:rsidR="00E01D1E" w:rsidRPr="002E1200" w:rsidRDefault="00E01D1E" w:rsidP="00901313">
            <w:pPr>
              <w:ind w:right="-1"/>
              <w:jc w:val="right"/>
              <w:rPr>
                <w:rFonts w:cs="Arial"/>
                <w:sz w:val="18"/>
                <w:szCs w:val="18"/>
              </w:rPr>
            </w:pPr>
            <w:r w:rsidRPr="003633A6">
              <w:rPr>
                <w:rFonts w:cs="Arial"/>
                <w:sz w:val="18"/>
                <w:szCs w:val="18"/>
              </w:rPr>
              <w:t>4</w:t>
            </w:r>
            <w:r w:rsidR="002E1200">
              <w:rPr>
                <w:rFonts w:cs="Arial"/>
                <w:sz w:val="18"/>
                <w:szCs w:val="18"/>
                <w:vertAlign w:val="superscript"/>
              </w:rPr>
              <w:t>(4)</w:t>
            </w:r>
          </w:p>
        </w:tc>
      </w:tr>
      <w:tr w:rsidR="00E01D1E" w:rsidRPr="006E20A1" w14:paraId="3F25ABD8" w14:textId="77777777" w:rsidTr="00001621">
        <w:trPr>
          <w:trHeight w:val="20"/>
        </w:trPr>
        <w:tc>
          <w:tcPr>
            <w:tcW w:w="1487" w:type="dxa"/>
            <w:vMerge/>
            <w:tcBorders>
              <w:top w:val="single" w:sz="2" w:space="0" w:color="auto"/>
              <w:left w:val="single" w:sz="12" w:space="0" w:color="auto"/>
              <w:bottom w:val="single" w:sz="12" w:space="0" w:color="auto"/>
              <w:right w:val="single" w:sz="12" w:space="0" w:color="auto"/>
            </w:tcBorders>
            <w:shd w:val="clear" w:color="auto" w:fill="auto"/>
            <w:vAlign w:val="center"/>
          </w:tcPr>
          <w:p w14:paraId="3F25ABD2" w14:textId="77777777" w:rsidR="00E01D1E" w:rsidRPr="003633A6" w:rsidRDefault="00E01D1E" w:rsidP="0001442A">
            <w:pPr>
              <w:jc w:val="right"/>
              <w:rPr>
                <w:rFonts w:cs="Arial"/>
                <w:sz w:val="18"/>
                <w:szCs w:val="18"/>
              </w:rPr>
            </w:pPr>
          </w:p>
        </w:tc>
        <w:tc>
          <w:tcPr>
            <w:tcW w:w="1197" w:type="dxa"/>
            <w:vMerge/>
            <w:tcBorders>
              <w:top w:val="single" w:sz="2" w:space="0" w:color="auto"/>
              <w:left w:val="single" w:sz="12" w:space="0" w:color="auto"/>
              <w:bottom w:val="single" w:sz="12" w:space="0" w:color="auto"/>
              <w:right w:val="single" w:sz="12" w:space="0" w:color="auto"/>
            </w:tcBorders>
            <w:shd w:val="clear" w:color="auto" w:fill="auto"/>
            <w:vAlign w:val="center"/>
          </w:tcPr>
          <w:p w14:paraId="3F25ABD3" w14:textId="77777777" w:rsidR="00E01D1E" w:rsidRPr="003633A6" w:rsidRDefault="00E01D1E" w:rsidP="0001442A">
            <w:pPr>
              <w:jc w:val="right"/>
              <w:rPr>
                <w:rFonts w:cs="Arial"/>
                <w:sz w:val="18"/>
                <w:szCs w:val="18"/>
              </w:rPr>
            </w:pPr>
          </w:p>
        </w:tc>
        <w:tc>
          <w:tcPr>
            <w:tcW w:w="1630" w:type="dxa"/>
            <w:tcBorders>
              <w:top w:val="single" w:sz="2" w:space="0" w:color="auto"/>
              <w:left w:val="single" w:sz="12" w:space="0" w:color="auto"/>
              <w:bottom w:val="single" w:sz="12" w:space="0" w:color="auto"/>
              <w:right w:val="single" w:sz="2" w:space="0" w:color="auto"/>
            </w:tcBorders>
            <w:shd w:val="clear" w:color="auto" w:fill="auto"/>
            <w:vAlign w:val="center"/>
          </w:tcPr>
          <w:p w14:paraId="3F25ABD4" w14:textId="77777777" w:rsidR="00E01D1E" w:rsidRPr="003633A6" w:rsidRDefault="00E01D1E" w:rsidP="002E1200">
            <w:pPr>
              <w:ind w:right="95"/>
              <w:jc w:val="right"/>
              <w:rPr>
                <w:rFonts w:cs="Arial"/>
                <w:sz w:val="18"/>
                <w:szCs w:val="18"/>
              </w:rPr>
            </w:pPr>
            <w:r w:rsidRPr="003633A6">
              <w:rPr>
                <w:rFonts w:cs="Arial"/>
                <w:sz w:val="18"/>
                <w:szCs w:val="18"/>
              </w:rPr>
              <w:t>13,1</w:t>
            </w:r>
          </w:p>
        </w:tc>
        <w:tc>
          <w:tcPr>
            <w:tcW w:w="1635" w:type="dxa"/>
            <w:tcBorders>
              <w:top w:val="single" w:sz="2" w:space="0" w:color="auto"/>
              <w:left w:val="single" w:sz="2" w:space="0" w:color="auto"/>
              <w:bottom w:val="single" w:sz="12" w:space="0" w:color="auto"/>
              <w:right w:val="single" w:sz="2" w:space="0" w:color="auto"/>
            </w:tcBorders>
            <w:shd w:val="clear" w:color="auto" w:fill="auto"/>
            <w:vAlign w:val="center"/>
          </w:tcPr>
          <w:p w14:paraId="3F25ABD5" w14:textId="77777777" w:rsidR="00E01D1E" w:rsidRPr="003633A6" w:rsidRDefault="00E01D1E" w:rsidP="002E1200">
            <w:pPr>
              <w:ind w:right="171"/>
              <w:jc w:val="right"/>
              <w:rPr>
                <w:rFonts w:cs="Arial"/>
                <w:sz w:val="18"/>
                <w:szCs w:val="18"/>
              </w:rPr>
            </w:pPr>
            <w:r w:rsidRPr="003633A6">
              <w:rPr>
                <w:rFonts w:cs="Arial"/>
                <w:sz w:val="18"/>
                <w:szCs w:val="18"/>
              </w:rPr>
              <w:t>176,1</w:t>
            </w:r>
          </w:p>
        </w:tc>
        <w:tc>
          <w:tcPr>
            <w:tcW w:w="1667" w:type="dxa"/>
            <w:tcBorders>
              <w:top w:val="single" w:sz="2" w:space="0" w:color="auto"/>
              <w:left w:val="single" w:sz="2" w:space="0" w:color="auto"/>
              <w:bottom w:val="single" w:sz="12" w:space="0" w:color="auto"/>
              <w:right w:val="single" w:sz="2" w:space="0" w:color="auto"/>
            </w:tcBorders>
            <w:shd w:val="clear" w:color="auto" w:fill="auto"/>
            <w:vAlign w:val="center"/>
          </w:tcPr>
          <w:p w14:paraId="3F25ABD6" w14:textId="77777777" w:rsidR="00E01D1E" w:rsidRPr="003633A6" w:rsidRDefault="00E01D1E" w:rsidP="002E1200">
            <w:pPr>
              <w:ind w:right="137"/>
              <w:jc w:val="right"/>
              <w:rPr>
                <w:rFonts w:cs="Arial"/>
                <w:sz w:val="18"/>
                <w:szCs w:val="18"/>
              </w:rPr>
            </w:pPr>
            <w:r w:rsidRPr="003633A6">
              <w:rPr>
                <w:rFonts w:cs="Arial"/>
                <w:sz w:val="18"/>
                <w:szCs w:val="18"/>
              </w:rPr>
              <w:t>0</w:t>
            </w:r>
          </w:p>
        </w:tc>
        <w:tc>
          <w:tcPr>
            <w:tcW w:w="1563" w:type="dxa"/>
            <w:tcBorders>
              <w:top w:val="single" w:sz="2" w:space="0" w:color="auto"/>
              <w:left w:val="single" w:sz="2" w:space="0" w:color="auto"/>
              <w:bottom w:val="single" w:sz="12" w:space="0" w:color="auto"/>
              <w:right w:val="single" w:sz="12" w:space="0" w:color="auto"/>
            </w:tcBorders>
            <w:shd w:val="clear" w:color="auto" w:fill="auto"/>
            <w:vAlign w:val="center"/>
          </w:tcPr>
          <w:p w14:paraId="3F25ABD7" w14:textId="77777777" w:rsidR="00E01D1E" w:rsidRPr="003633A6" w:rsidRDefault="00E01D1E" w:rsidP="002E1200">
            <w:pPr>
              <w:ind w:right="140"/>
              <w:jc w:val="right"/>
              <w:rPr>
                <w:rFonts w:cs="Arial"/>
                <w:sz w:val="18"/>
                <w:szCs w:val="18"/>
              </w:rPr>
            </w:pPr>
            <w:r w:rsidRPr="003633A6">
              <w:rPr>
                <w:rFonts w:cs="Arial"/>
                <w:sz w:val="18"/>
                <w:szCs w:val="18"/>
              </w:rPr>
              <w:t>187,7</w:t>
            </w:r>
          </w:p>
        </w:tc>
      </w:tr>
      <w:tr w:rsidR="00E01D1E" w:rsidRPr="006E20A1" w14:paraId="3F25ABDF" w14:textId="77777777" w:rsidTr="00001621">
        <w:trPr>
          <w:trHeight w:val="20"/>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BD9" w14:textId="77777777" w:rsidR="00E01D1E" w:rsidRPr="003633A6" w:rsidRDefault="00E01D1E" w:rsidP="0001442A">
            <w:pPr>
              <w:rPr>
                <w:rFonts w:cs="Arial"/>
                <w:sz w:val="18"/>
                <w:szCs w:val="18"/>
              </w:rPr>
            </w:pPr>
            <w:r w:rsidRPr="003633A6">
              <w:rPr>
                <w:rFonts w:cs="Arial"/>
                <w:sz w:val="18"/>
                <w:szCs w:val="18"/>
              </w:rPr>
              <w:t>KOT</w:t>
            </w:r>
            <w:r>
              <w:rPr>
                <w:rFonts w:cs="Arial"/>
                <w:sz w:val="18"/>
                <w:szCs w:val="18"/>
              </w:rPr>
              <w:t xml:space="preserve"> PANDUR</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BDA" w14:textId="77777777" w:rsidR="00E01D1E" w:rsidRPr="003633A6" w:rsidRDefault="00E01D1E" w:rsidP="002E1200">
            <w:pPr>
              <w:ind w:right="161"/>
              <w:jc w:val="right"/>
              <w:rPr>
                <w:rFonts w:cs="Arial"/>
                <w:sz w:val="18"/>
                <w:szCs w:val="18"/>
              </w:rPr>
            </w:pPr>
            <w:r w:rsidRPr="003633A6">
              <w:rPr>
                <w:rFonts w:cs="Arial"/>
                <w:sz w:val="18"/>
                <w:szCs w:val="18"/>
              </w:rPr>
              <w:t>27</w:t>
            </w:r>
          </w:p>
        </w:tc>
        <w:tc>
          <w:tcPr>
            <w:tcW w:w="1630" w:type="dxa"/>
            <w:tcBorders>
              <w:top w:val="single" w:sz="12" w:space="0" w:color="auto"/>
              <w:left w:val="single" w:sz="12" w:space="0" w:color="auto"/>
            </w:tcBorders>
            <w:shd w:val="clear" w:color="auto" w:fill="auto"/>
            <w:vAlign w:val="center"/>
          </w:tcPr>
          <w:p w14:paraId="3F25ABDB" w14:textId="0174E741" w:rsidR="00E01D1E" w:rsidRPr="003633A6" w:rsidRDefault="00E01D1E" w:rsidP="004C5566">
            <w:pPr>
              <w:ind w:right="95"/>
              <w:jc w:val="right"/>
              <w:rPr>
                <w:rFonts w:cs="Arial"/>
                <w:sz w:val="18"/>
                <w:szCs w:val="18"/>
              </w:rPr>
            </w:pPr>
            <w:r w:rsidRPr="003633A6">
              <w:rPr>
                <w:rFonts w:cs="Arial"/>
                <w:sz w:val="18"/>
                <w:szCs w:val="18"/>
              </w:rPr>
              <w:t>33</w:t>
            </w:r>
          </w:p>
        </w:tc>
        <w:tc>
          <w:tcPr>
            <w:tcW w:w="1635" w:type="dxa"/>
            <w:tcBorders>
              <w:top w:val="single" w:sz="12" w:space="0" w:color="auto"/>
            </w:tcBorders>
            <w:shd w:val="clear" w:color="auto" w:fill="auto"/>
            <w:vAlign w:val="center"/>
          </w:tcPr>
          <w:p w14:paraId="3F25ABDC"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top w:val="single" w:sz="12" w:space="0" w:color="auto"/>
            </w:tcBorders>
            <w:shd w:val="clear" w:color="auto" w:fill="auto"/>
            <w:vAlign w:val="center"/>
          </w:tcPr>
          <w:p w14:paraId="3F25ABDD" w14:textId="77777777" w:rsidR="00E01D1E" w:rsidRPr="003633A6" w:rsidRDefault="00E01D1E" w:rsidP="002E1200">
            <w:pPr>
              <w:ind w:right="137"/>
              <w:jc w:val="right"/>
              <w:rPr>
                <w:rFonts w:cs="Arial"/>
                <w:sz w:val="18"/>
                <w:szCs w:val="18"/>
              </w:rPr>
            </w:pPr>
            <w:r w:rsidRPr="003633A6">
              <w:rPr>
                <w:rFonts w:cs="Arial"/>
                <w:sz w:val="18"/>
                <w:szCs w:val="18"/>
              </w:rPr>
              <w:t>0</w:t>
            </w:r>
          </w:p>
        </w:tc>
        <w:tc>
          <w:tcPr>
            <w:tcW w:w="1563" w:type="dxa"/>
            <w:tcBorders>
              <w:top w:val="single" w:sz="12" w:space="0" w:color="auto"/>
              <w:right w:val="single" w:sz="12" w:space="0" w:color="auto"/>
            </w:tcBorders>
            <w:shd w:val="clear" w:color="auto" w:fill="auto"/>
            <w:vAlign w:val="center"/>
          </w:tcPr>
          <w:p w14:paraId="3F25ABDE"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BE6"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BE0" w14:textId="77777777" w:rsidR="00E01D1E" w:rsidRPr="003633A6" w:rsidRDefault="00E01D1E" w:rsidP="0001442A">
            <w:pPr>
              <w:jc w:val="right"/>
              <w:rPr>
                <w:rFonts w:cs="Arial"/>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BE1" w14:textId="77777777" w:rsidR="00E01D1E" w:rsidRPr="003633A6" w:rsidRDefault="00E01D1E" w:rsidP="002E1200">
            <w:pPr>
              <w:ind w:right="161"/>
              <w:jc w:val="right"/>
              <w:rPr>
                <w:rFonts w:cs="Arial"/>
                <w:sz w:val="18"/>
                <w:szCs w:val="18"/>
              </w:rPr>
            </w:pPr>
          </w:p>
        </w:tc>
        <w:tc>
          <w:tcPr>
            <w:tcW w:w="1630" w:type="dxa"/>
            <w:tcBorders>
              <w:left w:val="single" w:sz="12" w:space="0" w:color="auto"/>
              <w:bottom w:val="single" w:sz="12" w:space="0" w:color="auto"/>
            </w:tcBorders>
            <w:shd w:val="clear" w:color="auto" w:fill="auto"/>
            <w:vAlign w:val="center"/>
          </w:tcPr>
          <w:p w14:paraId="3F25ABE2" w14:textId="77777777" w:rsidR="00E01D1E" w:rsidRPr="003633A6" w:rsidRDefault="00E01D1E" w:rsidP="002E1200">
            <w:pPr>
              <w:ind w:right="95"/>
              <w:jc w:val="right"/>
              <w:rPr>
                <w:rFonts w:cs="Arial"/>
                <w:sz w:val="18"/>
                <w:szCs w:val="18"/>
              </w:rPr>
            </w:pPr>
            <w:r w:rsidRPr="003633A6">
              <w:rPr>
                <w:rFonts w:cs="Arial"/>
                <w:sz w:val="18"/>
                <w:szCs w:val="18"/>
              </w:rPr>
              <w:t>7 415,6</w:t>
            </w:r>
          </w:p>
        </w:tc>
        <w:tc>
          <w:tcPr>
            <w:tcW w:w="1635" w:type="dxa"/>
            <w:tcBorders>
              <w:bottom w:val="single" w:sz="12" w:space="0" w:color="auto"/>
            </w:tcBorders>
            <w:shd w:val="clear" w:color="auto" w:fill="auto"/>
            <w:vAlign w:val="center"/>
          </w:tcPr>
          <w:p w14:paraId="3F25ABE3"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bottom w:val="single" w:sz="12" w:space="0" w:color="auto"/>
            </w:tcBorders>
            <w:shd w:val="clear" w:color="auto" w:fill="auto"/>
            <w:vAlign w:val="center"/>
          </w:tcPr>
          <w:p w14:paraId="3F25ABE4" w14:textId="77777777" w:rsidR="00E01D1E" w:rsidRPr="003633A6" w:rsidRDefault="00E01D1E" w:rsidP="002E1200">
            <w:pPr>
              <w:ind w:right="137"/>
              <w:jc w:val="right"/>
              <w:rPr>
                <w:rFonts w:cs="Arial"/>
                <w:sz w:val="18"/>
                <w:szCs w:val="18"/>
              </w:rPr>
            </w:pPr>
            <w:r w:rsidRPr="003633A6">
              <w:rPr>
                <w:rFonts w:cs="Arial"/>
                <w:sz w:val="18"/>
                <w:szCs w:val="18"/>
              </w:rPr>
              <w:t>0</w:t>
            </w:r>
          </w:p>
        </w:tc>
        <w:tc>
          <w:tcPr>
            <w:tcW w:w="1563" w:type="dxa"/>
            <w:tcBorders>
              <w:bottom w:val="single" w:sz="12" w:space="0" w:color="auto"/>
              <w:right w:val="single" w:sz="12" w:space="0" w:color="auto"/>
            </w:tcBorders>
            <w:shd w:val="clear" w:color="auto" w:fill="auto"/>
            <w:vAlign w:val="center"/>
          </w:tcPr>
          <w:p w14:paraId="3F25ABE5"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BED" w14:textId="77777777" w:rsidTr="00001621">
        <w:trPr>
          <w:trHeight w:val="20"/>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BE7" w14:textId="77777777" w:rsidR="00E01D1E" w:rsidRPr="003633A6" w:rsidRDefault="00E01D1E" w:rsidP="0001442A">
            <w:pPr>
              <w:rPr>
                <w:rFonts w:cs="Arial"/>
                <w:sz w:val="18"/>
                <w:szCs w:val="18"/>
              </w:rPr>
            </w:pPr>
            <w:r>
              <w:rPr>
                <w:rFonts w:cs="Arial"/>
                <w:sz w:val="18"/>
                <w:szCs w:val="18"/>
              </w:rPr>
              <w:t>ATS TATRA</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BE8" w14:textId="77777777" w:rsidR="00E01D1E" w:rsidRPr="003633A6" w:rsidRDefault="00E01D1E" w:rsidP="002E1200">
            <w:pPr>
              <w:ind w:right="161"/>
              <w:jc w:val="right"/>
              <w:rPr>
                <w:rFonts w:cs="Arial"/>
                <w:sz w:val="18"/>
                <w:szCs w:val="18"/>
              </w:rPr>
            </w:pPr>
            <w:r w:rsidRPr="003633A6">
              <w:rPr>
                <w:rFonts w:cs="Arial"/>
                <w:sz w:val="18"/>
                <w:szCs w:val="18"/>
              </w:rPr>
              <w:t>1</w:t>
            </w:r>
          </w:p>
        </w:tc>
        <w:tc>
          <w:tcPr>
            <w:tcW w:w="1630" w:type="dxa"/>
            <w:tcBorders>
              <w:top w:val="single" w:sz="12" w:space="0" w:color="auto"/>
              <w:left w:val="single" w:sz="12" w:space="0" w:color="auto"/>
            </w:tcBorders>
            <w:shd w:val="clear" w:color="auto" w:fill="auto"/>
            <w:vAlign w:val="center"/>
          </w:tcPr>
          <w:p w14:paraId="3F25ABE9" w14:textId="7CD857D1" w:rsidR="00E01D1E" w:rsidRPr="003633A6" w:rsidRDefault="00E01D1E" w:rsidP="004C5566">
            <w:pPr>
              <w:ind w:right="95"/>
              <w:jc w:val="right"/>
              <w:rPr>
                <w:rFonts w:cs="Arial"/>
                <w:sz w:val="18"/>
                <w:szCs w:val="18"/>
              </w:rPr>
            </w:pPr>
            <w:r w:rsidRPr="003633A6">
              <w:rPr>
                <w:rFonts w:cs="Arial"/>
                <w:sz w:val="18"/>
                <w:szCs w:val="18"/>
              </w:rPr>
              <w:t>0</w:t>
            </w:r>
          </w:p>
        </w:tc>
        <w:tc>
          <w:tcPr>
            <w:tcW w:w="1635" w:type="dxa"/>
            <w:tcBorders>
              <w:top w:val="single" w:sz="12" w:space="0" w:color="auto"/>
            </w:tcBorders>
            <w:shd w:val="clear" w:color="auto" w:fill="auto"/>
            <w:vAlign w:val="center"/>
          </w:tcPr>
          <w:p w14:paraId="3F25ABEA"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top w:val="single" w:sz="12" w:space="0" w:color="auto"/>
            </w:tcBorders>
            <w:shd w:val="clear" w:color="auto" w:fill="auto"/>
            <w:vAlign w:val="center"/>
          </w:tcPr>
          <w:p w14:paraId="3F25ABEB" w14:textId="77777777" w:rsidR="00E01D1E" w:rsidRPr="003633A6" w:rsidRDefault="00E01D1E" w:rsidP="002E1200">
            <w:pPr>
              <w:ind w:right="137"/>
              <w:jc w:val="right"/>
              <w:rPr>
                <w:rFonts w:cs="Arial"/>
                <w:sz w:val="18"/>
                <w:szCs w:val="18"/>
              </w:rPr>
            </w:pPr>
            <w:r w:rsidRPr="003633A6">
              <w:rPr>
                <w:rFonts w:cs="Arial"/>
                <w:sz w:val="18"/>
                <w:szCs w:val="18"/>
              </w:rPr>
              <w:t>0</w:t>
            </w:r>
          </w:p>
        </w:tc>
        <w:tc>
          <w:tcPr>
            <w:tcW w:w="1563" w:type="dxa"/>
            <w:tcBorders>
              <w:top w:val="single" w:sz="12" w:space="0" w:color="auto"/>
              <w:right w:val="single" w:sz="12" w:space="0" w:color="auto"/>
            </w:tcBorders>
            <w:shd w:val="clear" w:color="auto" w:fill="auto"/>
            <w:vAlign w:val="center"/>
          </w:tcPr>
          <w:p w14:paraId="3F25ABEC" w14:textId="77777777" w:rsidR="00E01D1E" w:rsidRPr="003633A6" w:rsidRDefault="00E01D1E" w:rsidP="002E1200">
            <w:pPr>
              <w:ind w:right="140"/>
              <w:jc w:val="right"/>
              <w:rPr>
                <w:rFonts w:cs="Arial"/>
                <w:sz w:val="18"/>
                <w:szCs w:val="18"/>
              </w:rPr>
            </w:pPr>
            <w:r w:rsidRPr="003633A6">
              <w:rPr>
                <w:rFonts w:cs="Arial"/>
                <w:sz w:val="18"/>
                <w:szCs w:val="18"/>
              </w:rPr>
              <w:t>1</w:t>
            </w:r>
          </w:p>
        </w:tc>
      </w:tr>
      <w:tr w:rsidR="00E01D1E" w:rsidRPr="006E20A1" w14:paraId="3F25ABF4"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BEE" w14:textId="77777777" w:rsidR="00E01D1E" w:rsidRPr="003633A6" w:rsidRDefault="00E01D1E" w:rsidP="0001442A">
            <w:pPr>
              <w:jc w:val="right"/>
              <w:rPr>
                <w:rFonts w:cs="Arial"/>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BEF" w14:textId="77777777" w:rsidR="00E01D1E" w:rsidRPr="003633A6" w:rsidRDefault="00E01D1E" w:rsidP="002E1200">
            <w:pPr>
              <w:ind w:right="161"/>
              <w:jc w:val="right"/>
              <w:rPr>
                <w:rFonts w:cs="Arial"/>
                <w:sz w:val="18"/>
                <w:szCs w:val="18"/>
              </w:rPr>
            </w:pPr>
          </w:p>
        </w:tc>
        <w:tc>
          <w:tcPr>
            <w:tcW w:w="1630" w:type="dxa"/>
            <w:tcBorders>
              <w:left w:val="single" w:sz="12" w:space="0" w:color="auto"/>
              <w:bottom w:val="single" w:sz="12" w:space="0" w:color="auto"/>
            </w:tcBorders>
            <w:shd w:val="clear" w:color="auto" w:fill="auto"/>
            <w:vAlign w:val="center"/>
          </w:tcPr>
          <w:p w14:paraId="3F25ABF0" w14:textId="77777777" w:rsidR="00E01D1E" w:rsidRPr="003633A6" w:rsidRDefault="00E01D1E" w:rsidP="002E1200">
            <w:pPr>
              <w:ind w:right="95"/>
              <w:jc w:val="right"/>
              <w:rPr>
                <w:rFonts w:cs="Arial"/>
                <w:sz w:val="18"/>
                <w:szCs w:val="18"/>
              </w:rPr>
            </w:pPr>
            <w:r w:rsidRPr="003633A6">
              <w:rPr>
                <w:rFonts w:cs="Arial"/>
                <w:sz w:val="18"/>
                <w:szCs w:val="18"/>
              </w:rPr>
              <w:t>0</w:t>
            </w:r>
          </w:p>
        </w:tc>
        <w:tc>
          <w:tcPr>
            <w:tcW w:w="1635" w:type="dxa"/>
            <w:tcBorders>
              <w:bottom w:val="single" w:sz="12" w:space="0" w:color="auto"/>
            </w:tcBorders>
            <w:shd w:val="clear" w:color="auto" w:fill="auto"/>
            <w:vAlign w:val="center"/>
          </w:tcPr>
          <w:p w14:paraId="3F25ABF1"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bottom w:val="single" w:sz="12" w:space="0" w:color="auto"/>
            </w:tcBorders>
            <w:shd w:val="clear" w:color="auto" w:fill="auto"/>
            <w:vAlign w:val="center"/>
          </w:tcPr>
          <w:p w14:paraId="3F25ABF2" w14:textId="77777777" w:rsidR="00E01D1E" w:rsidRPr="003633A6" w:rsidRDefault="00E01D1E" w:rsidP="002E1200">
            <w:pPr>
              <w:ind w:right="137"/>
              <w:jc w:val="right"/>
              <w:rPr>
                <w:rFonts w:cs="Arial"/>
                <w:sz w:val="18"/>
                <w:szCs w:val="18"/>
              </w:rPr>
            </w:pPr>
            <w:r w:rsidRPr="003633A6">
              <w:rPr>
                <w:rFonts w:cs="Arial"/>
                <w:sz w:val="18"/>
                <w:szCs w:val="18"/>
              </w:rPr>
              <w:t>0</w:t>
            </w:r>
          </w:p>
        </w:tc>
        <w:tc>
          <w:tcPr>
            <w:tcW w:w="1563" w:type="dxa"/>
            <w:tcBorders>
              <w:bottom w:val="single" w:sz="12" w:space="0" w:color="auto"/>
              <w:right w:val="single" w:sz="12" w:space="0" w:color="auto"/>
            </w:tcBorders>
            <w:shd w:val="clear" w:color="auto" w:fill="auto"/>
            <w:vAlign w:val="center"/>
          </w:tcPr>
          <w:p w14:paraId="3F25ABF3" w14:textId="77777777" w:rsidR="00E01D1E" w:rsidRPr="003633A6" w:rsidRDefault="00E01D1E" w:rsidP="002E1200">
            <w:pPr>
              <w:ind w:right="140"/>
              <w:jc w:val="right"/>
              <w:rPr>
                <w:rFonts w:cs="Arial"/>
                <w:sz w:val="18"/>
                <w:szCs w:val="18"/>
              </w:rPr>
            </w:pPr>
            <w:r w:rsidRPr="003633A6">
              <w:rPr>
                <w:rFonts w:cs="Arial"/>
                <w:sz w:val="18"/>
                <w:szCs w:val="18"/>
              </w:rPr>
              <w:t>209,9</w:t>
            </w:r>
          </w:p>
        </w:tc>
      </w:tr>
      <w:tr w:rsidR="00E01D1E" w:rsidRPr="006E20A1" w14:paraId="3F25ABFB" w14:textId="77777777" w:rsidTr="00001621">
        <w:trPr>
          <w:trHeight w:val="20"/>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BF5" w14:textId="77777777" w:rsidR="00E01D1E" w:rsidRPr="003633A6" w:rsidRDefault="00E01D1E" w:rsidP="0001442A">
            <w:pPr>
              <w:rPr>
                <w:rFonts w:cs="Arial"/>
                <w:sz w:val="18"/>
                <w:szCs w:val="18"/>
              </w:rPr>
            </w:pPr>
            <w:r>
              <w:rPr>
                <w:rFonts w:cs="Arial"/>
                <w:sz w:val="18"/>
                <w:szCs w:val="18"/>
              </w:rPr>
              <w:t>AIRBUS</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BF6" w14:textId="77777777" w:rsidR="00E01D1E" w:rsidRPr="003633A6" w:rsidRDefault="00E01D1E" w:rsidP="002E1200">
            <w:pPr>
              <w:ind w:right="161"/>
              <w:jc w:val="right"/>
              <w:rPr>
                <w:rFonts w:cs="Arial"/>
                <w:sz w:val="18"/>
                <w:szCs w:val="18"/>
              </w:rPr>
            </w:pPr>
            <w:r w:rsidRPr="003633A6">
              <w:rPr>
                <w:rFonts w:cs="Arial"/>
                <w:sz w:val="18"/>
                <w:szCs w:val="18"/>
              </w:rPr>
              <w:t>12</w:t>
            </w:r>
          </w:p>
        </w:tc>
        <w:tc>
          <w:tcPr>
            <w:tcW w:w="1630" w:type="dxa"/>
            <w:tcBorders>
              <w:top w:val="single" w:sz="12" w:space="0" w:color="auto"/>
              <w:left w:val="single" w:sz="12" w:space="0" w:color="auto"/>
            </w:tcBorders>
            <w:shd w:val="clear" w:color="auto" w:fill="auto"/>
            <w:vAlign w:val="center"/>
          </w:tcPr>
          <w:p w14:paraId="3F25ABF7" w14:textId="12ADD767" w:rsidR="00E01D1E" w:rsidRPr="003633A6" w:rsidRDefault="00E01D1E" w:rsidP="004C5566">
            <w:pPr>
              <w:ind w:right="95"/>
              <w:jc w:val="right"/>
              <w:rPr>
                <w:rFonts w:cs="Arial"/>
                <w:sz w:val="18"/>
                <w:szCs w:val="18"/>
              </w:rPr>
            </w:pPr>
            <w:r w:rsidRPr="003633A6">
              <w:rPr>
                <w:rFonts w:cs="Arial"/>
                <w:sz w:val="18"/>
                <w:szCs w:val="18"/>
              </w:rPr>
              <w:t>12</w:t>
            </w:r>
          </w:p>
        </w:tc>
        <w:tc>
          <w:tcPr>
            <w:tcW w:w="1635" w:type="dxa"/>
            <w:tcBorders>
              <w:top w:val="single" w:sz="12" w:space="0" w:color="auto"/>
            </w:tcBorders>
            <w:shd w:val="clear" w:color="auto" w:fill="auto"/>
            <w:vAlign w:val="center"/>
          </w:tcPr>
          <w:p w14:paraId="3F25ABF8"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top w:val="single" w:sz="12" w:space="0" w:color="auto"/>
            </w:tcBorders>
            <w:shd w:val="clear" w:color="auto" w:fill="auto"/>
            <w:vAlign w:val="center"/>
          </w:tcPr>
          <w:p w14:paraId="3F25ABF9" w14:textId="77777777" w:rsidR="00E01D1E" w:rsidRPr="003633A6" w:rsidRDefault="00E01D1E" w:rsidP="002E1200">
            <w:pPr>
              <w:ind w:right="137"/>
              <w:jc w:val="right"/>
              <w:rPr>
                <w:rFonts w:cs="Arial"/>
                <w:sz w:val="18"/>
                <w:szCs w:val="18"/>
              </w:rPr>
            </w:pPr>
            <w:r w:rsidRPr="003633A6">
              <w:rPr>
                <w:rFonts w:cs="Arial"/>
                <w:sz w:val="18"/>
                <w:szCs w:val="18"/>
              </w:rPr>
              <w:t>1</w:t>
            </w:r>
          </w:p>
        </w:tc>
        <w:tc>
          <w:tcPr>
            <w:tcW w:w="1563" w:type="dxa"/>
            <w:tcBorders>
              <w:top w:val="single" w:sz="12" w:space="0" w:color="auto"/>
              <w:right w:val="single" w:sz="12" w:space="0" w:color="auto"/>
            </w:tcBorders>
            <w:shd w:val="clear" w:color="auto" w:fill="auto"/>
            <w:vAlign w:val="center"/>
          </w:tcPr>
          <w:p w14:paraId="3F25ABFA"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C02"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BFC" w14:textId="77777777" w:rsidR="00E01D1E" w:rsidRPr="003633A6" w:rsidRDefault="00E01D1E" w:rsidP="0001442A">
            <w:pPr>
              <w:jc w:val="right"/>
              <w:rPr>
                <w:rFonts w:cs="Arial"/>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BFD" w14:textId="77777777" w:rsidR="00E01D1E" w:rsidRPr="003633A6" w:rsidRDefault="00E01D1E" w:rsidP="002E1200">
            <w:pPr>
              <w:ind w:right="161"/>
              <w:jc w:val="right"/>
              <w:rPr>
                <w:rFonts w:cs="Arial"/>
                <w:sz w:val="18"/>
                <w:szCs w:val="18"/>
              </w:rPr>
            </w:pPr>
          </w:p>
        </w:tc>
        <w:tc>
          <w:tcPr>
            <w:tcW w:w="1630" w:type="dxa"/>
            <w:tcBorders>
              <w:left w:val="single" w:sz="12" w:space="0" w:color="auto"/>
              <w:bottom w:val="single" w:sz="12" w:space="0" w:color="auto"/>
            </w:tcBorders>
            <w:shd w:val="clear" w:color="auto" w:fill="auto"/>
            <w:vAlign w:val="center"/>
          </w:tcPr>
          <w:p w14:paraId="3F25ABFE" w14:textId="77777777" w:rsidR="00E01D1E" w:rsidRPr="003633A6" w:rsidRDefault="00E01D1E" w:rsidP="002E1200">
            <w:pPr>
              <w:ind w:right="95"/>
              <w:jc w:val="right"/>
              <w:rPr>
                <w:rFonts w:cs="Arial"/>
                <w:sz w:val="18"/>
                <w:szCs w:val="18"/>
              </w:rPr>
            </w:pPr>
            <w:r w:rsidRPr="003633A6">
              <w:rPr>
                <w:rFonts w:cs="Arial"/>
                <w:sz w:val="18"/>
                <w:szCs w:val="18"/>
              </w:rPr>
              <w:t>2 770,1</w:t>
            </w:r>
          </w:p>
        </w:tc>
        <w:tc>
          <w:tcPr>
            <w:tcW w:w="1635" w:type="dxa"/>
            <w:tcBorders>
              <w:bottom w:val="single" w:sz="12" w:space="0" w:color="auto"/>
            </w:tcBorders>
            <w:shd w:val="clear" w:color="auto" w:fill="auto"/>
            <w:vAlign w:val="center"/>
          </w:tcPr>
          <w:p w14:paraId="3F25ABFF"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bottom w:val="single" w:sz="12" w:space="0" w:color="auto"/>
            </w:tcBorders>
            <w:shd w:val="clear" w:color="auto" w:fill="auto"/>
            <w:vAlign w:val="center"/>
          </w:tcPr>
          <w:p w14:paraId="3F25AC00" w14:textId="0F07F0B5" w:rsidR="00E01D1E" w:rsidRPr="00625741" w:rsidRDefault="00E01D1E" w:rsidP="00901313">
            <w:pPr>
              <w:ind w:right="-28"/>
              <w:jc w:val="right"/>
              <w:rPr>
                <w:rFonts w:cs="Arial"/>
                <w:sz w:val="18"/>
                <w:szCs w:val="18"/>
              </w:rPr>
            </w:pPr>
            <w:r w:rsidRPr="003633A6">
              <w:rPr>
                <w:rFonts w:cs="Arial"/>
                <w:sz w:val="18"/>
                <w:szCs w:val="18"/>
              </w:rPr>
              <w:t>992,7</w:t>
            </w:r>
            <w:r w:rsidR="00625741">
              <w:rPr>
                <w:rFonts w:cs="Arial"/>
                <w:sz w:val="18"/>
                <w:szCs w:val="18"/>
                <w:vertAlign w:val="superscript"/>
              </w:rPr>
              <w:t>(6)</w:t>
            </w:r>
          </w:p>
        </w:tc>
        <w:tc>
          <w:tcPr>
            <w:tcW w:w="1563" w:type="dxa"/>
            <w:tcBorders>
              <w:bottom w:val="single" w:sz="12" w:space="0" w:color="auto"/>
              <w:right w:val="single" w:sz="12" w:space="0" w:color="auto"/>
            </w:tcBorders>
            <w:shd w:val="clear" w:color="auto" w:fill="auto"/>
            <w:vAlign w:val="center"/>
          </w:tcPr>
          <w:p w14:paraId="3F25AC01"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C09" w14:textId="77777777" w:rsidTr="00001621">
        <w:trPr>
          <w:trHeight w:val="20"/>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C03" w14:textId="77777777" w:rsidR="00E01D1E" w:rsidRPr="003633A6" w:rsidRDefault="00E01D1E" w:rsidP="0001442A">
            <w:pPr>
              <w:rPr>
                <w:rFonts w:cs="Arial"/>
                <w:sz w:val="18"/>
                <w:szCs w:val="18"/>
              </w:rPr>
            </w:pPr>
            <w:r w:rsidRPr="003633A6">
              <w:rPr>
                <w:rFonts w:cs="Arial"/>
                <w:sz w:val="18"/>
                <w:szCs w:val="18"/>
              </w:rPr>
              <w:t>RBS-70</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C04" w14:textId="77777777" w:rsidR="00E01D1E" w:rsidRPr="003633A6" w:rsidRDefault="00E01D1E" w:rsidP="002E1200">
            <w:pPr>
              <w:ind w:right="161"/>
              <w:jc w:val="right"/>
              <w:rPr>
                <w:rFonts w:cs="Arial"/>
                <w:sz w:val="18"/>
                <w:szCs w:val="18"/>
              </w:rPr>
            </w:pPr>
            <w:r w:rsidRPr="003633A6">
              <w:rPr>
                <w:rFonts w:cs="Arial"/>
                <w:sz w:val="18"/>
                <w:szCs w:val="18"/>
              </w:rPr>
              <w:t>2</w:t>
            </w:r>
          </w:p>
        </w:tc>
        <w:tc>
          <w:tcPr>
            <w:tcW w:w="1630" w:type="dxa"/>
            <w:tcBorders>
              <w:top w:val="single" w:sz="12" w:space="0" w:color="auto"/>
              <w:left w:val="single" w:sz="12" w:space="0" w:color="auto"/>
            </w:tcBorders>
            <w:shd w:val="clear" w:color="auto" w:fill="auto"/>
            <w:vAlign w:val="center"/>
          </w:tcPr>
          <w:p w14:paraId="3F25AC05" w14:textId="1DC323A8" w:rsidR="00E01D1E" w:rsidRPr="003633A6" w:rsidRDefault="00E01D1E" w:rsidP="004C5566">
            <w:pPr>
              <w:ind w:right="95"/>
              <w:jc w:val="right"/>
              <w:rPr>
                <w:rFonts w:cs="Arial"/>
                <w:sz w:val="18"/>
                <w:szCs w:val="18"/>
              </w:rPr>
            </w:pPr>
            <w:r w:rsidRPr="003633A6">
              <w:rPr>
                <w:rFonts w:cs="Arial"/>
                <w:sz w:val="18"/>
                <w:szCs w:val="18"/>
              </w:rPr>
              <w:t>2</w:t>
            </w:r>
          </w:p>
        </w:tc>
        <w:tc>
          <w:tcPr>
            <w:tcW w:w="1635" w:type="dxa"/>
            <w:tcBorders>
              <w:top w:val="single" w:sz="12" w:space="0" w:color="auto"/>
            </w:tcBorders>
            <w:shd w:val="clear" w:color="auto" w:fill="auto"/>
            <w:vAlign w:val="center"/>
          </w:tcPr>
          <w:p w14:paraId="3F25AC06"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top w:val="single" w:sz="12" w:space="0" w:color="auto"/>
            </w:tcBorders>
            <w:shd w:val="clear" w:color="auto" w:fill="auto"/>
            <w:vAlign w:val="center"/>
          </w:tcPr>
          <w:p w14:paraId="3F25AC07" w14:textId="77777777" w:rsidR="00E01D1E" w:rsidRPr="003633A6" w:rsidRDefault="00E01D1E" w:rsidP="002E1200">
            <w:pPr>
              <w:ind w:right="137"/>
              <w:jc w:val="right"/>
              <w:rPr>
                <w:rFonts w:cs="Arial"/>
                <w:sz w:val="18"/>
                <w:szCs w:val="18"/>
              </w:rPr>
            </w:pPr>
            <w:r w:rsidRPr="003633A6">
              <w:rPr>
                <w:rFonts w:cs="Arial"/>
                <w:sz w:val="18"/>
                <w:szCs w:val="18"/>
              </w:rPr>
              <w:t>0</w:t>
            </w:r>
          </w:p>
        </w:tc>
        <w:tc>
          <w:tcPr>
            <w:tcW w:w="1563" w:type="dxa"/>
            <w:tcBorders>
              <w:top w:val="single" w:sz="12" w:space="0" w:color="auto"/>
              <w:right w:val="single" w:sz="12" w:space="0" w:color="auto"/>
            </w:tcBorders>
            <w:shd w:val="clear" w:color="auto" w:fill="auto"/>
            <w:vAlign w:val="center"/>
          </w:tcPr>
          <w:p w14:paraId="3F25AC08"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C10"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C0A" w14:textId="77777777" w:rsidR="00E01D1E" w:rsidRPr="003633A6" w:rsidRDefault="00E01D1E" w:rsidP="0001442A">
            <w:pPr>
              <w:jc w:val="right"/>
              <w:rPr>
                <w:rFonts w:cs="Arial"/>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C0B" w14:textId="77777777" w:rsidR="00E01D1E" w:rsidRPr="003633A6" w:rsidRDefault="00E01D1E" w:rsidP="002E1200">
            <w:pPr>
              <w:ind w:right="161"/>
              <w:jc w:val="right"/>
              <w:rPr>
                <w:rFonts w:cs="Arial"/>
                <w:sz w:val="18"/>
                <w:szCs w:val="18"/>
              </w:rPr>
            </w:pPr>
          </w:p>
        </w:tc>
        <w:tc>
          <w:tcPr>
            <w:tcW w:w="1630" w:type="dxa"/>
            <w:tcBorders>
              <w:left w:val="single" w:sz="12" w:space="0" w:color="auto"/>
              <w:bottom w:val="single" w:sz="12" w:space="0" w:color="auto"/>
            </w:tcBorders>
            <w:shd w:val="clear" w:color="auto" w:fill="auto"/>
            <w:vAlign w:val="center"/>
          </w:tcPr>
          <w:p w14:paraId="3F25AC0C" w14:textId="77777777" w:rsidR="00E01D1E" w:rsidRPr="003633A6" w:rsidRDefault="00E01D1E" w:rsidP="002E1200">
            <w:pPr>
              <w:ind w:right="95"/>
              <w:jc w:val="right"/>
              <w:rPr>
                <w:rFonts w:cs="Arial"/>
                <w:sz w:val="18"/>
                <w:szCs w:val="18"/>
              </w:rPr>
            </w:pPr>
            <w:r w:rsidRPr="003633A6">
              <w:rPr>
                <w:rFonts w:cs="Arial"/>
                <w:sz w:val="18"/>
                <w:szCs w:val="18"/>
              </w:rPr>
              <w:t>1 096,3</w:t>
            </w:r>
          </w:p>
        </w:tc>
        <w:tc>
          <w:tcPr>
            <w:tcW w:w="1635" w:type="dxa"/>
            <w:tcBorders>
              <w:bottom w:val="single" w:sz="12" w:space="0" w:color="auto"/>
            </w:tcBorders>
            <w:shd w:val="clear" w:color="auto" w:fill="auto"/>
            <w:vAlign w:val="center"/>
          </w:tcPr>
          <w:p w14:paraId="3F25AC0D"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bottom w:val="single" w:sz="12" w:space="0" w:color="auto"/>
            </w:tcBorders>
            <w:shd w:val="clear" w:color="auto" w:fill="auto"/>
            <w:vAlign w:val="center"/>
          </w:tcPr>
          <w:p w14:paraId="3F25AC0E" w14:textId="77777777" w:rsidR="00E01D1E" w:rsidRPr="003633A6" w:rsidRDefault="00E01D1E" w:rsidP="002E1200">
            <w:pPr>
              <w:ind w:right="137"/>
              <w:jc w:val="right"/>
              <w:rPr>
                <w:rFonts w:cs="Arial"/>
                <w:sz w:val="18"/>
                <w:szCs w:val="18"/>
              </w:rPr>
            </w:pPr>
            <w:r w:rsidRPr="003633A6">
              <w:rPr>
                <w:rFonts w:cs="Arial"/>
                <w:sz w:val="18"/>
                <w:szCs w:val="18"/>
              </w:rPr>
              <w:t>0</w:t>
            </w:r>
          </w:p>
        </w:tc>
        <w:tc>
          <w:tcPr>
            <w:tcW w:w="1563" w:type="dxa"/>
            <w:tcBorders>
              <w:bottom w:val="single" w:sz="12" w:space="0" w:color="auto"/>
              <w:right w:val="single" w:sz="12" w:space="0" w:color="auto"/>
            </w:tcBorders>
            <w:shd w:val="clear" w:color="auto" w:fill="auto"/>
            <w:vAlign w:val="center"/>
          </w:tcPr>
          <w:p w14:paraId="3F25AC0F"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C17" w14:textId="77777777" w:rsidTr="00001621">
        <w:trPr>
          <w:trHeight w:val="20"/>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C11" w14:textId="77777777" w:rsidR="00E01D1E" w:rsidRPr="003633A6" w:rsidRDefault="00E01D1E" w:rsidP="0001442A">
            <w:pPr>
              <w:rPr>
                <w:rFonts w:cs="Arial"/>
                <w:sz w:val="18"/>
                <w:szCs w:val="18"/>
              </w:rPr>
            </w:pPr>
            <w:r w:rsidRPr="003633A6">
              <w:rPr>
                <w:rFonts w:cs="Arial"/>
                <w:sz w:val="18"/>
                <w:szCs w:val="18"/>
              </w:rPr>
              <w:t>ARTHUR</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C12" w14:textId="77777777" w:rsidR="00E01D1E" w:rsidRPr="003633A6" w:rsidRDefault="00E01D1E" w:rsidP="002E1200">
            <w:pPr>
              <w:ind w:right="161"/>
              <w:jc w:val="right"/>
              <w:rPr>
                <w:rFonts w:cs="Arial"/>
                <w:sz w:val="18"/>
                <w:szCs w:val="18"/>
              </w:rPr>
            </w:pPr>
            <w:r w:rsidRPr="003633A6">
              <w:rPr>
                <w:rFonts w:cs="Arial"/>
                <w:sz w:val="18"/>
                <w:szCs w:val="18"/>
              </w:rPr>
              <w:t>6</w:t>
            </w:r>
          </w:p>
        </w:tc>
        <w:tc>
          <w:tcPr>
            <w:tcW w:w="1630" w:type="dxa"/>
            <w:tcBorders>
              <w:top w:val="single" w:sz="12" w:space="0" w:color="auto"/>
              <w:left w:val="single" w:sz="12" w:space="0" w:color="auto"/>
            </w:tcBorders>
            <w:shd w:val="clear" w:color="auto" w:fill="auto"/>
            <w:vAlign w:val="center"/>
          </w:tcPr>
          <w:p w14:paraId="3F25AC13" w14:textId="623BA524" w:rsidR="00E01D1E" w:rsidRPr="003633A6" w:rsidRDefault="00E01D1E" w:rsidP="004C5566">
            <w:pPr>
              <w:ind w:right="95"/>
              <w:jc w:val="right"/>
              <w:rPr>
                <w:rFonts w:cs="Arial"/>
                <w:sz w:val="18"/>
                <w:szCs w:val="18"/>
              </w:rPr>
            </w:pPr>
            <w:r w:rsidRPr="003633A6">
              <w:rPr>
                <w:rFonts w:cs="Arial"/>
                <w:sz w:val="18"/>
                <w:szCs w:val="18"/>
              </w:rPr>
              <w:t>5</w:t>
            </w:r>
          </w:p>
        </w:tc>
        <w:tc>
          <w:tcPr>
            <w:tcW w:w="1635" w:type="dxa"/>
            <w:tcBorders>
              <w:top w:val="single" w:sz="12" w:space="0" w:color="auto"/>
            </w:tcBorders>
            <w:shd w:val="clear" w:color="auto" w:fill="auto"/>
            <w:vAlign w:val="center"/>
          </w:tcPr>
          <w:p w14:paraId="3F25AC14"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top w:val="single" w:sz="12" w:space="0" w:color="auto"/>
            </w:tcBorders>
            <w:shd w:val="clear" w:color="auto" w:fill="auto"/>
            <w:vAlign w:val="center"/>
          </w:tcPr>
          <w:p w14:paraId="3F25AC15" w14:textId="77777777" w:rsidR="00E01D1E" w:rsidRPr="003633A6" w:rsidRDefault="00E01D1E" w:rsidP="002E1200">
            <w:pPr>
              <w:ind w:right="137"/>
              <w:jc w:val="right"/>
              <w:rPr>
                <w:rFonts w:cs="Arial"/>
                <w:sz w:val="18"/>
                <w:szCs w:val="18"/>
              </w:rPr>
            </w:pPr>
            <w:r w:rsidRPr="003633A6">
              <w:rPr>
                <w:rFonts w:cs="Arial"/>
                <w:sz w:val="18"/>
                <w:szCs w:val="18"/>
              </w:rPr>
              <w:t>1</w:t>
            </w:r>
          </w:p>
        </w:tc>
        <w:tc>
          <w:tcPr>
            <w:tcW w:w="1563" w:type="dxa"/>
            <w:tcBorders>
              <w:top w:val="single" w:sz="12" w:space="0" w:color="auto"/>
              <w:right w:val="single" w:sz="12" w:space="0" w:color="auto"/>
            </w:tcBorders>
            <w:shd w:val="clear" w:color="auto" w:fill="auto"/>
            <w:vAlign w:val="center"/>
          </w:tcPr>
          <w:p w14:paraId="3F25AC16"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C1E"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C18" w14:textId="77777777" w:rsidR="00E01D1E" w:rsidRPr="003633A6" w:rsidRDefault="00E01D1E" w:rsidP="0001442A">
            <w:pPr>
              <w:jc w:val="right"/>
              <w:rPr>
                <w:rFonts w:cs="Arial"/>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C19" w14:textId="77777777" w:rsidR="00E01D1E" w:rsidRPr="003633A6" w:rsidRDefault="00E01D1E" w:rsidP="002E1200">
            <w:pPr>
              <w:ind w:right="161"/>
              <w:jc w:val="right"/>
              <w:rPr>
                <w:rFonts w:cs="Arial"/>
                <w:sz w:val="18"/>
                <w:szCs w:val="18"/>
              </w:rPr>
            </w:pPr>
          </w:p>
        </w:tc>
        <w:tc>
          <w:tcPr>
            <w:tcW w:w="1630" w:type="dxa"/>
            <w:tcBorders>
              <w:left w:val="single" w:sz="12" w:space="0" w:color="auto"/>
              <w:bottom w:val="single" w:sz="12" w:space="0" w:color="auto"/>
            </w:tcBorders>
            <w:shd w:val="clear" w:color="auto" w:fill="auto"/>
            <w:vAlign w:val="center"/>
          </w:tcPr>
          <w:p w14:paraId="3F25AC1A" w14:textId="77777777" w:rsidR="00E01D1E" w:rsidRPr="003633A6" w:rsidRDefault="00E01D1E" w:rsidP="002E1200">
            <w:pPr>
              <w:ind w:right="95"/>
              <w:jc w:val="right"/>
              <w:rPr>
                <w:rFonts w:cs="Arial"/>
                <w:sz w:val="18"/>
                <w:szCs w:val="18"/>
              </w:rPr>
            </w:pPr>
            <w:r w:rsidRPr="003633A6">
              <w:rPr>
                <w:rFonts w:cs="Arial"/>
                <w:sz w:val="18"/>
                <w:szCs w:val="18"/>
              </w:rPr>
              <w:t>782</w:t>
            </w:r>
          </w:p>
        </w:tc>
        <w:tc>
          <w:tcPr>
            <w:tcW w:w="1635" w:type="dxa"/>
            <w:tcBorders>
              <w:bottom w:val="single" w:sz="12" w:space="0" w:color="auto"/>
            </w:tcBorders>
            <w:shd w:val="clear" w:color="auto" w:fill="auto"/>
            <w:vAlign w:val="center"/>
          </w:tcPr>
          <w:p w14:paraId="3F25AC1B" w14:textId="77777777" w:rsidR="00E01D1E" w:rsidRPr="003633A6" w:rsidRDefault="00E01D1E" w:rsidP="002E1200">
            <w:pPr>
              <w:ind w:right="171"/>
              <w:jc w:val="right"/>
              <w:rPr>
                <w:rFonts w:cs="Arial"/>
                <w:sz w:val="18"/>
                <w:szCs w:val="18"/>
              </w:rPr>
            </w:pPr>
            <w:r w:rsidRPr="003633A6">
              <w:rPr>
                <w:rFonts w:cs="Arial"/>
                <w:sz w:val="18"/>
                <w:szCs w:val="18"/>
              </w:rPr>
              <w:t>0</w:t>
            </w:r>
          </w:p>
        </w:tc>
        <w:tc>
          <w:tcPr>
            <w:tcW w:w="1667" w:type="dxa"/>
            <w:tcBorders>
              <w:bottom w:val="single" w:sz="12" w:space="0" w:color="auto"/>
            </w:tcBorders>
            <w:shd w:val="clear" w:color="auto" w:fill="auto"/>
            <w:vAlign w:val="center"/>
          </w:tcPr>
          <w:p w14:paraId="3F25AC1C" w14:textId="77777777" w:rsidR="00E01D1E" w:rsidRPr="003633A6" w:rsidRDefault="00E01D1E" w:rsidP="002E1200">
            <w:pPr>
              <w:ind w:right="137"/>
              <w:jc w:val="right"/>
              <w:rPr>
                <w:rFonts w:cs="Arial"/>
                <w:sz w:val="18"/>
                <w:szCs w:val="18"/>
              </w:rPr>
            </w:pPr>
            <w:r w:rsidRPr="003633A6">
              <w:rPr>
                <w:rFonts w:cs="Arial"/>
                <w:sz w:val="18"/>
                <w:szCs w:val="18"/>
              </w:rPr>
              <w:t>547,6</w:t>
            </w:r>
          </w:p>
        </w:tc>
        <w:tc>
          <w:tcPr>
            <w:tcW w:w="1563" w:type="dxa"/>
            <w:tcBorders>
              <w:bottom w:val="single" w:sz="12" w:space="0" w:color="auto"/>
              <w:right w:val="single" w:sz="12" w:space="0" w:color="auto"/>
            </w:tcBorders>
            <w:shd w:val="clear" w:color="auto" w:fill="auto"/>
            <w:vAlign w:val="center"/>
          </w:tcPr>
          <w:p w14:paraId="3F25AC1D"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C25" w14:textId="77777777" w:rsidTr="00001621">
        <w:trPr>
          <w:trHeight w:val="20"/>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C1F" w14:textId="77777777" w:rsidR="00E01D1E" w:rsidRPr="003633A6" w:rsidRDefault="00E01D1E" w:rsidP="0001442A">
            <w:pPr>
              <w:rPr>
                <w:rFonts w:cs="Arial"/>
                <w:sz w:val="18"/>
                <w:szCs w:val="18"/>
              </w:rPr>
            </w:pPr>
            <w:r>
              <w:rPr>
                <w:rFonts w:cs="Arial"/>
                <w:sz w:val="18"/>
                <w:szCs w:val="18"/>
              </w:rPr>
              <w:t>GRIPEN</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C20" w14:textId="77777777" w:rsidR="00E01D1E" w:rsidRPr="003633A6" w:rsidRDefault="00E01D1E" w:rsidP="002E1200">
            <w:pPr>
              <w:ind w:right="161"/>
              <w:jc w:val="right"/>
              <w:rPr>
                <w:rFonts w:cs="Arial"/>
                <w:sz w:val="18"/>
                <w:szCs w:val="18"/>
              </w:rPr>
            </w:pPr>
            <w:r w:rsidRPr="003633A6">
              <w:rPr>
                <w:rFonts w:cs="Arial"/>
                <w:sz w:val="18"/>
                <w:szCs w:val="18"/>
              </w:rPr>
              <w:t>39</w:t>
            </w:r>
          </w:p>
        </w:tc>
        <w:tc>
          <w:tcPr>
            <w:tcW w:w="1630" w:type="dxa"/>
            <w:tcBorders>
              <w:top w:val="single" w:sz="12" w:space="0" w:color="auto"/>
              <w:left w:val="single" w:sz="12" w:space="0" w:color="auto"/>
            </w:tcBorders>
            <w:shd w:val="clear" w:color="auto" w:fill="auto"/>
            <w:vAlign w:val="center"/>
          </w:tcPr>
          <w:p w14:paraId="3F25AC21" w14:textId="253B505D" w:rsidR="00E01D1E" w:rsidRPr="003633A6" w:rsidRDefault="00E01D1E" w:rsidP="004C5566">
            <w:pPr>
              <w:ind w:right="95"/>
              <w:jc w:val="right"/>
              <w:rPr>
                <w:rFonts w:cs="Arial"/>
                <w:sz w:val="18"/>
                <w:szCs w:val="18"/>
              </w:rPr>
            </w:pPr>
            <w:r w:rsidRPr="003633A6">
              <w:rPr>
                <w:rFonts w:cs="Arial"/>
                <w:sz w:val="18"/>
                <w:szCs w:val="18"/>
              </w:rPr>
              <w:t>46</w:t>
            </w:r>
          </w:p>
        </w:tc>
        <w:tc>
          <w:tcPr>
            <w:tcW w:w="1635" w:type="dxa"/>
            <w:tcBorders>
              <w:top w:val="single" w:sz="12" w:space="0" w:color="auto"/>
            </w:tcBorders>
            <w:shd w:val="clear" w:color="auto" w:fill="auto"/>
            <w:vAlign w:val="center"/>
          </w:tcPr>
          <w:p w14:paraId="3F25AC22" w14:textId="77777777" w:rsidR="00E01D1E" w:rsidRPr="003633A6" w:rsidRDefault="00E01D1E" w:rsidP="002E1200">
            <w:pPr>
              <w:ind w:right="171"/>
              <w:jc w:val="right"/>
              <w:rPr>
                <w:rFonts w:cs="Arial"/>
                <w:sz w:val="18"/>
                <w:szCs w:val="18"/>
              </w:rPr>
            </w:pPr>
            <w:r w:rsidRPr="003633A6">
              <w:rPr>
                <w:rFonts w:cs="Arial"/>
                <w:sz w:val="18"/>
                <w:szCs w:val="18"/>
              </w:rPr>
              <w:t xml:space="preserve">2 </w:t>
            </w:r>
          </w:p>
        </w:tc>
        <w:tc>
          <w:tcPr>
            <w:tcW w:w="1667" w:type="dxa"/>
            <w:tcBorders>
              <w:top w:val="single" w:sz="12" w:space="0" w:color="auto"/>
            </w:tcBorders>
            <w:shd w:val="clear" w:color="auto" w:fill="auto"/>
            <w:vAlign w:val="center"/>
          </w:tcPr>
          <w:p w14:paraId="3F25AC23" w14:textId="77777777" w:rsidR="00E01D1E" w:rsidRPr="003633A6" w:rsidRDefault="00E01D1E" w:rsidP="002E1200">
            <w:pPr>
              <w:ind w:right="137"/>
              <w:jc w:val="right"/>
              <w:rPr>
                <w:rFonts w:cs="Arial"/>
                <w:sz w:val="18"/>
                <w:szCs w:val="18"/>
              </w:rPr>
            </w:pPr>
            <w:r w:rsidRPr="003633A6">
              <w:rPr>
                <w:rFonts w:cs="Arial"/>
                <w:sz w:val="18"/>
                <w:szCs w:val="18"/>
              </w:rPr>
              <w:t>1</w:t>
            </w:r>
          </w:p>
        </w:tc>
        <w:tc>
          <w:tcPr>
            <w:tcW w:w="1563" w:type="dxa"/>
            <w:tcBorders>
              <w:top w:val="single" w:sz="12" w:space="0" w:color="auto"/>
              <w:right w:val="single" w:sz="12" w:space="0" w:color="auto"/>
            </w:tcBorders>
            <w:shd w:val="clear" w:color="auto" w:fill="auto"/>
            <w:vAlign w:val="center"/>
          </w:tcPr>
          <w:p w14:paraId="3F25AC24"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C2C"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C26" w14:textId="77777777" w:rsidR="00E01D1E" w:rsidRPr="003633A6" w:rsidRDefault="00E01D1E" w:rsidP="0001442A">
            <w:pPr>
              <w:jc w:val="right"/>
              <w:rPr>
                <w:rFonts w:cs="Arial"/>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C27" w14:textId="77777777" w:rsidR="00E01D1E" w:rsidRPr="003633A6" w:rsidRDefault="00E01D1E" w:rsidP="002E1200">
            <w:pPr>
              <w:ind w:right="161"/>
              <w:jc w:val="right"/>
              <w:rPr>
                <w:rFonts w:cs="Arial"/>
                <w:sz w:val="18"/>
                <w:szCs w:val="18"/>
              </w:rPr>
            </w:pPr>
          </w:p>
        </w:tc>
        <w:tc>
          <w:tcPr>
            <w:tcW w:w="1630" w:type="dxa"/>
            <w:tcBorders>
              <w:left w:val="single" w:sz="12" w:space="0" w:color="auto"/>
              <w:bottom w:val="single" w:sz="12" w:space="0" w:color="auto"/>
            </w:tcBorders>
            <w:shd w:val="clear" w:color="auto" w:fill="auto"/>
            <w:vAlign w:val="center"/>
          </w:tcPr>
          <w:p w14:paraId="3F25AC28" w14:textId="77777777" w:rsidR="00E01D1E" w:rsidRPr="003633A6" w:rsidRDefault="00E01D1E" w:rsidP="002E1200">
            <w:pPr>
              <w:ind w:right="95"/>
              <w:jc w:val="right"/>
              <w:rPr>
                <w:rFonts w:cs="Arial"/>
                <w:sz w:val="18"/>
                <w:szCs w:val="18"/>
              </w:rPr>
            </w:pPr>
            <w:r w:rsidRPr="003633A6">
              <w:rPr>
                <w:rFonts w:cs="Arial"/>
                <w:sz w:val="18"/>
                <w:szCs w:val="18"/>
              </w:rPr>
              <w:t>18 654,2</w:t>
            </w:r>
          </w:p>
        </w:tc>
        <w:tc>
          <w:tcPr>
            <w:tcW w:w="1635" w:type="dxa"/>
            <w:tcBorders>
              <w:bottom w:val="single" w:sz="12" w:space="0" w:color="auto"/>
            </w:tcBorders>
            <w:shd w:val="clear" w:color="auto" w:fill="auto"/>
            <w:vAlign w:val="center"/>
          </w:tcPr>
          <w:p w14:paraId="3F25AC29" w14:textId="77777777" w:rsidR="00E01D1E" w:rsidRPr="003633A6" w:rsidRDefault="00E01D1E" w:rsidP="002E1200">
            <w:pPr>
              <w:ind w:right="171"/>
              <w:jc w:val="right"/>
              <w:rPr>
                <w:rFonts w:cs="Arial"/>
                <w:sz w:val="18"/>
                <w:szCs w:val="18"/>
              </w:rPr>
            </w:pPr>
            <w:r w:rsidRPr="003633A6">
              <w:rPr>
                <w:rFonts w:cs="Arial"/>
                <w:sz w:val="18"/>
                <w:szCs w:val="18"/>
              </w:rPr>
              <w:t>6 942,3</w:t>
            </w:r>
          </w:p>
        </w:tc>
        <w:tc>
          <w:tcPr>
            <w:tcW w:w="1667" w:type="dxa"/>
            <w:tcBorders>
              <w:bottom w:val="single" w:sz="12" w:space="0" w:color="auto"/>
            </w:tcBorders>
            <w:shd w:val="clear" w:color="auto" w:fill="auto"/>
            <w:vAlign w:val="center"/>
          </w:tcPr>
          <w:p w14:paraId="3F25AC2A" w14:textId="77777777" w:rsidR="00E01D1E" w:rsidRPr="003633A6" w:rsidRDefault="00E01D1E" w:rsidP="002E1200">
            <w:pPr>
              <w:ind w:right="137"/>
              <w:jc w:val="right"/>
              <w:rPr>
                <w:rFonts w:cs="Arial"/>
                <w:sz w:val="18"/>
                <w:szCs w:val="18"/>
              </w:rPr>
            </w:pPr>
            <w:r w:rsidRPr="003633A6">
              <w:rPr>
                <w:rFonts w:cs="Arial"/>
                <w:sz w:val="18"/>
                <w:szCs w:val="18"/>
              </w:rPr>
              <w:t>10</w:t>
            </w:r>
          </w:p>
        </w:tc>
        <w:tc>
          <w:tcPr>
            <w:tcW w:w="1563" w:type="dxa"/>
            <w:tcBorders>
              <w:bottom w:val="single" w:sz="12" w:space="0" w:color="auto"/>
              <w:right w:val="single" w:sz="12" w:space="0" w:color="auto"/>
            </w:tcBorders>
            <w:shd w:val="clear" w:color="auto" w:fill="auto"/>
            <w:vAlign w:val="center"/>
          </w:tcPr>
          <w:p w14:paraId="3F25AC2B" w14:textId="77777777" w:rsidR="00E01D1E" w:rsidRPr="003633A6" w:rsidRDefault="00E01D1E" w:rsidP="002E1200">
            <w:pPr>
              <w:ind w:right="140"/>
              <w:jc w:val="right"/>
              <w:rPr>
                <w:rFonts w:cs="Arial"/>
                <w:sz w:val="18"/>
                <w:szCs w:val="18"/>
              </w:rPr>
            </w:pPr>
            <w:r w:rsidRPr="003633A6">
              <w:rPr>
                <w:rFonts w:cs="Arial"/>
                <w:sz w:val="18"/>
                <w:szCs w:val="18"/>
              </w:rPr>
              <w:t>0</w:t>
            </w:r>
          </w:p>
        </w:tc>
      </w:tr>
      <w:tr w:rsidR="00E01D1E" w:rsidRPr="006E20A1" w14:paraId="3F25AC33" w14:textId="77777777" w:rsidTr="00001621">
        <w:trPr>
          <w:trHeight w:val="20"/>
        </w:trPr>
        <w:tc>
          <w:tcPr>
            <w:tcW w:w="1487" w:type="dxa"/>
            <w:vMerge w:val="restart"/>
            <w:tcBorders>
              <w:left w:val="single" w:sz="12" w:space="0" w:color="auto"/>
              <w:right w:val="single" w:sz="12" w:space="0" w:color="auto"/>
            </w:tcBorders>
            <w:shd w:val="clear" w:color="auto" w:fill="auto"/>
            <w:vAlign w:val="center"/>
          </w:tcPr>
          <w:p w14:paraId="3F25AC2D" w14:textId="77777777" w:rsidR="00E01D1E" w:rsidRPr="00A034A3" w:rsidRDefault="00E01D1E" w:rsidP="0001442A">
            <w:pPr>
              <w:rPr>
                <w:rFonts w:cs="Arial"/>
                <w:sz w:val="18"/>
                <w:szCs w:val="18"/>
              </w:rPr>
            </w:pPr>
            <w:r w:rsidRPr="00A034A3">
              <w:rPr>
                <w:rFonts w:cs="Arial"/>
                <w:sz w:val="18"/>
                <w:szCs w:val="18"/>
              </w:rPr>
              <w:t>EUROCOPTER</w:t>
            </w:r>
          </w:p>
        </w:tc>
        <w:tc>
          <w:tcPr>
            <w:tcW w:w="1197" w:type="dxa"/>
            <w:vMerge w:val="restart"/>
            <w:tcBorders>
              <w:left w:val="single" w:sz="12" w:space="0" w:color="auto"/>
              <w:right w:val="single" w:sz="12" w:space="0" w:color="auto"/>
            </w:tcBorders>
            <w:shd w:val="clear" w:color="auto" w:fill="auto"/>
            <w:vAlign w:val="center"/>
          </w:tcPr>
          <w:p w14:paraId="3F25AC2E" w14:textId="6F86C40B" w:rsidR="00E01D1E" w:rsidRPr="002E1200" w:rsidRDefault="00E01D1E" w:rsidP="00901313">
            <w:pPr>
              <w:jc w:val="right"/>
              <w:rPr>
                <w:rFonts w:cs="Arial"/>
                <w:sz w:val="18"/>
                <w:szCs w:val="18"/>
              </w:rPr>
            </w:pPr>
            <w:r w:rsidRPr="00C756F9">
              <w:rPr>
                <w:rFonts w:cs="Arial"/>
                <w:sz w:val="18"/>
                <w:szCs w:val="18"/>
              </w:rPr>
              <w:t>11</w:t>
            </w:r>
            <w:r w:rsidR="002E1200">
              <w:rPr>
                <w:rFonts w:cs="Arial"/>
                <w:sz w:val="18"/>
                <w:szCs w:val="18"/>
                <w:vertAlign w:val="superscript"/>
              </w:rPr>
              <w:t>(2)</w:t>
            </w:r>
          </w:p>
        </w:tc>
        <w:tc>
          <w:tcPr>
            <w:tcW w:w="1630" w:type="dxa"/>
            <w:tcBorders>
              <w:top w:val="single" w:sz="12" w:space="0" w:color="auto"/>
              <w:left w:val="single" w:sz="12" w:space="0" w:color="auto"/>
              <w:bottom w:val="single" w:sz="4" w:space="0" w:color="auto"/>
            </w:tcBorders>
            <w:shd w:val="clear" w:color="auto" w:fill="auto"/>
          </w:tcPr>
          <w:p w14:paraId="3F25AC2F" w14:textId="77777777" w:rsidR="00E01D1E" w:rsidRPr="00A32CD9" w:rsidRDefault="00E01D1E" w:rsidP="002E1200">
            <w:pPr>
              <w:ind w:right="95"/>
              <w:jc w:val="right"/>
              <w:rPr>
                <w:rFonts w:cs="Arial"/>
                <w:sz w:val="18"/>
                <w:szCs w:val="18"/>
              </w:rPr>
            </w:pPr>
            <w:r w:rsidRPr="00A32CD9">
              <w:rPr>
                <w:rFonts w:cs="Arial"/>
                <w:sz w:val="18"/>
                <w:szCs w:val="18"/>
              </w:rPr>
              <w:t>10</w:t>
            </w:r>
          </w:p>
        </w:tc>
        <w:tc>
          <w:tcPr>
            <w:tcW w:w="1635" w:type="dxa"/>
            <w:tcBorders>
              <w:top w:val="single" w:sz="12" w:space="0" w:color="auto"/>
              <w:bottom w:val="single" w:sz="4" w:space="0" w:color="auto"/>
            </w:tcBorders>
            <w:shd w:val="clear" w:color="auto" w:fill="auto"/>
          </w:tcPr>
          <w:p w14:paraId="3F25AC30" w14:textId="77777777" w:rsidR="00E01D1E" w:rsidRPr="00A32CD9" w:rsidRDefault="00E01D1E" w:rsidP="002E1200">
            <w:pPr>
              <w:ind w:right="171"/>
              <w:jc w:val="right"/>
              <w:rPr>
                <w:rFonts w:cs="Arial"/>
                <w:sz w:val="18"/>
                <w:szCs w:val="18"/>
              </w:rPr>
            </w:pPr>
            <w:r w:rsidRPr="00A32CD9">
              <w:rPr>
                <w:rFonts w:cs="Arial"/>
                <w:sz w:val="18"/>
                <w:szCs w:val="18"/>
              </w:rPr>
              <w:t>0</w:t>
            </w:r>
          </w:p>
        </w:tc>
        <w:tc>
          <w:tcPr>
            <w:tcW w:w="1667" w:type="dxa"/>
            <w:tcBorders>
              <w:top w:val="single" w:sz="12" w:space="0" w:color="auto"/>
              <w:bottom w:val="single" w:sz="4" w:space="0" w:color="auto"/>
            </w:tcBorders>
            <w:shd w:val="clear" w:color="auto" w:fill="auto"/>
          </w:tcPr>
          <w:p w14:paraId="3F25AC31" w14:textId="77777777" w:rsidR="00E01D1E" w:rsidRPr="00A32CD9" w:rsidRDefault="00E01D1E" w:rsidP="002E1200">
            <w:pPr>
              <w:ind w:right="137"/>
              <w:jc w:val="right"/>
              <w:rPr>
                <w:rFonts w:cs="Arial"/>
                <w:sz w:val="18"/>
                <w:szCs w:val="18"/>
              </w:rPr>
            </w:pPr>
            <w:r w:rsidRPr="00A32CD9">
              <w:rPr>
                <w:rFonts w:cs="Arial"/>
                <w:sz w:val="18"/>
                <w:szCs w:val="18"/>
              </w:rPr>
              <w:t>1</w:t>
            </w:r>
          </w:p>
        </w:tc>
        <w:tc>
          <w:tcPr>
            <w:tcW w:w="1563" w:type="dxa"/>
            <w:tcBorders>
              <w:top w:val="single" w:sz="12" w:space="0" w:color="auto"/>
              <w:bottom w:val="single" w:sz="4" w:space="0" w:color="auto"/>
              <w:right w:val="single" w:sz="12" w:space="0" w:color="auto"/>
            </w:tcBorders>
            <w:shd w:val="clear" w:color="auto" w:fill="auto"/>
          </w:tcPr>
          <w:p w14:paraId="3F25AC32" w14:textId="77777777" w:rsidR="00E01D1E" w:rsidRPr="00A32CD9" w:rsidRDefault="00E01D1E" w:rsidP="002E1200">
            <w:pPr>
              <w:ind w:right="140"/>
              <w:jc w:val="right"/>
              <w:rPr>
                <w:rFonts w:cs="Arial"/>
                <w:sz w:val="18"/>
                <w:szCs w:val="18"/>
              </w:rPr>
            </w:pPr>
            <w:r w:rsidRPr="00A32CD9">
              <w:rPr>
                <w:rFonts w:cs="Arial"/>
                <w:sz w:val="18"/>
                <w:szCs w:val="18"/>
              </w:rPr>
              <w:t>3</w:t>
            </w:r>
          </w:p>
        </w:tc>
      </w:tr>
      <w:tr w:rsidR="00E01D1E" w:rsidRPr="006E20A1" w14:paraId="3F25AC3A"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C34" w14:textId="77777777" w:rsidR="00E01D1E" w:rsidRPr="003633A6" w:rsidRDefault="00E01D1E" w:rsidP="0001442A">
            <w:pPr>
              <w:rPr>
                <w:rFonts w:cs="Arial"/>
                <w:b/>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C35" w14:textId="77777777" w:rsidR="00E01D1E" w:rsidRPr="003633A6" w:rsidRDefault="00E01D1E" w:rsidP="002E1200">
            <w:pPr>
              <w:ind w:right="161"/>
              <w:jc w:val="right"/>
              <w:rPr>
                <w:rFonts w:cs="Arial"/>
                <w:b/>
                <w:sz w:val="18"/>
                <w:szCs w:val="18"/>
              </w:rPr>
            </w:pPr>
          </w:p>
        </w:tc>
        <w:tc>
          <w:tcPr>
            <w:tcW w:w="1630" w:type="dxa"/>
            <w:tcBorders>
              <w:top w:val="single" w:sz="4" w:space="0" w:color="auto"/>
              <w:left w:val="single" w:sz="12" w:space="0" w:color="auto"/>
              <w:bottom w:val="single" w:sz="12" w:space="0" w:color="auto"/>
            </w:tcBorders>
            <w:shd w:val="clear" w:color="auto" w:fill="auto"/>
          </w:tcPr>
          <w:p w14:paraId="3F25AC36" w14:textId="77777777" w:rsidR="00E01D1E" w:rsidRPr="00A32CD9" w:rsidRDefault="00E01D1E" w:rsidP="002E1200">
            <w:pPr>
              <w:ind w:right="95"/>
              <w:jc w:val="right"/>
              <w:rPr>
                <w:rFonts w:cs="Arial"/>
                <w:sz w:val="18"/>
                <w:szCs w:val="18"/>
              </w:rPr>
            </w:pPr>
            <w:r w:rsidRPr="00A32CD9">
              <w:rPr>
                <w:rFonts w:cs="Arial"/>
                <w:color w:val="000000"/>
                <w:sz w:val="18"/>
                <w:szCs w:val="18"/>
              </w:rPr>
              <w:t>776,5</w:t>
            </w:r>
          </w:p>
        </w:tc>
        <w:tc>
          <w:tcPr>
            <w:tcW w:w="1635" w:type="dxa"/>
            <w:tcBorders>
              <w:top w:val="single" w:sz="4" w:space="0" w:color="auto"/>
              <w:bottom w:val="single" w:sz="12" w:space="0" w:color="auto"/>
            </w:tcBorders>
            <w:shd w:val="clear" w:color="auto" w:fill="auto"/>
          </w:tcPr>
          <w:p w14:paraId="3F25AC37" w14:textId="77777777" w:rsidR="00E01D1E" w:rsidRPr="00A32CD9" w:rsidRDefault="00E01D1E" w:rsidP="002E1200">
            <w:pPr>
              <w:ind w:right="171"/>
              <w:jc w:val="right"/>
              <w:rPr>
                <w:rFonts w:cs="Arial"/>
                <w:sz w:val="18"/>
                <w:szCs w:val="18"/>
              </w:rPr>
            </w:pPr>
            <w:r w:rsidRPr="00A32CD9">
              <w:rPr>
                <w:rFonts w:cs="Arial"/>
                <w:sz w:val="18"/>
                <w:szCs w:val="18"/>
              </w:rPr>
              <w:t>0</w:t>
            </w:r>
          </w:p>
        </w:tc>
        <w:tc>
          <w:tcPr>
            <w:tcW w:w="1667" w:type="dxa"/>
            <w:tcBorders>
              <w:top w:val="single" w:sz="4" w:space="0" w:color="auto"/>
              <w:bottom w:val="single" w:sz="12" w:space="0" w:color="auto"/>
            </w:tcBorders>
            <w:shd w:val="clear" w:color="auto" w:fill="auto"/>
          </w:tcPr>
          <w:p w14:paraId="3F25AC38" w14:textId="77777777" w:rsidR="00E01D1E" w:rsidRPr="00A32CD9" w:rsidRDefault="00E01D1E" w:rsidP="002E1200">
            <w:pPr>
              <w:ind w:right="137"/>
              <w:jc w:val="right"/>
              <w:rPr>
                <w:rFonts w:cs="Arial"/>
                <w:sz w:val="18"/>
                <w:szCs w:val="18"/>
              </w:rPr>
            </w:pPr>
            <w:r w:rsidRPr="00A32CD9">
              <w:rPr>
                <w:rFonts w:cs="Arial"/>
                <w:sz w:val="18"/>
                <w:szCs w:val="18"/>
              </w:rPr>
              <w:t>180,0</w:t>
            </w:r>
          </w:p>
        </w:tc>
        <w:tc>
          <w:tcPr>
            <w:tcW w:w="1563" w:type="dxa"/>
            <w:tcBorders>
              <w:top w:val="single" w:sz="4" w:space="0" w:color="auto"/>
              <w:bottom w:val="single" w:sz="12" w:space="0" w:color="auto"/>
              <w:right w:val="single" w:sz="12" w:space="0" w:color="auto"/>
            </w:tcBorders>
            <w:shd w:val="clear" w:color="auto" w:fill="auto"/>
          </w:tcPr>
          <w:p w14:paraId="3F25AC39" w14:textId="77777777" w:rsidR="00E01D1E" w:rsidRPr="00A32CD9" w:rsidRDefault="00E01D1E" w:rsidP="002E1200">
            <w:pPr>
              <w:ind w:right="140"/>
              <w:jc w:val="right"/>
              <w:rPr>
                <w:rFonts w:cs="Arial"/>
                <w:sz w:val="18"/>
                <w:szCs w:val="18"/>
              </w:rPr>
            </w:pPr>
            <w:r w:rsidRPr="00A32CD9">
              <w:rPr>
                <w:rFonts w:cs="Arial"/>
                <w:sz w:val="18"/>
                <w:szCs w:val="18"/>
              </w:rPr>
              <w:t>210,3</w:t>
            </w:r>
          </w:p>
        </w:tc>
      </w:tr>
      <w:tr w:rsidR="00E01D1E" w:rsidRPr="006E20A1" w14:paraId="3F25AC41" w14:textId="77777777" w:rsidTr="00001621">
        <w:trPr>
          <w:trHeight w:val="20"/>
        </w:trPr>
        <w:tc>
          <w:tcPr>
            <w:tcW w:w="1487" w:type="dxa"/>
            <w:vMerge w:val="restart"/>
            <w:tcBorders>
              <w:top w:val="single" w:sz="12" w:space="0" w:color="auto"/>
              <w:left w:val="single" w:sz="12" w:space="0" w:color="auto"/>
              <w:right w:val="single" w:sz="12" w:space="0" w:color="auto"/>
            </w:tcBorders>
            <w:shd w:val="clear" w:color="auto" w:fill="auto"/>
            <w:vAlign w:val="center"/>
          </w:tcPr>
          <w:p w14:paraId="3F25AC3B" w14:textId="77777777" w:rsidR="00E01D1E" w:rsidRPr="003633A6" w:rsidRDefault="00E01D1E" w:rsidP="0001442A">
            <w:pPr>
              <w:rPr>
                <w:rFonts w:cs="Arial"/>
                <w:sz w:val="18"/>
                <w:szCs w:val="18"/>
              </w:rPr>
            </w:pPr>
            <w:r>
              <w:rPr>
                <w:rFonts w:cs="Arial"/>
                <w:sz w:val="18"/>
                <w:szCs w:val="18"/>
              </w:rPr>
              <w:t>PEGAS</w:t>
            </w:r>
          </w:p>
        </w:tc>
        <w:tc>
          <w:tcPr>
            <w:tcW w:w="1197" w:type="dxa"/>
            <w:vMerge w:val="restart"/>
            <w:tcBorders>
              <w:top w:val="single" w:sz="12" w:space="0" w:color="auto"/>
              <w:left w:val="single" w:sz="12" w:space="0" w:color="auto"/>
              <w:right w:val="single" w:sz="12" w:space="0" w:color="auto"/>
            </w:tcBorders>
            <w:shd w:val="clear" w:color="auto" w:fill="auto"/>
            <w:vAlign w:val="center"/>
          </w:tcPr>
          <w:p w14:paraId="3F25AC3C" w14:textId="201BC60C" w:rsidR="00E01D1E" w:rsidRPr="002E1200" w:rsidRDefault="00E01D1E" w:rsidP="00901313">
            <w:pPr>
              <w:jc w:val="right"/>
              <w:rPr>
                <w:rFonts w:cs="Arial"/>
                <w:sz w:val="18"/>
                <w:szCs w:val="18"/>
              </w:rPr>
            </w:pPr>
            <w:r>
              <w:rPr>
                <w:rFonts w:cs="Arial"/>
                <w:sz w:val="18"/>
                <w:szCs w:val="18"/>
              </w:rPr>
              <w:t>15</w:t>
            </w:r>
            <w:r w:rsidR="002E1200">
              <w:rPr>
                <w:rFonts w:cs="Arial"/>
                <w:sz w:val="18"/>
                <w:szCs w:val="18"/>
                <w:vertAlign w:val="superscript"/>
              </w:rPr>
              <w:t>(3)</w:t>
            </w:r>
          </w:p>
        </w:tc>
        <w:tc>
          <w:tcPr>
            <w:tcW w:w="1630" w:type="dxa"/>
            <w:tcBorders>
              <w:top w:val="single" w:sz="12" w:space="0" w:color="auto"/>
              <w:left w:val="single" w:sz="12" w:space="0" w:color="auto"/>
            </w:tcBorders>
            <w:shd w:val="clear" w:color="auto" w:fill="auto"/>
          </w:tcPr>
          <w:p w14:paraId="3F25AC3D" w14:textId="64896AFC" w:rsidR="00E01D1E" w:rsidRPr="00A32CD9" w:rsidRDefault="00E01D1E" w:rsidP="004C5566">
            <w:pPr>
              <w:ind w:right="95"/>
              <w:jc w:val="right"/>
              <w:rPr>
                <w:rFonts w:cs="Arial"/>
                <w:sz w:val="18"/>
                <w:szCs w:val="18"/>
              </w:rPr>
            </w:pPr>
            <w:r w:rsidRPr="00A32CD9">
              <w:rPr>
                <w:rFonts w:cs="Arial"/>
                <w:sz w:val="18"/>
                <w:szCs w:val="18"/>
              </w:rPr>
              <w:t>7</w:t>
            </w:r>
          </w:p>
        </w:tc>
        <w:tc>
          <w:tcPr>
            <w:tcW w:w="1635" w:type="dxa"/>
            <w:tcBorders>
              <w:top w:val="single" w:sz="12" w:space="0" w:color="auto"/>
            </w:tcBorders>
            <w:shd w:val="clear" w:color="auto" w:fill="auto"/>
          </w:tcPr>
          <w:p w14:paraId="3F25AC3E" w14:textId="77777777" w:rsidR="00E01D1E" w:rsidRPr="00A32CD9" w:rsidRDefault="00E01D1E" w:rsidP="002E1200">
            <w:pPr>
              <w:ind w:right="171"/>
              <w:jc w:val="right"/>
              <w:rPr>
                <w:rFonts w:cs="Arial"/>
                <w:sz w:val="18"/>
                <w:szCs w:val="18"/>
              </w:rPr>
            </w:pPr>
            <w:r w:rsidRPr="00A32CD9">
              <w:rPr>
                <w:rFonts w:cs="Arial"/>
                <w:sz w:val="18"/>
                <w:szCs w:val="18"/>
              </w:rPr>
              <w:t>0</w:t>
            </w:r>
          </w:p>
        </w:tc>
        <w:tc>
          <w:tcPr>
            <w:tcW w:w="1667" w:type="dxa"/>
            <w:tcBorders>
              <w:top w:val="single" w:sz="12" w:space="0" w:color="auto"/>
            </w:tcBorders>
            <w:shd w:val="clear" w:color="auto" w:fill="auto"/>
          </w:tcPr>
          <w:p w14:paraId="3F25AC3F" w14:textId="7E09100C" w:rsidR="00E01D1E" w:rsidRPr="00A32CD9" w:rsidRDefault="00E01D1E" w:rsidP="00901313">
            <w:pPr>
              <w:ind w:right="-5"/>
              <w:jc w:val="right"/>
              <w:rPr>
                <w:rFonts w:cs="Arial"/>
                <w:sz w:val="18"/>
                <w:szCs w:val="18"/>
              </w:rPr>
            </w:pPr>
            <w:r w:rsidRPr="00A32CD9">
              <w:rPr>
                <w:rFonts w:cs="Arial"/>
                <w:sz w:val="18"/>
                <w:szCs w:val="18"/>
              </w:rPr>
              <w:t>6</w:t>
            </w:r>
            <w:r w:rsidR="002E1200">
              <w:rPr>
                <w:rFonts w:cs="Arial"/>
                <w:sz w:val="18"/>
                <w:szCs w:val="18"/>
                <w:vertAlign w:val="superscript"/>
              </w:rPr>
              <w:t>(5)</w:t>
            </w:r>
          </w:p>
        </w:tc>
        <w:tc>
          <w:tcPr>
            <w:tcW w:w="1563" w:type="dxa"/>
            <w:tcBorders>
              <w:top w:val="single" w:sz="12" w:space="0" w:color="auto"/>
              <w:right w:val="single" w:sz="12" w:space="0" w:color="auto"/>
            </w:tcBorders>
            <w:shd w:val="clear" w:color="auto" w:fill="auto"/>
          </w:tcPr>
          <w:p w14:paraId="3F25AC40" w14:textId="77777777" w:rsidR="00E01D1E" w:rsidRPr="00A32CD9" w:rsidRDefault="00E01D1E" w:rsidP="002E1200">
            <w:pPr>
              <w:ind w:right="140"/>
              <w:jc w:val="right"/>
              <w:rPr>
                <w:rFonts w:cs="Arial"/>
                <w:sz w:val="18"/>
                <w:szCs w:val="18"/>
              </w:rPr>
            </w:pPr>
            <w:r w:rsidRPr="00A32CD9">
              <w:rPr>
                <w:rFonts w:cs="Arial"/>
                <w:sz w:val="18"/>
                <w:szCs w:val="18"/>
              </w:rPr>
              <w:t>3</w:t>
            </w:r>
          </w:p>
        </w:tc>
      </w:tr>
      <w:tr w:rsidR="00E01D1E" w:rsidRPr="006E20A1" w14:paraId="3F25AC48"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C42" w14:textId="77777777" w:rsidR="00E01D1E" w:rsidRPr="003633A6" w:rsidRDefault="00E01D1E" w:rsidP="0001442A">
            <w:pPr>
              <w:rPr>
                <w:rFonts w:cs="Arial"/>
                <w:b/>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C43" w14:textId="77777777" w:rsidR="00E01D1E" w:rsidRPr="003633A6" w:rsidRDefault="00E01D1E" w:rsidP="00901313">
            <w:pPr>
              <w:ind w:right="161"/>
              <w:jc w:val="right"/>
              <w:rPr>
                <w:rFonts w:cs="Arial"/>
                <w:b/>
                <w:sz w:val="18"/>
                <w:szCs w:val="18"/>
              </w:rPr>
            </w:pPr>
          </w:p>
        </w:tc>
        <w:tc>
          <w:tcPr>
            <w:tcW w:w="1630" w:type="dxa"/>
            <w:tcBorders>
              <w:top w:val="single" w:sz="4" w:space="0" w:color="auto"/>
              <w:left w:val="single" w:sz="12" w:space="0" w:color="auto"/>
              <w:bottom w:val="single" w:sz="12" w:space="0" w:color="auto"/>
            </w:tcBorders>
            <w:shd w:val="clear" w:color="auto" w:fill="auto"/>
          </w:tcPr>
          <w:p w14:paraId="3F25AC44" w14:textId="77777777" w:rsidR="00E01D1E" w:rsidRPr="00A32CD9" w:rsidRDefault="00E01D1E" w:rsidP="00901313">
            <w:pPr>
              <w:ind w:right="95"/>
              <w:jc w:val="right"/>
              <w:rPr>
                <w:rFonts w:cs="Arial"/>
                <w:sz w:val="18"/>
                <w:szCs w:val="18"/>
              </w:rPr>
            </w:pPr>
            <w:r w:rsidRPr="00A32CD9">
              <w:rPr>
                <w:rFonts w:cs="Arial"/>
                <w:sz w:val="18"/>
                <w:szCs w:val="18"/>
              </w:rPr>
              <w:t>575,8</w:t>
            </w:r>
          </w:p>
        </w:tc>
        <w:tc>
          <w:tcPr>
            <w:tcW w:w="1635" w:type="dxa"/>
            <w:tcBorders>
              <w:top w:val="single" w:sz="4" w:space="0" w:color="auto"/>
              <w:bottom w:val="single" w:sz="12" w:space="0" w:color="auto"/>
            </w:tcBorders>
            <w:shd w:val="clear" w:color="auto" w:fill="auto"/>
          </w:tcPr>
          <w:p w14:paraId="3F25AC45" w14:textId="77777777" w:rsidR="00E01D1E" w:rsidRPr="00A32CD9" w:rsidRDefault="00E01D1E" w:rsidP="002E1200">
            <w:pPr>
              <w:ind w:right="171"/>
              <w:jc w:val="right"/>
              <w:rPr>
                <w:rFonts w:cs="Arial"/>
                <w:sz w:val="18"/>
                <w:szCs w:val="18"/>
              </w:rPr>
            </w:pPr>
            <w:r w:rsidRPr="00A32CD9">
              <w:rPr>
                <w:rFonts w:cs="Arial"/>
                <w:sz w:val="18"/>
                <w:szCs w:val="18"/>
              </w:rPr>
              <w:t>0</w:t>
            </w:r>
          </w:p>
        </w:tc>
        <w:tc>
          <w:tcPr>
            <w:tcW w:w="1667" w:type="dxa"/>
            <w:tcBorders>
              <w:top w:val="single" w:sz="4" w:space="0" w:color="auto"/>
              <w:bottom w:val="single" w:sz="12" w:space="0" w:color="auto"/>
            </w:tcBorders>
            <w:shd w:val="clear" w:color="auto" w:fill="auto"/>
          </w:tcPr>
          <w:p w14:paraId="3F25AC46" w14:textId="3CB9A913" w:rsidR="00E01D1E" w:rsidRPr="00A32CD9" w:rsidRDefault="00E01D1E" w:rsidP="002E1200">
            <w:pPr>
              <w:ind w:right="137"/>
              <w:jc w:val="right"/>
              <w:rPr>
                <w:rFonts w:cs="Arial"/>
                <w:sz w:val="18"/>
                <w:szCs w:val="18"/>
              </w:rPr>
            </w:pPr>
            <w:r w:rsidRPr="00A32CD9">
              <w:rPr>
                <w:rFonts w:cs="Arial"/>
                <w:sz w:val="18"/>
                <w:szCs w:val="18"/>
              </w:rPr>
              <w:t>146,4</w:t>
            </w:r>
          </w:p>
        </w:tc>
        <w:tc>
          <w:tcPr>
            <w:tcW w:w="1563" w:type="dxa"/>
            <w:tcBorders>
              <w:top w:val="single" w:sz="4" w:space="0" w:color="auto"/>
              <w:bottom w:val="single" w:sz="12" w:space="0" w:color="auto"/>
              <w:right w:val="single" w:sz="12" w:space="0" w:color="auto"/>
            </w:tcBorders>
            <w:shd w:val="clear" w:color="auto" w:fill="auto"/>
          </w:tcPr>
          <w:p w14:paraId="3F25AC47" w14:textId="77777777" w:rsidR="00E01D1E" w:rsidRPr="00A32CD9" w:rsidRDefault="00E01D1E" w:rsidP="002E1200">
            <w:pPr>
              <w:ind w:right="140"/>
              <w:jc w:val="right"/>
              <w:rPr>
                <w:rFonts w:cs="Arial"/>
                <w:sz w:val="18"/>
                <w:szCs w:val="18"/>
              </w:rPr>
            </w:pPr>
            <w:r w:rsidRPr="00A32CD9">
              <w:rPr>
                <w:rFonts w:cs="Arial"/>
                <w:sz w:val="18"/>
                <w:szCs w:val="18"/>
              </w:rPr>
              <w:t>230,2</w:t>
            </w:r>
          </w:p>
        </w:tc>
      </w:tr>
      <w:tr w:rsidR="00E01D1E" w:rsidRPr="006E20A1" w14:paraId="3F25AC4A" w14:textId="77777777" w:rsidTr="00E01D1E">
        <w:trPr>
          <w:trHeight w:val="20"/>
        </w:trPr>
        <w:tc>
          <w:tcPr>
            <w:tcW w:w="9179" w:type="dxa"/>
            <w:gridSpan w:val="6"/>
            <w:tcBorders>
              <w:top w:val="single" w:sz="12" w:space="0" w:color="auto"/>
              <w:left w:val="single" w:sz="12" w:space="0" w:color="auto"/>
              <w:bottom w:val="single" w:sz="12" w:space="0" w:color="auto"/>
              <w:right w:val="single" w:sz="12" w:space="0" w:color="auto"/>
            </w:tcBorders>
            <w:shd w:val="pct5" w:color="auto" w:fill="auto"/>
            <w:vAlign w:val="center"/>
          </w:tcPr>
          <w:p w14:paraId="3F25AC49" w14:textId="77777777" w:rsidR="00E01D1E" w:rsidRPr="003633A6" w:rsidRDefault="00E01D1E" w:rsidP="00901313">
            <w:pPr>
              <w:ind w:right="140"/>
              <w:jc w:val="right"/>
              <w:rPr>
                <w:rFonts w:cs="Arial"/>
                <w:b/>
                <w:sz w:val="18"/>
                <w:szCs w:val="18"/>
              </w:rPr>
            </w:pPr>
          </w:p>
        </w:tc>
      </w:tr>
      <w:tr w:rsidR="00E01D1E" w:rsidRPr="006E20A1" w14:paraId="3F25AC51" w14:textId="77777777" w:rsidTr="00001621">
        <w:trPr>
          <w:trHeight w:val="20"/>
        </w:trPr>
        <w:tc>
          <w:tcPr>
            <w:tcW w:w="14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C4B" w14:textId="77777777" w:rsidR="00E01D1E" w:rsidRPr="003633A6" w:rsidRDefault="00E01D1E" w:rsidP="00901313">
            <w:pPr>
              <w:rPr>
                <w:rFonts w:cs="Arial"/>
                <w:b/>
                <w:sz w:val="18"/>
                <w:szCs w:val="18"/>
              </w:rPr>
            </w:pPr>
            <w:r>
              <w:rPr>
                <w:rFonts w:cs="Arial"/>
                <w:b/>
                <w:sz w:val="18"/>
                <w:szCs w:val="18"/>
              </w:rPr>
              <w:t>C</w:t>
            </w:r>
            <w:r w:rsidRPr="003633A6">
              <w:rPr>
                <w:rFonts w:cs="Arial"/>
                <w:b/>
                <w:sz w:val="18"/>
                <w:szCs w:val="18"/>
              </w:rPr>
              <w:t>elkem</w:t>
            </w:r>
          </w:p>
        </w:tc>
        <w:tc>
          <w:tcPr>
            <w:tcW w:w="119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25AC4C" w14:textId="77777777" w:rsidR="00E01D1E" w:rsidRPr="003633A6" w:rsidRDefault="00E01D1E" w:rsidP="00901313">
            <w:pPr>
              <w:ind w:right="161"/>
              <w:jc w:val="right"/>
              <w:rPr>
                <w:rFonts w:cs="Arial"/>
                <w:b/>
                <w:sz w:val="18"/>
                <w:szCs w:val="18"/>
              </w:rPr>
            </w:pPr>
            <w:r>
              <w:rPr>
                <w:rFonts w:cs="Arial"/>
                <w:b/>
                <w:sz w:val="18"/>
                <w:szCs w:val="18"/>
              </w:rPr>
              <w:t>124</w:t>
            </w:r>
          </w:p>
        </w:tc>
        <w:tc>
          <w:tcPr>
            <w:tcW w:w="1630" w:type="dxa"/>
            <w:tcBorders>
              <w:top w:val="single" w:sz="12" w:space="0" w:color="auto"/>
              <w:left w:val="single" w:sz="12" w:space="0" w:color="auto"/>
            </w:tcBorders>
            <w:shd w:val="clear" w:color="auto" w:fill="auto"/>
            <w:vAlign w:val="center"/>
          </w:tcPr>
          <w:p w14:paraId="3F25AC4D" w14:textId="77777777" w:rsidR="00E01D1E" w:rsidRPr="003633A6" w:rsidRDefault="00E01D1E" w:rsidP="00901313">
            <w:pPr>
              <w:ind w:right="95"/>
              <w:jc w:val="right"/>
              <w:rPr>
                <w:rFonts w:cs="Arial"/>
                <w:b/>
                <w:sz w:val="18"/>
                <w:szCs w:val="18"/>
              </w:rPr>
            </w:pPr>
            <w:r w:rsidRPr="003633A6">
              <w:rPr>
                <w:rFonts w:cs="Arial"/>
                <w:b/>
                <w:sz w:val="18"/>
                <w:szCs w:val="18"/>
              </w:rPr>
              <w:t>1</w:t>
            </w:r>
            <w:r>
              <w:rPr>
                <w:rFonts w:cs="Arial"/>
                <w:b/>
                <w:sz w:val="18"/>
                <w:szCs w:val="18"/>
              </w:rPr>
              <w:t>21</w:t>
            </w:r>
          </w:p>
        </w:tc>
        <w:tc>
          <w:tcPr>
            <w:tcW w:w="1635" w:type="dxa"/>
            <w:tcBorders>
              <w:top w:val="single" w:sz="12" w:space="0" w:color="auto"/>
            </w:tcBorders>
            <w:shd w:val="clear" w:color="auto" w:fill="auto"/>
            <w:vAlign w:val="center"/>
          </w:tcPr>
          <w:p w14:paraId="3F25AC4E" w14:textId="77777777" w:rsidR="00E01D1E" w:rsidRPr="003633A6" w:rsidRDefault="00E01D1E" w:rsidP="002E1200">
            <w:pPr>
              <w:ind w:right="171"/>
              <w:jc w:val="right"/>
              <w:rPr>
                <w:rFonts w:cs="Arial"/>
                <w:b/>
                <w:sz w:val="18"/>
                <w:szCs w:val="18"/>
              </w:rPr>
            </w:pPr>
            <w:r w:rsidRPr="003633A6">
              <w:rPr>
                <w:rFonts w:cs="Arial"/>
                <w:b/>
                <w:sz w:val="18"/>
                <w:szCs w:val="18"/>
              </w:rPr>
              <w:t>3</w:t>
            </w:r>
          </w:p>
        </w:tc>
        <w:tc>
          <w:tcPr>
            <w:tcW w:w="1667" w:type="dxa"/>
            <w:tcBorders>
              <w:top w:val="single" w:sz="12" w:space="0" w:color="auto"/>
            </w:tcBorders>
            <w:shd w:val="clear" w:color="auto" w:fill="auto"/>
            <w:vAlign w:val="center"/>
          </w:tcPr>
          <w:p w14:paraId="3F25AC4F" w14:textId="77777777" w:rsidR="00E01D1E" w:rsidRPr="003633A6" w:rsidRDefault="00E01D1E" w:rsidP="002E1200">
            <w:pPr>
              <w:ind w:right="137"/>
              <w:jc w:val="right"/>
              <w:rPr>
                <w:rFonts w:cs="Arial"/>
                <w:b/>
                <w:sz w:val="18"/>
                <w:szCs w:val="18"/>
              </w:rPr>
            </w:pPr>
            <w:r>
              <w:rPr>
                <w:rFonts w:cs="Arial"/>
                <w:b/>
                <w:sz w:val="18"/>
                <w:szCs w:val="18"/>
              </w:rPr>
              <w:t>12</w:t>
            </w:r>
          </w:p>
        </w:tc>
        <w:tc>
          <w:tcPr>
            <w:tcW w:w="1563" w:type="dxa"/>
            <w:tcBorders>
              <w:top w:val="single" w:sz="12" w:space="0" w:color="auto"/>
              <w:right w:val="single" w:sz="12" w:space="0" w:color="auto"/>
            </w:tcBorders>
            <w:shd w:val="clear" w:color="auto" w:fill="auto"/>
            <w:vAlign w:val="center"/>
          </w:tcPr>
          <w:p w14:paraId="3F25AC50" w14:textId="77777777" w:rsidR="00E01D1E" w:rsidRPr="003633A6" w:rsidRDefault="00E01D1E" w:rsidP="002E1200">
            <w:pPr>
              <w:ind w:right="140"/>
              <w:jc w:val="right"/>
              <w:rPr>
                <w:rFonts w:cs="Arial"/>
                <w:b/>
                <w:sz w:val="18"/>
                <w:szCs w:val="18"/>
              </w:rPr>
            </w:pPr>
            <w:r>
              <w:rPr>
                <w:rFonts w:cs="Arial"/>
                <w:b/>
                <w:sz w:val="18"/>
                <w:szCs w:val="18"/>
              </w:rPr>
              <w:t>11</w:t>
            </w:r>
          </w:p>
        </w:tc>
      </w:tr>
      <w:tr w:rsidR="00E01D1E" w:rsidRPr="006E20A1" w14:paraId="3F25AC58" w14:textId="77777777" w:rsidTr="00001621">
        <w:trPr>
          <w:trHeight w:val="20"/>
        </w:trPr>
        <w:tc>
          <w:tcPr>
            <w:tcW w:w="1487" w:type="dxa"/>
            <w:vMerge/>
            <w:tcBorders>
              <w:left w:val="single" w:sz="12" w:space="0" w:color="auto"/>
              <w:bottom w:val="single" w:sz="12" w:space="0" w:color="auto"/>
              <w:right w:val="single" w:sz="12" w:space="0" w:color="auto"/>
            </w:tcBorders>
            <w:shd w:val="clear" w:color="auto" w:fill="auto"/>
            <w:vAlign w:val="center"/>
          </w:tcPr>
          <w:p w14:paraId="3F25AC52" w14:textId="77777777" w:rsidR="00E01D1E" w:rsidRPr="003633A6" w:rsidRDefault="00E01D1E" w:rsidP="0001442A">
            <w:pPr>
              <w:jc w:val="right"/>
              <w:rPr>
                <w:rFonts w:cs="Arial"/>
                <w:b/>
                <w:sz w:val="18"/>
                <w:szCs w:val="18"/>
              </w:rPr>
            </w:pPr>
          </w:p>
        </w:tc>
        <w:tc>
          <w:tcPr>
            <w:tcW w:w="1197" w:type="dxa"/>
            <w:vMerge/>
            <w:tcBorders>
              <w:left w:val="single" w:sz="12" w:space="0" w:color="auto"/>
              <w:bottom w:val="single" w:sz="12" w:space="0" w:color="auto"/>
              <w:right w:val="single" w:sz="12" w:space="0" w:color="auto"/>
            </w:tcBorders>
            <w:shd w:val="clear" w:color="auto" w:fill="auto"/>
            <w:vAlign w:val="center"/>
          </w:tcPr>
          <w:p w14:paraId="3F25AC53" w14:textId="77777777" w:rsidR="00E01D1E" w:rsidRPr="003633A6" w:rsidRDefault="00E01D1E" w:rsidP="0001442A">
            <w:pPr>
              <w:jc w:val="right"/>
              <w:rPr>
                <w:rFonts w:cs="Arial"/>
                <w:b/>
                <w:sz w:val="18"/>
                <w:szCs w:val="18"/>
              </w:rPr>
            </w:pPr>
          </w:p>
        </w:tc>
        <w:tc>
          <w:tcPr>
            <w:tcW w:w="1630" w:type="dxa"/>
            <w:tcBorders>
              <w:left w:val="single" w:sz="12" w:space="0" w:color="auto"/>
              <w:bottom w:val="single" w:sz="12" w:space="0" w:color="auto"/>
            </w:tcBorders>
            <w:shd w:val="clear" w:color="auto" w:fill="auto"/>
            <w:vAlign w:val="center"/>
          </w:tcPr>
          <w:p w14:paraId="3F25AC54" w14:textId="77777777" w:rsidR="00E01D1E" w:rsidRPr="003633A6" w:rsidRDefault="00E01D1E" w:rsidP="00901313">
            <w:pPr>
              <w:ind w:right="95"/>
              <w:jc w:val="right"/>
              <w:rPr>
                <w:rFonts w:cs="Arial"/>
                <w:b/>
                <w:sz w:val="18"/>
                <w:szCs w:val="18"/>
              </w:rPr>
            </w:pPr>
            <w:r>
              <w:rPr>
                <w:rFonts w:cs="Arial"/>
                <w:b/>
                <w:sz w:val="18"/>
                <w:szCs w:val="18"/>
              </w:rPr>
              <w:t>32 799,5</w:t>
            </w:r>
          </w:p>
        </w:tc>
        <w:tc>
          <w:tcPr>
            <w:tcW w:w="1635" w:type="dxa"/>
            <w:tcBorders>
              <w:bottom w:val="single" w:sz="12" w:space="0" w:color="auto"/>
            </w:tcBorders>
            <w:shd w:val="clear" w:color="auto" w:fill="auto"/>
            <w:vAlign w:val="center"/>
          </w:tcPr>
          <w:p w14:paraId="3F25AC55" w14:textId="77777777" w:rsidR="00E01D1E" w:rsidRPr="003633A6" w:rsidRDefault="00E01D1E" w:rsidP="002E1200">
            <w:pPr>
              <w:ind w:right="171"/>
              <w:jc w:val="right"/>
              <w:rPr>
                <w:rFonts w:cs="Arial"/>
                <w:b/>
                <w:sz w:val="18"/>
                <w:szCs w:val="18"/>
              </w:rPr>
            </w:pPr>
            <w:r w:rsidRPr="003633A6">
              <w:rPr>
                <w:rFonts w:cs="Arial"/>
                <w:b/>
                <w:sz w:val="18"/>
                <w:szCs w:val="18"/>
              </w:rPr>
              <w:t>7 118,4</w:t>
            </w:r>
          </w:p>
        </w:tc>
        <w:tc>
          <w:tcPr>
            <w:tcW w:w="1667" w:type="dxa"/>
            <w:tcBorders>
              <w:bottom w:val="single" w:sz="12" w:space="0" w:color="auto"/>
            </w:tcBorders>
            <w:shd w:val="clear" w:color="auto" w:fill="auto"/>
            <w:vAlign w:val="center"/>
          </w:tcPr>
          <w:p w14:paraId="3F25AC56" w14:textId="77777777" w:rsidR="00E01D1E" w:rsidRPr="003633A6" w:rsidRDefault="00E01D1E" w:rsidP="002E1200">
            <w:pPr>
              <w:ind w:right="137"/>
              <w:jc w:val="right"/>
              <w:rPr>
                <w:rFonts w:cs="Arial"/>
                <w:b/>
                <w:sz w:val="18"/>
                <w:szCs w:val="18"/>
              </w:rPr>
            </w:pPr>
            <w:r>
              <w:rPr>
                <w:rFonts w:cs="Arial"/>
                <w:b/>
                <w:sz w:val="18"/>
                <w:szCs w:val="18"/>
              </w:rPr>
              <w:t>2 075,1</w:t>
            </w:r>
          </w:p>
        </w:tc>
        <w:tc>
          <w:tcPr>
            <w:tcW w:w="1563" w:type="dxa"/>
            <w:tcBorders>
              <w:bottom w:val="single" w:sz="12" w:space="0" w:color="auto"/>
              <w:right w:val="single" w:sz="12" w:space="0" w:color="auto"/>
            </w:tcBorders>
            <w:shd w:val="clear" w:color="auto" w:fill="auto"/>
            <w:vAlign w:val="center"/>
          </w:tcPr>
          <w:p w14:paraId="3F25AC57" w14:textId="77777777" w:rsidR="00E01D1E" w:rsidRPr="003633A6" w:rsidRDefault="00E01D1E" w:rsidP="002E1200">
            <w:pPr>
              <w:ind w:right="140"/>
              <w:jc w:val="right"/>
              <w:rPr>
                <w:rFonts w:cs="Arial"/>
                <w:b/>
                <w:sz w:val="18"/>
                <w:szCs w:val="18"/>
              </w:rPr>
            </w:pPr>
            <w:r>
              <w:rPr>
                <w:rFonts w:cs="Arial"/>
                <w:b/>
                <w:sz w:val="18"/>
                <w:szCs w:val="18"/>
              </w:rPr>
              <w:t>838,1</w:t>
            </w:r>
          </w:p>
        </w:tc>
      </w:tr>
    </w:tbl>
    <w:p w14:paraId="3F25AC59" w14:textId="39981C63" w:rsidR="00E01D1E" w:rsidRPr="00635A29" w:rsidRDefault="00E01D1E" w:rsidP="0001442A">
      <w:pPr>
        <w:spacing w:before="60"/>
        <w:rPr>
          <w:rFonts w:cs="Arial"/>
          <w:sz w:val="18"/>
          <w:szCs w:val="18"/>
        </w:rPr>
      </w:pPr>
      <w:r w:rsidRPr="00635A29">
        <w:rPr>
          <w:rFonts w:cs="Arial"/>
          <w:b/>
          <w:sz w:val="18"/>
          <w:szCs w:val="18"/>
        </w:rPr>
        <w:t>Zdroj:</w:t>
      </w:r>
      <w:r w:rsidRPr="00635A29">
        <w:rPr>
          <w:rFonts w:cs="Arial"/>
          <w:sz w:val="18"/>
          <w:szCs w:val="18"/>
        </w:rPr>
        <w:t xml:space="preserve"> </w:t>
      </w:r>
      <w:r w:rsidR="004B168E">
        <w:rPr>
          <w:rFonts w:cs="Arial"/>
          <w:sz w:val="18"/>
          <w:szCs w:val="18"/>
        </w:rPr>
        <w:t>d</w:t>
      </w:r>
      <w:r w:rsidRPr="00635A29">
        <w:rPr>
          <w:rFonts w:cs="Arial"/>
          <w:sz w:val="18"/>
          <w:szCs w:val="18"/>
        </w:rPr>
        <w:t xml:space="preserve">oklady MO a MV </w:t>
      </w:r>
    </w:p>
    <w:p w14:paraId="3F25AC5A" w14:textId="1B85DDAE" w:rsidR="00E01D1E" w:rsidRPr="00635A29" w:rsidRDefault="00E01D1E" w:rsidP="0001442A">
      <w:pPr>
        <w:jc w:val="both"/>
        <w:rPr>
          <w:rFonts w:cs="Arial"/>
          <w:sz w:val="18"/>
          <w:szCs w:val="18"/>
        </w:rPr>
      </w:pPr>
      <w:r w:rsidRPr="00635A29">
        <w:rPr>
          <w:rFonts w:cs="Arial"/>
          <w:b/>
          <w:sz w:val="18"/>
          <w:szCs w:val="18"/>
        </w:rPr>
        <w:t>Pozn</w:t>
      </w:r>
      <w:r w:rsidR="004B168E">
        <w:rPr>
          <w:rFonts w:cs="Arial"/>
          <w:b/>
          <w:sz w:val="18"/>
          <w:szCs w:val="18"/>
        </w:rPr>
        <w:t>.</w:t>
      </w:r>
      <w:r w:rsidRPr="00635A29">
        <w:rPr>
          <w:rFonts w:cs="Arial"/>
          <w:b/>
          <w:sz w:val="18"/>
          <w:szCs w:val="18"/>
        </w:rPr>
        <w:t>:</w:t>
      </w:r>
      <w:r w:rsidRPr="00635A29">
        <w:rPr>
          <w:rFonts w:cs="Arial"/>
          <w:sz w:val="18"/>
          <w:szCs w:val="18"/>
        </w:rPr>
        <w:t xml:space="preserve"> </w:t>
      </w:r>
    </w:p>
    <w:p w14:paraId="597B139A" w14:textId="4A81AC1A" w:rsidR="00625741" w:rsidRDefault="00625741" w:rsidP="00901313">
      <w:pPr>
        <w:ind w:left="426" w:hanging="426"/>
        <w:jc w:val="both"/>
        <w:rPr>
          <w:rFonts w:cs="Arial"/>
          <w:sz w:val="18"/>
          <w:szCs w:val="18"/>
        </w:rPr>
      </w:pPr>
      <w:r>
        <w:rPr>
          <w:rFonts w:cs="Arial"/>
          <w:sz w:val="18"/>
          <w:szCs w:val="18"/>
        </w:rPr>
        <w:t>(1)</w:t>
      </w:r>
      <w:r w:rsidR="00A77368">
        <w:rPr>
          <w:rFonts w:cs="Arial"/>
          <w:sz w:val="18"/>
          <w:szCs w:val="18"/>
        </w:rPr>
        <w:tab/>
      </w:r>
      <w:r w:rsidR="00E01D1E" w:rsidRPr="00635A29">
        <w:rPr>
          <w:rFonts w:cs="Arial"/>
          <w:sz w:val="18"/>
          <w:szCs w:val="18"/>
        </w:rPr>
        <w:t xml:space="preserve">U OF/311 </w:t>
      </w:r>
      <w:r>
        <w:rPr>
          <w:rFonts w:cs="Arial"/>
          <w:sz w:val="18"/>
          <w:szCs w:val="18"/>
        </w:rPr>
        <w:t xml:space="preserve">(LOV IVECO) </w:t>
      </w:r>
      <w:r w:rsidR="00E01D1E" w:rsidRPr="00635A29">
        <w:rPr>
          <w:rFonts w:cs="Arial"/>
          <w:sz w:val="18"/>
          <w:szCs w:val="18"/>
        </w:rPr>
        <w:t xml:space="preserve">je českým partnerem společnost, která je zároveň dodavatelem </w:t>
      </w:r>
      <w:r w:rsidR="004B168E">
        <w:rPr>
          <w:rFonts w:cs="Arial"/>
          <w:sz w:val="18"/>
          <w:szCs w:val="18"/>
        </w:rPr>
        <w:t>veřejné zakázky</w:t>
      </w:r>
      <w:r w:rsidR="00E01D1E" w:rsidRPr="00635A29">
        <w:rPr>
          <w:rFonts w:cs="Arial"/>
          <w:sz w:val="18"/>
          <w:szCs w:val="18"/>
        </w:rPr>
        <w:t xml:space="preserve"> a</w:t>
      </w:r>
      <w:r w:rsidR="00C75167">
        <w:rPr>
          <w:rFonts w:cs="Arial"/>
          <w:sz w:val="18"/>
          <w:szCs w:val="18"/>
        </w:rPr>
        <w:t> </w:t>
      </w:r>
      <w:r w:rsidR="00E01D1E" w:rsidRPr="00635A29">
        <w:rPr>
          <w:rFonts w:cs="Arial"/>
          <w:sz w:val="18"/>
          <w:szCs w:val="18"/>
        </w:rPr>
        <w:t>smluvní stranou offsetové dohody.</w:t>
      </w:r>
    </w:p>
    <w:p w14:paraId="0D856529" w14:textId="39F1B3D3" w:rsidR="00625741" w:rsidRDefault="00625741" w:rsidP="00901313">
      <w:pPr>
        <w:ind w:left="426" w:hanging="426"/>
        <w:jc w:val="both"/>
        <w:rPr>
          <w:rFonts w:cs="Arial"/>
          <w:sz w:val="18"/>
          <w:szCs w:val="18"/>
        </w:rPr>
      </w:pPr>
      <w:r>
        <w:rPr>
          <w:rFonts w:cs="Arial"/>
          <w:sz w:val="18"/>
          <w:szCs w:val="18"/>
        </w:rPr>
        <w:t>(2)</w:t>
      </w:r>
      <w:r>
        <w:rPr>
          <w:rFonts w:cs="Arial"/>
          <w:sz w:val="18"/>
          <w:szCs w:val="18"/>
        </w:rPr>
        <w:tab/>
        <w:t xml:space="preserve">V </w:t>
      </w:r>
      <w:r w:rsidRPr="00635A29">
        <w:rPr>
          <w:rFonts w:cs="Arial"/>
          <w:sz w:val="18"/>
          <w:szCs w:val="18"/>
        </w:rPr>
        <w:t xml:space="preserve">PPS EUROCOPTER bylo v roli českého partnera </w:t>
      </w:r>
      <w:r>
        <w:rPr>
          <w:rFonts w:cs="Arial"/>
          <w:sz w:val="18"/>
          <w:szCs w:val="18"/>
        </w:rPr>
        <w:t>offsetové transakce</w:t>
      </w:r>
      <w:r w:rsidRPr="00635A29">
        <w:rPr>
          <w:rFonts w:cs="Arial"/>
          <w:sz w:val="18"/>
          <w:szCs w:val="18"/>
        </w:rPr>
        <w:t xml:space="preserve"> i MV</w:t>
      </w:r>
      <w:r>
        <w:rPr>
          <w:rFonts w:cs="Arial"/>
          <w:sz w:val="18"/>
          <w:szCs w:val="18"/>
        </w:rPr>
        <w:t>.</w:t>
      </w:r>
      <w:r w:rsidR="00E01D1E" w:rsidRPr="00635A29">
        <w:rPr>
          <w:rFonts w:cs="Arial"/>
          <w:sz w:val="18"/>
          <w:szCs w:val="18"/>
        </w:rPr>
        <w:t xml:space="preserve"> </w:t>
      </w:r>
    </w:p>
    <w:p w14:paraId="3F25AC5B" w14:textId="2447AA62" w:rsidR="00E01D1E" w:rsidRPr="00635A29" w:rsidRDefault="00625741" w:rsidP="00901313">
      <w:pPr>
        <w:ind w:left="426" w:hanging="426"/>
        <w:jc w:val="both"/>
        <w:rPr>
          <w:rFonts w:cs="Arial"/>
          <w:sz w:val="18"/>
          <w:szCs w:val="18"/>
        </w:rPr>
      </w:pPr>
      <w:r>
        <w:rPr>
          <w:rFonts w:cs="Arial"/>
          <w:sz w:val="18"/>
          <w:szCs w:val="18"/>
        </w:rPr>
        <w:t>(3)</w:t>
      </w:r>
      <w:r>
        <w:rPr>
          <w:rFonts w:cs="Arial"/>
          <w:sz w:val="18"/>
          <w:szCs w:val="18"/>
        </w:rPr>
        <w:tab/>
      </w:r>
      <w:r w:rsidR="00E01D1E" w:rsidRPr="00635A29">
        <w:rPr>
          <w:rFonts w:cs="Arial"/>
          <w:sz w:val="18"/>
          <w:szCs w:val="18"/>
        </w:rPr>
        <w:t xml:space="preserve">V PPS PEGAS </w:t>
      </w:r>
      <w:r w:rsidRPr="00635A29">
        <w:rPr>
          <w:rFonts w:cs="Arial"/>
          <w:sz w:val="18"/>
          <w:szCs w:val="18"/>
        </w:rPr>
        <w:t xml:space="preserve">bylo v roli českého partnera </w:t>
      </w:r>
      <w:r>
        <w:rPr>
          <w:rFonts w:cs="Arial"/>
          <w:sz w:val="18"/>
          <w:szCs w:val="18"/>
        </w:rPr>
        <w:t>offsetové transakce</w:t>
      </w:r>
      <w:r w:rsidRPr="00635A29">
        <w:rPr>
          <w:rFonts w:cs="Arial"/>
          <w:sz w:val="18"/>
          <w:szCs w:val="18"/>
        </w:rPr>
        <w:t xml:space="preserve"> i MV</w:t>
      </w:r>
      <w:r>
        <w:rPr>
          <w:rFonts w:cs="Arial"/>
          <w:sz w:val="18"/>
          <w:szCs w:val="18"/>
        </w:rPr>
        <w:t>.</w:t>
      </w:r>
    </w:p>
    <w:p w14:paraId="3A2750C0" w14:textId="6C6041FF" w:rsidR="00625741" w:rsidRDefault="00625741" w:rsidP="00901313">
      <w:pPr>
        <w:ind w:left="426" w:hanging="426"/>
        <w:jc w:val="both"/>
        <w:rPr>
          <w:rFonts w:cs="Arial"/>
          <w:sz w:val="18"/>
          <w:szCs w:val="18"/>
        </w:rPr>
      </w:pPr>
      <w:r>
        <w:rPr>
          <w:rFonts w:cs="Arial"/>
          <w:sz w:val="18"/>
          <w:szCs w:val="18"/>
        </w:rPr>
        <w:t>(4)</w:t>
      </w:r>
      <w:r w:rsidR="00A77368">
        <w:rPr>
          <w:rFonts w:cs="Arial"/>
          <w:sz w:val="18"/>
          <w:szCs w:val="18"/>
        </w:rPr>
        <w:tab/>
      </w:r>
      <w:r w:rsidR="00E01D1E" w:rsidRPr="00635A29">
        <w:rPr>
          <w:rFonts w:cs="Arial"/>
          <w:sz w:val="18"/>
          <w:szCs w:val="18"/>
        </w:rPr>
        <w:t xml:space="preserve">OF/297 byla schválena </w:t>
      </w:r>
      <w:r w:rsidR="00D920E5">
        <w:rPr>
          <w:rFonts w:cs="Arial"/>
          <w:sz w:val="18"/>
          <w:szCs w:val="18"/>
        </w:rPr>
        <w:t>v </w:t>
      </w:r>
      <w:r w:rsidR="00E01D1E" w:rsidRPr="00635A29">
        <w:rPr>
          <w:rFonts w:cs="Arial"/>
          <w:sz w:val="18"/>
          <w:szCs w:val="18"/>
        </w:rPr>
        <w:t xml:space="preserve">PPS LOV IVECO s typem „ostatní </w:t>
      </w:r>
      <w:r w:rsidR="00F6465D">
        <w:rPr>
          <w:rFonts w:cs="Arial"/>
          <w:sz w:val="18"/>
          <w:szCs w:val="18"/>
        </w:rPr>
        <w:t>–</w:t>
      </w:r>
      <w:r w:rsidR="00E01D1E" w:rsidRPr="00635A29">
        <w:rPr>
          <w:rFonts w:cs="Arial"/>
          <w:sz w:val="18"/>
          <w:szCs w:val="18"/>
        </w:rPr>
        <w:t xml:space="preserve"> transfer technologií“. </w:t>
      </w:r>
    </w:p>
    <w:p w14:paraId="3F25AC5C" w14:textId="0251CD7E" w:rsidR="00E01D1E" w:rsidRPr="00635A29" w:rsidRDefault="00625741" w:rsidP="00901313">
      <w:pPr>
        <w:ind w:left="426" w:hanging="426"/>
        <w:jc w:val="both"/>
        <w:rPr>
          <w:rFonts w:cs="Arial"/>
          <w:sz w:val="18"/>
          <w:szCs w:val="18"/>
        </w:rPr>
      </w:pPr>
      <w:r>
        <w:rPr>
          <w:rFonts w:cs="Arial"/>
          <w:sz w:val="18"/>
          <w:szCs w:val="18"/>
        </w:rPr>
        <w:t>(5)</w:t>
      </w:r>
      <w:r>
        <w:rPr>
          <w:rFonts w:cs="Arial"/>
          <w:sz w:val="18"/>
          <w:szCs w:val="18"/>
        </w:rPr>
        <w:tab/>
      </w:r>
      <w:r w:rsidR="00E01D1E" w:rsidRPr="00635A29">
        <w:rPr>
          <w:rFonts w:cs="Arial"/>
          <w:sz w:val="18"/>
          <w:szCs w:val="18"/>
        </w:rPr>
        <w:t xml:space="preserve">PPS PEGAS </w:t>
      </w:r>
      <w:r w:rsidR="00F6465D">
        <w:rPr>
          <w:rFonts w:cs="Arial"/>
          <w:sz w:val="18"/>
          <w:szCs w:val="18"/>
        </w:rPr>
        <w:t>–</w:t>
      </w:r>
      <w:r w:rsidR="00E01D1E" w:rsidRPr="00635A29">
        <w:rPr>
          <w:rFonts w:cs="Arial"/>
          <w:sz w:val="18"/>
          <w:szCs w:val="18"/>
        </w:rPr>
        <w:t xml:space="preserve"> zahrnuty OF/51 a OF/52 s označením „věda a výzkum, transfer technologie a know-how“.</w:t>
      </w:r>
    </w:p>
    <w:p w14:paraId="3F25AC5D" w14:textId="3CC91760" w:rsidR="00E01D1E" w:rsidRPr="00635A29" w:rsidRDefault="00625741" w:rsidP="00901313">
      <w:pPr>
        <w:ind w:left="426" w:hanging="426"/>
        <w:rPr>
          <w:rFonts w:cs="Arial"/>
          <w:b/>
          <w:sz w:val="18"/>
          <w:szCs w:val="18"/>
        </w:rPr>
      </w:pPr>
      <w:r>
        <w:rPr>
          <w:rFonts w:cs="Arial"/>
          <w:sz w:val="18"/>
          <w:szCs w:val="18"/>
        </w:rPr>
        <w:t>(6)</w:t>
      </w:r>
      <w:r w:rsidR="00A77368">
        <w:rPr>
          <w:rFonts w:cs="Arial"/>
          <w:sz w:val="18"/>
          <w:szCs w:val="18"/>
        </w:rPr>
        <w:tab/>
      </w:r>
      <w:r w:rsidR="00E01D1E" w:rsidRPr="00635A29">
        <w:rPr>
          <w:rFonts w:cs="Arial"/>
          <w:sz w:val="18"/>
          <w:szCs w:val="18"/>
        </w:rPr>
        <w:t>Typ transakce byl u OF/262 v r. 2011 změněn na „podpora exportu“.</w:t>
      </w:r>
    </w:p>
    <w:p w14:paraId="5F8F109C" w14:textId="77777777" w:rsidR="005F0E6A" w:rsidRDefault="005F0E6A" w:rsidP="00901313">
      <w:pPr>
        <w:jc w:val="both"/>
        <w:rPr>
          <w:sz w:val="22"/>
          <w:szCs w:val="22"/>
        </w:rPr>
      </w:pPr>
    </w:p>
    <w:p w14:paraId="3F25AC5E" w14:textId="69679294" w:rsidR="00E01D1E" w:rsidRDefault="00854268" w:rsidP="006E3AD4">
      <w:pPr>
        <w:jc w:val="both"/>
        <w:rPr>
          <w:sz w:val="22"/>
          <w:szCs w:val="22"/>
        </w:rPr>
      </w:pPr>
      <w:r w:rsidRPr="00AD653F">
        <w:rPr>
          <w:sz w:val="22"/>
          <w:szCs w:val="22"/>
        </w:rPr>
        <w:t xml:space="preserve">Celkem bylo do plnění </w:t>
      </w:r>
      <w:r w:rsidR="007C48F5">
        <w:rPr>
          <w:sz w:val="22"/>
          <w:szCs w:val="22"/>
        </w:rPr>
        <w:t>147</w:t>
      </w:r>
      <w:r w:rsidR="007C48F5">
        <w:rPr>
          <w:rStyle w:val="Znakapoznpodarou"/>
          <w:sz w:val="22"/>
          <w:szCs w:val="22"/>
        </w:rPr>
        <w:footnoteReference w:id="31"/>
      </w:r>
      <w:r w:rsidR="007C48F5">
        <w:rPr>
          <w:sz w:val="22"/>
          <w:szCs w:val="22"/>
        </w:rPr>
        <w:t xml:space="preserve"> OFT u </w:t>
      </w:r>
      <w:r w:rsidRPr="00AD653F">
        <w:rPr>
          <w:sz w:val="22"/>
          <w:szCs w:val="22"/>
        </w:rPr>
        <w:t>kontrolovaných PPS zapojeno 124 českých partnerů</w:t>
      </w:r>
      <w:r w:rsidRPr="00AD653F">
        <w:rPr>
          <w:rStyle w:val="Znakapoznpodarou"/>
          <w:sz w:val="22"/>
          <w:szCs w:val="22"/>
        </w:rPr>
        <w:footnoteReference w:id="32"/>
      </w:r>
      <w:r w:rsidR="00625741">
        <w:rPr>
          <w:sz w:val="22"/>
          <w:szCs w:val="22"/>
        </w:rPr>
        <w:t>,</w:t>
      </w:r>
      <w:r w:rsidRPr="00AD653F">
        <w:rPr>
          <w:sz w:val="22"/>
          <w:szCs w:val="22"/>
        </w:rPr>
        <w:t xml:space="preserve"> včetně MV a </w:t>
      </w:r>
      <w:r w:rsidR="00AD653F" w:rsidRPr="00AD653F">
        <w:rPr>
          <w:sz w:val="22"/>
          <w:szCs w:val="22"/>
        </w:rPr>
        <w:t xml:space="preserve">státního </w:t>
      </w:r>
      <w:r w:rsidRPr="00AD653F">
        <w:rPr>
          <w:sz w:val="22"/>
          <w:szCs w:val="22"/>
        </w:rPr>
        <w:t>podniku VOP-026</w:t>
      </w:r>
      <w:r w:rsidRPr="00AD653F">
        <w:rPr>
          <w:rStyle w:val="Znakapoznpodarou"/>
          <w:sz w:val="22"/>
          <w:szCs w:val="22"/>
        </w:rPr>
        <w:footnoteReference w:id="33"/>
      </w:r>
      <w:r w:rsidR="00625741">
        <w:rPr>
          <w:sz w:val="22"/>
          <w:szCs w:val="22"/>
        </w:rPr>
        <w:t>.</w:t>
      </w:r>
      <w:r w:rsidRPr="00AD653F">
        <w:rPr>
          <w:sz w:val="22"/>
          <w:szCs w:val="22"/>
        </w:rPr>
        <w:t xml:space="preserve"> </w:t>
      </w:r>
      <w:r w:rsidRPr="00AD653F">
        <w:rPr>
          <w:color w:val="0D0D0D"/>
          <w:sz w:val="22"/>
          <w:szCs w:val="22"/>
        </w:rPr>
        <w:t>Z tabulky č. 3 je zřejmé, že výrazně převažoval typ transakce „podpora exportu“</w:t>
      </w:r>
      <w:r w:rsidR="0044188F">
        <w:rPr>
          <w:color w:val="0D0D0D"/>
          <w:sz w:val="22"/>
          <w:szCs w:val="22"/>
        </w:rPr>
        <w:t xml:space="preserve"> </w:t>
      </w:r>
      <w:r w:rsidR="0044188F" w:rsidRPr="00AD653F">
        <w:rPr>
          <w:color w:val="0D0D0D"/>
          <w:sz w:val="22"/>
          <w:szCs w:val="22"/>
        </w:rPr>
        <w:t>(</w:t>
      </w:r>
      <w:r w:rsidR="0044188F" w:rsidRPr="007C48F5">
        <w:rPr>
          <w:color w:val="0D0D0D"/>
          <w:sz w:val="22"/>
          <w:szCs w:val="22"/>
        </w:rPr>
        <w:t>82,3 %</w:t>
      </w:r>
      <w:r w:rsidR="005F17B3">
        <w:rPr>
          <w:color w:val="0D0D0D"/>
          <w:sz w:val="22"/>
          <w:szCs w:val="22"/>
        </w:rPr>
        <w:t xml:space="preserve"> případů</w:t>
      </w:r>
      <w:r w:rsidR="0044188F" w:rsidRPr="00AD653F">
        <w:rPr>
          <w:color w:val="0D0D0D"/>
          <w:sz w:val="22"/>
          <w:szCs w:val="22"/>
        </w:rPr>
        <w:t>)</w:t>
      </w:r>
      <w:r w:rsidRPr="00AD653F">
        <w:rPr>
          <w:color w:val="0D0D0D"/>
          <w:sz w:val="22"/>
          <w:szCs w:val="22"/>
        </w:rPr>
        <w:t>.</w:t>
      </w:r>
      <w:r w:rsidR="0001442A">
        <w:rPr>
          <w:color w:val="0D0D0D"/>
          <w:sz w:val="22"/>
          <w:szCs w:val="22"/>
        </w:rPr>
        <w:t xml:space="preserve"> </w:t>
      </w:r>
      <w:r w:rsidR="00625741">
        <w:rPr>
          <w:color w:val="0D0D0D"/>
          <w:sz w:val="22"/>
          <w:szCs w:val="22"/>
        </w:rPr>
        <w:t>„</w:t>
      </w:r>
      <w:r w:rsidRPr="00AD653F">
        <w:rPr>
          <w:color w:val="0D0D0D"/>
          <w:sz w:val="22"/>
          <w:szCs w:val="22"/>
        </w:rPr>
        <w:t>Přímé zahraniční investice“ byly uplatněny pouze ve třech případech. „Transfery technologií“ byly použity v 12 případech a</w:t>
      </w:r>
      <w:r w:rsidR="00625741">
        <w:rPr>
          <w:color w:val="0D0D0D"/>
          <w:sz w:val="22"/>
          <w:szCs w:val="22"/>
        </w:rPr>
        <w:t> </w:t>
      </w:r>
      <w:r w:rsidRPr="00AD653F">
        <w:rPr>
          <w:color w:val="0D0D0D"/>
          <w:sz w:val="22"/>
          <w:szCs w:val="22"/>
        </w:rPr>
        <w:t xml:space="preserve">OFT označené jako „ostatní“ byly realizovány </w:t>
      </w:r>
      <w:r w:rsidR="00D920E5">
        <w:rPr>
          <w:color w:val="0D0D0D"/>
          <w:sz w:val="22"/>
          <w:szCs w:val="22"/>
        </w:rPr>
        <w:t>v </w:t>
      </w:r>
      <w:r w:rsidRPr="00AD653F">
        <w:rPr>
          <w:color w:val="0D0D0D"/>
          <w:sz w:val="22"/>
          <w:szCs w:val="22"/>
        </w:rPr>
        <w:t>11 případech</w:t>
      </w:r>
      <w:r w:rsidR="00D03D52">
        <w:rPr>
          <w:color w:val="0D0D0D"/>
          <w:sz w:val="22"/>
          <w:szCs w:val="22"/>
        </w:rPr>
        <w:t>.</w:t>
      </w:r>
      <w:r w:rsidRPr="00AD653F">
        <w:rPr>
          <w:color w:val="0D0D0D"/>
          <w:sz w:val="22"/>
          <w:szCs w:val="22"/>
        </w:rPr>
        <w:t xml:space="preserve"> </w:t>
      </w:r>
      <w:r w:rsidRPr="00AD653F">
        <w:rPr>
          <w:sz w:val="22"/>
          <w:szCs w:val="22"/>
        </w:rPr>
        <w:t>NKÚ kontrolou ověřil, že u</w:t>
      </w:r>
      <w:r w:rsidR="0001442A">
        <w:rPr>
          <w:sz w:val="22"/>
          <w:szCs w:val="22"/>
        </w:rPr>
        <w:t> </w:t>
      </w:r>
      <w:r w:rsidRPr="00AD653F">
        <w:rPr>
          <w:sz w:val="22"/>
          <w:szCs w:val="22"/>
        </w:rPr>
        <w:t>některých offsetových transakcí typu „podpora exportu“</w:t>
      </w:r>
      <w:r w:rsidR="00625741">
        <w:rPr>
          <w:sz w:val="22"/>
          <w:szCs w:val="22"/>
        </w:rPr>
        <w:t>,</w:t>
      </w:r>
      <w:r w:rsidRPr="00AD653F">
        <w:rPr>
          <w:sz w:val="22"/>
          <w:szCs w:val="22"/>
        </w:rPr>
        <w:t xml:space="preserve"> </w:t>
      </w:r>
      <w:r w:rsidR="00AA31CC">
        <w:rPr>
          <w:sz w:val="22"/>
          <w:szCs w:val="22"/>
        </w:rPr>
        <w:t>vč.</w:t>
      </w:r>
      <w:r w:rsidR="00AA31CC" w:rsidRPr="00AD653F">
        <w:rPr>
          <w:sz w:val="22"/>
          <w:szCs w:val="22"/>
        </w:rPr>
        <w:t xml:space="preserve"> </w:t>
      </w:r>
      <w:r w:rsidR="00AA31CC">
        <w:rPr>
          <w:sz w:val="22"/>
          <w:szCs w:val="22"/>
        </w:rPr>
        <w:t xml:space="preserve">případů </w:t>
      </w:r>
      <w:r w:rsidR="00AA31CC" w:rsidRPr="00AD653F">
        <w:rPr>
          <w:sz w:val="22"/>
          <w:szCs w:val="22"/>
        </w:rPr>
        <w:t>aplikovaného „mechanismu měření A“</w:t>
      </w:r>
      <w:r w:rsidR="009C2A06">
        <w:rPr>
          <w:sz w:val="22"/>
          <w:szCs w:val="22"/>
        </w:rPr>
        <w:t xml:space="preserve"> (viz</w:t>
      </w:r>
      <w:r w:rsidR="001F297B">
        <w:rPr>
          <w:sz w:val="22"/>
          <w:szCs w:val="22"/>
        </w:rPr>
        <w:t xml:space="preserve"> </w:t>
      </w:r>
      <w:r w:rsidR="009C2A06">
        <w:rPr>
          <w:sz w:val="22"/>
          <w:szCs w:val="22"/>
        </w:rPr>
        <w:t>příloha č. 1)</w:t>
      </w:r>
      <w:r w:rsidR="00625741">
        <w:rPr>
          <w:sz w:val="22"/>
          <w:szCs w:val="22"/>
        </w:rPr>
        <w:t>,</w:t>
      </w:r>
      <w:r w:rsidR="00AA31CC">
        <w:rPr>
          <w:rStyle w:val="Znakapoznpodarou"/>
          <w:sz w:val="22"/>
          <w:szCs w:val="22"/>
        </w:rPr>
        <w:t xml:space="preserve"> </w:t>
      </w:r>
      <w:r w:rsidRPr="00AD653F">
        <w:rPr>
          <w:sz w:val="22"/>
          <w:szCs w:val="22"/>
        </w:rPr>
        <w:t>charakter plněné offsetové transakce fakticky exportu</w:t>
      </w:r>
      <w:r w:rsidR="00AA31CC">
        <w:rPr>
          <w:sz w:val="22"/>
          <w:szCs w:val="22"/>
        </w:rPr>
        <w:t xml:space="preserve"> </w:t>
      </w:r>
      <w:r w:rsidR="00AA31CC" w:rsidRPr="00AD653F">
        <w:rPr>
          <w:sz w:val="22"/>
          <w:szCs w:val="22"/>
        </w:rPr>
        <w:t>neodpovíd</w:t>
      </w:r>
      <w:r w:rsidR="00AA31CC">
        <w:rPr>
          <w:sz w:val="22"/>
          <w:szCs w:val="22"/>
        </w:rPr>
        <w:t>al, jednalo se např. o dodávky na tuzemský trh.</w:t>
      </w:r>
    </w:p>
    <w:p w14:paraId="0E7D24D0" w14:textId="77777777" w:rsidR="005F0E6A" w:rsidRDefault="005F0E6A" w:rsidP="006E3AD4">
      <w:pPr>
        <w:jc w:val="both"/>
        <w:rPr>
          <w:rFonts w:cs="Arial"/>
          <w:sz w:val="22"/>
          <w:szCs w:val="22"/>
        </w:rPr>
      </w:pPr>
    </w:p>
    <w:p w14:paraId="3F25AC5F" w14:textId="55AF032E" w:rsidR="00AA31CC" w:rsidRPr="00E01D1E" w:rsidRDefault="00060A24" w:rsidP="006E3AD4">
      <w:pPr>
        <w:jc w:val="both"/>
        <w:rPr>
          <w:sz w:val="22"/>
          <w:szCs w:val="22"/>
        </w:rPr>
      </w:pPr>
      <w:r>
        <w:rPr>
          <w:rFonts w:cs="Arial"/>
          <w:sz w:val="22"/>
          <w:szCs w:val="22"/>
        </w:rPr>
        <w:lastRenderedPageBreak/>
        <w:t xml:space="preserve">NKÚ </w:t>
      </w:r>
      <w:r w:rsidR="001F60CB">
        <w:rPr>
          <w:rFonts w:cs="Arial"/>
          <w:sz w:val="22"/>
          <w:szCs w:val="22"/>
        </w:rPr>
        <w:t>z 61 OFT vybraných ke kontrole</w:t>
      </w:r>
      <w:r w:rsidR="001F60CB">
        <w:rPr>
          <w:rStyle w:val="Znakapoznpodarou"/>
          <w:rFonts w:cs="Arial"/>
          <w:sz w:val="22"/>
          <w:szCs w:val="22"/>
        </w:rPr>
        <w:footnoteReference w:id="34"/>
      </w:r>
      <w:r w:rsidR="001F60CB">
        <w:rPr>
          <w:rFonts w:cs="Arial"/>
          <w:sz w:val="22"/>
          <w:szCs w:val="22"/>
        </w:rPr>
        <w:t xml:space="preserve"> ověřil </w:t>
      </w:r>
      <w:r>
        <w:rPr>
          <w:rFonts w:cs="Arial"/>
          <w:sz w:val="22"/>
          <w:szCs w:val="22"/>
        </w:rPr>
        <w:t>u orgánů celní a daňové správy statistické výkazy u 47 OFT</w:t>
      </w:r>
      <w:r w:rsidR="009C2A06">
        <w:rPr>
          <w:rFonts w:cs="Arial"/>
          <w:sz w:val="22"/>
          <w:szCs w:val="22"/>
        </w:rPr>
        <w:t xml:space="preserve"> v celkové hodnotě 8 870,2 mil. Kč (tj. 38,8 % z celkového počtu všech OFT vykazovaných jako „podpora exportu“ nebo „export“).</w:t>
      </w:r>
      <w:r>
        <w:rPr>
          <w:rFonts w:cs="Arial"/>
          <w:sz w:val="22"/>
          <w:szCs w:val="22"/>
        </w:rPr>
        <w:t xml:space="preserve"> Novost OFT </w:t>
      </w:r>
      <w:r w:rsidR="00C908A6">
        <w:rPr>
          <w:rFonts w:cs="Arial"/>
          <w:sz w:val="22"/>
          <w:szCs w:val="22"/>
        </w:rPr>
        <w:t xml:space="preserve">stejně jako kauzalitu </w:t>
      </w:r>
      <w:r>
        <w:rPr>
          <w:rFonts w:cs="Arial"/>
          <w:sz w:val="22"/>
          <w:szCs w:val="22"/>
        </w:rPr>
        <w:t>v řadě případů u předkládaných návrhů OFT MPO ani OFK nezkoumaly.</w:t>
      </w:r>
      <w:r w:rsidR="0001442A">
        <w:rPr>
          <w:rFonts w:cs="Arial"/>
          <w:sz w:val="22"/>
          <w:szCs w:val="22"/>
        </w:rPr>
        <w:t xml:space="preserve"> </w:t>
      </w:r>
      <w:r>
        <w:rPr>
          <w:rFonts w:cs="Arial"/>
          <w:sz w:val="22"/>
          <w:szCs w:val="22"/>
        </w:rPr>
        <w:t>Při</w:t>
      </w:r>
      <w:r w:rsidR="0001442A">
        <w:rPr>
          <w:rFonts w:cs="Arial"/>
          <w:sz w:val="22"/>
          <w:szCs w:val="22"/>
        </w:rPr>
        <w:t xml:space="preserve"> </w:t>
      </w:r>
      <w:r>
        <w:rPr>
          <w:rFonts w:cs="Arial"/>
          <w:sz w:val="22"/>
          <w:szCs w:val="22"/>
        </w:rPr>
        <w:t xml:space="preserve">porovnání údajů zjištěných u MPO, MO a MV s údaji od orgánů celní a daňové správy je novost zpochybnitelná u 17 OFT, naopak u 30 OFT je možné potvrdit, že se jedná o nové trhy nebo markantní nárůst exportu/vývozu. </w:t>
      </w:r>
    </w:p>
    <w:p w14:paraId="71FA07DE" w14:textId="77777777" w:rsidR="005F0E6A" w:rsidRDefault="005F0E6A" w:rsidP="006E3AD4">
      <w:pPr>
        <w:jc w:val="both"/>
        <w:rPr>
          <w:rFonts w:cs="Arial"/>
          <w:sz w:val="22"/>
          <w:szCs w:val="22"/>
        </w:rPr>
      </w:pPr>
    </w:p>
    <w:p w14:paraId="3F25AC60" w14:textId="141AD174" w:rsidR="00AA31CC" w:rsidRDefault="00AA31CC" w:rsidP="006E3AD4">
      <w:pPr>
        <w:jc w:val="both"/>
        <w:rPr>
          <w:rFonts w:cs="Arial"/>
          <w:sz w:val="22"/>
          <w:szCs w:val="22"/>
        </w:rPr>
      </w:pPr>
      <w:r>
        <w:rPr>
          <w:rFonts w:cs="Arial"/>
          <w:sz w:val="22"/>
          <w:szCs w:val="22"/>
        </w:rPr>
        <w:t xml:space="preserve">Ze zkoumaného vzorku OFT </w:t>
      </w:r>
      <w:r w:rsidR="002F6EC3">
        <w:rPr>
          <w:rFonts w:cs="Arial"/>
          <w:sz w:val="22"/>
          <w:szCs w:val="22"/>
        </w:rPr>
        <w:t xml:space="preserve">byla převážná část (přibližně 84 % </w:t>
      </w:r>
      <w:r w:rsidR="00D920E5">
        <w:rPr>
          <w:rFonts w:cs="Arial"/>
          <w:sz w:val="22"/>
          <w:szCs w:val="22"/>
        </w:rPr>
        <w:t>z </w:t>
      </w:r>
      <w:r w:rsidR="002F6EC3">
        <w:rPr>
          <w:rFonts w:cs="Arial"/>
          <w:sz w:val="22"/>
          <w:szCs w:val="22"/>
        </w:rPr>
        <w:t>objemu hodnoty těchto OFT</w:t>
      </w:r>
      <w:r w:rsidR="00B832F4">
        <w:rPr>
          <w:rFonts w:cs="Arial"/>
          <w:sz w:val="22"/>
          <w:szCs w:val="22"/>
        </w:rPr>
        <w:t>)</w:t>
      </w:r>
      <w:r w:rsidR="002F6EC3">
        <w:rPr>
          <w:rFonts w:cs="Arial"/>
          <w:sz w:val="22"/>
          <w:szCs w:val="22"/>
        </w:rPr>
        <w:t xml:space="preserve"> realizována se zahraničními partnery v EU. V ostatních případech se jednalo o</w:t>
      </w:r>
      <w:r w:rsidR="000224C5">
        <w:rPr>
          <w:rFonts w:cs="Arial"/>
          <w:sz w:val="22"/>
          <w:szCs w:val="22"/>
        </w:rPr>
        <w:t> </w:t>
      </w:r>
      <w:r w:rsidR="002F6EC3">
        <w:rPr>
          <w:rFonts w:cs="Arial"/>
          <w:sz w:val="22"/>
          <w:szCs w:val="22"/>
        </w:rPr>
        <w:t>zahraniční partnery z dalších evropských i neevropských států (přibližně 10 %</w:t>
      </w:r>
      <w:r w:rsidR="00F6465D">
        <w:rPr>
          <w:rFonts w:cs="Arial"/>
          <w:sz w:val="22"/>
          <w:szCs w:val="22"/>
        </w:rPr>
        <w:t>,</w:t>
      </w:r>
      <w:r w:rsidR="002F6EC3">
        <w:rPr>
          <w:rFonts w:cs="Arial"/>
          <w:sz w:val="22"/>
          <w:szCs w:val="22"/>
        </w:rPr>
        <w:t xml:space="preserve"> resp. 6 %). </w:t>
      </w:r>
    </w:p>
    <w:p w14:paraId="200CB45B" w14:textId="77777777" w:rsidR="005F0E6A" w:rsidRDefault="005F0E6A" w:rsidP="006E3AD4">
      <w:pPr>
        <w:jc w:val="both"/>
        <w:rPr>
          <w:rFonts w:cs="Arial"/>
          <w:sz w:val="22"/>
          <w:szCs w:val="22"/>
        </w:rPr>
      </w:pPr>
    </w:p>
    <w:p w14:paraId="3F25AC61" w14:textId="19DCFFFB" w:rsidR="00A241A4" w:rsidRPr="0001442A" w:rsidRDefault="00A241A4" w:rsidP="006E3AD4">
      <w:pPr>
        <w:pStyle w:val="Nadpis2"/>
        <w:spacing w:before="0"/>
        <w:ind w:left="-142" w:firstLine="142"/>
        <w:rPr>
          <w:sz w:val="22"/>
          <w:szCs w:val="22"/>
        </w:rPr>
      </w:pPr>
      <w:r w:rsidRPr="0001442A">
        <w:rPr>
          <w:sz w:val="22"/>
          <w:szCs w:val="22"/>
        </w:rPr>
        <w:t>4.</w:t>
      </w:r>
      <w:r w:rsidR="005A1F7E" w:rsidRPr="0001442A">
        <w:rPr>
          <w:sz w:val="22"/>
          <w:szCs w:val="22"/>
        </w:rPr>
        <w:t>2</w:t>
      </w:r>
      <w:r w:rsidRPr="0001442A">
        <w:rPr>
          <w:sz w:val="22"/>
          <w:szCs w:val="22"/>
        </w:rPr>
        <w:t xml:space="preserve"> Nedostatky </w:t>
      </w:r>
      <w:r w:rsidR="004C5566">
        <w:rPr>
          <w:sz w:val="22"/>
          <w:szCs w:val="22"/>
        </w:rPr>
        <w:t>v</w:t>
      </w:r>
      <w:r w:rsidRPr="0001442A">
        <w:rPr>
          <w:sz w:val="22"/>
          <w:szCs w:val="22"/>
        </w:rPr>
        <w:t xml:space="preserve"> uzn</w:t>
      </w:r>
      <w:r w:rsidR="004C5566">
        <w:rPr>
          <w:sz w:val="22"/>
          <w:szCs w:val="22"/>
        </w:rPr>
        <w:t>ávání hodnot</w:t>
      </w:r>
      <w:r w:rsidRPr="0001442A">
        <w:rPr>
          <w:sz w:val="22"/>
          <w:szCs w:val="22"/>
        </w:rPr>
        <w:t xml:space="preserve"> plnění OFT u MO</w:t>
      </w:r>
      <w:r w:rsidR="0099281A" w:rsidRPr="0001442A">
        <w:rPr>
          <w:sz w:val="22"/>
          <w:szCs w:val="22"/>
        </w:rPr>
        <w:t xml:space="preserve"> a MV</w:t>
      </w:r>
    </w:p>
    <w:p w14:paraId="3F25AC62" w14:textId="4E5504BE" w:rsidR="00A241A4" w:rsidRDefault="00A241A4" w:rsidP="006E3AD4">
      <w:pPr>
        <w:autoSpaceDE w:val="0"/>
        <w:autoSpaceDN w:val="0"/>
        <w:adjustRightInd w:val="0"/>
        <w:jc w:val="both"/>
        <w:rPr>
          <w:rFonts w:cs="Arial"/>
          <w:sz w:val="22"/>
          <w:szCs w:val="22"/>
        </w:rPr>
      </w:pPr>
      <w:r w:rsidRPr="0045372B">
        <w:rPr>
          <w:rFonts w:cs="Arial"/>
          <w:sz w:val="22"/>
          <w:szCs w:val="22"/>
        </w:rPr>
        <w:t xml:space="preserve">U jednotlivých PPS byly zjištěny různé typy nedostatků, </w:t>
      </w:r>
      <w:r w:rsidR="004C5566">
        <w:rPr>
          <w:rFonts w:cs="Arial"/>
          <w:sz w:val="22"/>
          <w:szCs w:val="22"/>
        </w:rPr>
        <w:t>jež</w:t>
      </w:r>
      <w:r w:rsidRPr="0045372B">
        <w:rPr>
          <w:rFonts w:cs="Arial"/>
          <w:sz w:val="22"/>
          <w:szCs w:val="22"/>
        </w:rPr>
        <w:t xml:space="preserve"> v některých případech představují nesprávně uznanou hodnotu vykázaného plnění příslušných OFT. Souhrn</w:t>
      </w:r>
      <w:r w:rsidR="00EB260E" w:rsidRPr="0045372B">
        <w:rPr>
          <w:rFonts w:cs="Arial"/>
          <w:sz w:val="22"/>
          <w:szCs w:val="22"/>
        </w:rPr>
        <w:t>n</w:t>
      </w:r>
      <w:r w:rsidRPr="0045372B">
        <w:rPr>
          <w:rFonts w:cs="Arial"/>
          <w:sz w:val="22"/>
          <w:szCs w:val="22"/>
        </w:rPr>
        <w:t xml:space="preserve">ě za jednotlivé PPS jsou </w:t>
      </w:r>
      <w:r w:rsidR="005A1F7E">
        <w:rPr>
          <w:rFonts w:cs="Arial"/>
          <w:sz w:val="22"/>
          <w:szCs w:val="22"/>
        </w:rPr>
        <w:t xml:space="preserve">nesprávně uznané hodnoty </w:t>
      </w:r>
      <w:r w:rsidRPr="0045372B">
        <w:rPr>
          <w:rFonts w:cs="Arial"/>
          <w:sz w:val="22"/>
          <w:szCs w:val="22"/>
        </w:rPr>
        <w:t xml:space="preserve">uvedeny v následující tabulce </w:t>
      </w:r>
      <w:r w:rsidR="004C5566">
        <w:rPr>
          <w:rFonts w:cs="Arial"/>
          <w:sz w:val="22"/>
          <w:szCs w:val="22"/>
        </w:rPr>
        <w:t>(</w:t>
      </w:r>
      <w:r w:rsidRPr="0045372B">
        <w:rPr>
          <w:rFonts w:cs="Arial"/>
          <w:sz w:val="22"/>
          <w:szCs w:val="22"/>
        </w:rPr>
        <w:t xml:space="preserve">č. </w:t>
      </w:r>
      <w:r w:rsidR="000972DB">
        <w:rPr>
          <w:rFonts w:cs="Arial"/>
          <w:sz w:val="22"/>
          <w:szCs w:val="22"/>
        </w:rPr>
        <w:t>4</w:t>
      </w:r>
      <w:r w:rsidR="004C5566">
        <w:rPr>
          <w:rFonts w:cs="Arial"/>
          <w:sz w:val="22"/>
          <w:szCs w:val="22"/>
        </w:rPr>
        <w:t>).</w:t>
      </w:r>
    </w:p>
    <w:p w14:paraId="3F25AC63" w14:textId="77777777" w:rsidR="00F6465D" w:rsidRDefault="00F6465D" w:rsidP="0001442A">
      <w:pPr>
        <w:autoSpaceDE w:val="0"/>
        <w:autoSpaceDN w:val="0"/>
        <w:adjustRightInd w:val="0"/>
        <w:spacing w:before="40"/>
        <w:jc w:val="both"/>
        <w:rPr>
          <w:rFonts w:cs="Arial"/>
          <w:sz w:val="22"/>
          <w:szCs w:val="22"/>
        </w:rPr>
      </w:pPr>
    </w:p>
    <w:p w14:paraId="3F25AC64" w14:textId="2EA3CE95" w:rsidR="00EB260E" w:rsidRDefault="00EB260E" w:rsidP="006E3AD4">
      <w:pPr>
        <w:ind w:left="1531" w:right="-142" w:hanging="1531"/>
        <w:rPr>
          <w:rFonts w:cs="Arial"/>
          <w:b/>
          <w:sz w:val="22"/>
          <w:szCs w:val="22"/>
        </w:rPr>
      </w:pPr>
      <w:r w:rsidRPr="00A77368">
        <w:rPr>
          <w:rFonts w:cs="Arial"/>
          <w:b/>
          <w:sz w:val="22"/>
          <w:szCs w:val="22"/>
        </w:rPr>
        <w:t xml:space="preserve">Tabulka č. </w:t>
      </w:r>
      <w:r w:rsidR="000972DB" w:rsidRPr="00A77368">
        <w:rPr>
          <w:rFonts w:cs="Arial"/>
          <w:b/>
          <w:sz w:val="22"/>
          <w:szCs w:val="22"/>
        </w:rPr>
        <w:t>4</w:t>
      </w:r>
      <w:r w:rsidRPr="00A77368">
        <w:rPr>
          <w:rFonts w:cs="Arial"/>
          <w:b/>
          <w:sz w:val="22"/>
          <w:szCs w:val="22"/>
        </w:rPr>
        <w:t xml:space="preserve"> </w:t>
      </w:r>
      <w:r w:rsidR="004C5566">
        <w:rPr>
          <w:rFonts w:cs="Arial"/>
          <w:b/>
          <w:sz w:val="22"/>
          <w:szCs w:val="22"/>
        </w:rPr>
        <w:t xml:space="preserve">– </w:t>
      </w:r>
      <w:r w:rsidRPr="00A77368">
        <w:rPr>
          <w:rFonts w:cs="Arial"/>
          <w:b/>
          <w:sz w:val="22"/>
          <w:szCs w:val="22"/>
        </w:rPr>
        <w:t xml:space="preserve">Objem zjištěných nedostatků z hlediska správnosti uznaného plnění </w:t>
      </w:r>
      <w:r w:rsidR="00060A24" w:rsidRPr="00A77368">
        <w:rPr>
          <w:rFonts w:cs="Arial"/>
          <w:b/>
          <w:sz w:val="22"/>
          <w:szCs w:val="22"/>
        </w:rPr>
        <w:t>v</w:t>
      </w:r>
      <w:r w:rsidR="004C5566">
        <w:rPr>
          <w:rFonts w:cs="Arial"/>
          <w:b/>
          <w:sz w:val="22"/>
          <w:szCs w:val="22"/>
        </w:rPr>
        <w:t> </w:t>
      </w:r>
      <w:r w:rsidRPr="00A77368">
        <w:rPr>
          <w:rFonts w:cs="Arial"/>
          <w:b/>
          <w:sz w:val="22"/>
          <w:szCs w:val="22"/>
        </w:rPr>
        <w:t xml:space="preserve">PPS </w:t>
      </w:r>
    </w:p>
    <w:tbl>
      <w:tblPr>
        <w:tblW w:w="86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8"/>
        <w:gridCol w:w="2835"/>
        <w:gridCol w:w="3260"/>
      </w:tblGrid>
      <w:tr w:rsidR="005A1F7E" w:rsidRPr="0076434B" w14:paraId="3F25AC6A" w14:textId="77777777" w:rsidTr="007C66B7">
        <w:trPr>
          <w:trHeight w:val="317"/>
        </w:trPr>
        <w:tc>
          <w:tcPr>
            <w:tcW w:w="2518" w:type="dxa"/>
            <w:vMerge w:val="restart"/>
            <w:tcBorders>
              <w:top w:val="single" w:sz="12" w:space="0" w:color="auto"/>
            </w:tcBorders>
            <w:shd w:val="clear" w:color="auto" w:fill="B8CCE4" w:themeFill="accent1" w:themeFillTint="66"/>
            <w:vAlign w:val="center"/>
          </w:tcPr>
          <w:p w14:paraId="3F25AC66" w14:textId="77777777" w:rsidR="005A1F7E" w:rsidRPr="0076434B" w:rsidRDefault="005A1F7E" w:rsidP="0001442A">
            <w:pPr>
              <w:jc w:val="center"/>
              <w:rPr>
                <w:rFonts w:cs="Arial"/>
                <w:b/>
                <w:sz w:val="18"/>
                <w:szCs w:val="18"/>
              </w:rPr>
            </w:pPr>
            <w:r w:rsidRPr="0076434B">
              <w:rPr>
                <w:rFonts w:cs="Arial"/>
                <w:b/>
                <w:sz w:val="18"/>
                <w:szCs w:val="18"/>
              </w:rPr>
              <w:t>Název PPS</w:t>
            </w:r>
          </w:p>
        </w:tc>
        <w:tc>
          <w:tcPr>
            <w:tcW w:w="2835" w:type="dxa"/>
            <w:tcBorders>
              <w:top w:val="single" w:sz="12" w:space="0" w:color="auto"/>
              <w:bottom w:val="single" w:sz="12" w:space="0" w:color="auto"/>
            </w:tcBorders>
            <w:shd w:val="clear" w:color="auto" w:fill="B8CCE4" w:themeFill="accent1" w:themeFillTint="66"/>
            <w:vAlign w:val="center"/>
          </w:tcPr>
          <w:p w14:paraId="3F25AC67" w14:textId="77777777" w:rsidR="005A1F7E" w:rsidRPr="0076434B" w:rsidRDefault="005A1F7E" w:rsidP="0001442A">
            <w:pPr>
              <w:jc w:val="center"/>
              <w:rPr>
                <w:rFonts w:cs="Arial"/>
                <w:b/>
                <w:sz w:val="18"/>
                <w:szCs w:val="18"/>
              </w:rPr>
            </w:pPr>
            <w:r w:rsidRPr="0076434B">
              <w:rPr>
                <w:rFonts w:cs="Arial"/>
                <w:b/>
                <w:sz w:val="18"/>
                <w:szCs w:val="18"/>
              </w:rPr>
              <w:t xml:space="preserve">Počet OFT a jejich </w:t>
            </w:r>
            <w:r>
              <w:rPr>
                <w:rFonts w:cs="Arial"/>
                <w:b/>
                <w:sz w:val="18"/>
                <w:szCs w:val="18"/>
              </w:rPr>
              <w:t>uznaná hodnota</w:t>
            </w:r>
            <w:r w:rsidRPr="0076434B">
              <w:rPr>
                <w:rFonts w:cs="Arial"/>
                <w:b/>
                <w:sz w:val="18"/>
                <w:szCs w:val="18"/>
              </w:rPr>
              <w:t xml:space="preserve"> </w:t>
            </w:r>
          </w:p>
        </w:tc>
        <w:tc>
          <w:tcPr>
            <w:tcW w:w="3260" w:type="dxa"/>
            <w:vMerge w:val="restart"/>
            <w:tcBorders>
              <w:top w:val="single" w:sz="12" w:space="0" w:color="auto"/>
            </w:tcBorders>
            <w:shd w:val="clear" w:color="auto" w:fill="B8CCE4" w:themeFill="accent1" w:themeFillTint="66"/>
            <w:vAlign w:val="center"/>
          </w:tcPr>
          <w:p w14:paraId="3F25AC68" w14:textId="77777777" w:rsidR="005A1F7E" w:rsidRPr="0076434B" w:rsidRDefault="005A1F7E" w:rsidP="0001442A">
            <w:pPr>
              <w:jc w:val="center"/>
              <w:rPr>
                <w:rFonts w:cs="Arial"/>
                <w:b/>
                <w:sz w:val="18"/>
                <w:szCs w:val="18"/>
              </w:rPr>
            </w:pPr>
            <w:r w:rsidRPr="0076434B">
              <w:rPr>
                <w:rFonts w:cs="Arial"/>
                <w:b/>
                <w:sz w:val="18"/>
                <w:szCs w:val="18"/>
              </w:rPr>
              <w:t xml:space="preserve">Kontrolou NKÚ zjištěná hodnota nesprávně uznaného plnění </w:t>
            </w:r>
          </w:p>
          <w:p w14:paraId="3F25AC69" w14:textId="6C747421" w:rsidR="005A1F7E" w:rsidRPr="0076434B" w:rsidRDefault="004C5566" w:rsidP="004C5566">
            <w:pPr>
              <w:jc w:val="center"/>
              <w:rPr>
                <w:rFonts w:cs="Arial"/>
                <w:sz w:val="18"/>
                <w:szCs w:val="18"/>
              </w:rPr>
            </w:pPr>
            <w:r>
              <w:rPr>
                <w:rFonts w:cs="Arial"/>
                <w:sz w:val="18"/>
                <w:szCs w:val="18"/>
              </w:rPr>
              <w:t>(</w:t>
            </w:r>
            <w:r w:rsidR="005A1F7E" w:rsidRPr="0076434B">
              <w:rPr>
                <w:rFonts w:cs="Arial"/>
                <w:sz w:val="18"/>
                <w:szCs w:val="18"/>
              </w:rPr>
              <w:t>v mil. Kč</w:t>
            </w:r>
            <w:r>
              <w:rPr>
                <w:rFonts w:cs="Arial"/>
                <w:sz w:val="18"/>
                <w:szCs w:val="18"/>
              </w:rPr>
              <w:t>)</w:t>
            </w:r>
          </w:p>
        </w:tc>
      </w:tr>
      <w:tr w:rsidR="005A1F7E" w:rsidRPr="0076434B" w14:paraId="3F25AC6F" w14:textId="77777777" w:rsidTr="007C66B7">
        <w:trPr>
          <w:trHeight w:val="317"/>
        </w:trPr>
        <w:tc>
          <w:tcPr>
            <w:tcW w:w="2518" w:type="dxa"/>
            <w:vMerge/>
            <w:tcBorders>
              <w:bottom w:val="single" w:sz="12" w:space="0" w:color="auto"/>
            </w:tcBorders>
            <w:shd w:val="clear" w:color="auto" w:fill="FDE9D9"/>
            <w:vAlign w:val="center"/>
          </w:tcPr>
          <w:p w14:paraId="3F25AC6B" w14:textId="77777777" w:rsidR="005A1F7E" w:rsidRPr="0076434B" w:rsidRDefault="005A1F7E" w:rsidP="0001442A">
            <w:pPr>
              <w:jc w:val="center"/>
              <w:rPr>
                <w:rFonts w:cs="Arial"/>
                <w:b/>
                <w:sz w:val="18"/>
                <w:szCs w:val="18"/>
              </w:rPr>
            </w:pPr>
          </w:p>
        </w:tc>
        <w:tc>
          <w:tcPr>
            <w:tcW w:w="2835" w:type="dxa"/>
            <w:tcBorders>
              <w:top w:val="single" w:sz="12" w:space="0" w:color="auto"/>
              <w:bottom w:val="single" w:sz="12" w:space="0" w:color="auto"/>
            </w:tcBorders>
            <w:shd w:val="clear" w:color="auto" w:fill="B8CCE4" w:themeFill="accent1" w:themeFillTint="66"/>
            <w:vAlign w:val="center"/>
          </w:tcPr>
          <w:p w14:paraId="3F25AC6C" w14:textId="77777777" w:rsidR="005A1F7E" w:rsidRPr="0076434B" w:rsidRDefault="005A1F7E" w:rsidP="0001442A">
            <w:pPr>
              <w:jc w:val="center"/>
              <w:rPr>
                <w:rFonts w:cs="Arial"/>
                <w:sz w:val="18"/>
                <w:szCs w:val="18"/>
                <w:u w:val="single"/>
              </w:rPr>
            </w:pPr>
            <w:r w:rsidRPr="0076434B">
              <w:rPr>
                <w:rFonts w:cs="Arial"/>
                <w:sz w:val="18"/>
                <w:szCs w:val="18"/>
                <w:u w:val="single"/>
              </w:rPr>
              <w:t xml:space="preserve">_počet_ </w:t>
            </w:r>
          </w:p>
          <w:p w14:paraId="3F25AC6D" w14:textId="77777777" w:rsidR="005A1F7E" w:rsidRPr="0076434B" w:rsidRDefault="005A1F7E" w:rsidP="0001442A">
            <w:pPr>
              <w:jc w:val="center"/>
              <w:rPr>
                <w:rFonts w:cs="Arial"/>
                <w:b/>
                <w:sz w:val="18"/>
                <w:szCs w:val="18"/>
              </w:rPr>
            </w:pPr>
            <w:r w:rsidRPr="0076434B">
              <w:rPr>
                <w:rFonts w:cs="Arial"/>
                <w:sz w:val="18"/>
                <w:szCs w:val="18"/>
              </w:rPr>
              <w:t>mil. Kč</w:t>
            </w:r>
          </w:p>
        </w:tc>
        <w:tc>
          <w:tcPr>
            <w:tcW w:w="3260" w:type="dxa"/>
            <w:vMerge/>
            <w:tcBorders>
              <w:bottom w:val="single" w:sz="12" w:space="0" w:color="auto"/>
            </w:tcBorders>
            <w:shd w:val="clear" w:color="auto" w:fill="FDE9D9"/>
            <w:vAlign w:val="center"/>
          </w:tcPr>
          <w:p w14:paraId="3F25AC6E" w14:textId="77777777" w:rsidR="005A1F7E" w:rsidRPr="0076434B" w:rsidRDefault="005A1F7E" w:rsidP="0001442A">
            <w:pPr>
              <w:jc w:val="center"/>
              <w:rPr>
                <w:rFonts w:cs="Arial"/>
                <w:b/>
                <w:sz w:val="18"/>
                <w:szCs w:val="18"/>
              </w:rPr>
            </w:pPr>
          </w:p>
        </w:tc>
      </w:tr>
      <w:tr w:rsidR="005A1F7E" w:rsidRPr="0076434B" w14:paraId="3F25AC73" w14:textId="77777777" w:rsidTr="005A1F7E">
        <w:trPr>
          <w:trHeight w:val="230"/>
        </w:trPr>
        <w:tc>
          <w:tcPr>
            <w:tcW w:w="2518" w:type="dxa"/>
            <w:vMerge w:val="restart"/>
            <w:tcBorders>
              <w:top w:val="single" w:sz="12" w:space="0" w:color="auto"/>
              <w:bottom w:val="single" w:sz="12" w:space="0" w:color="auto"/>
            </w:tcBorders>
            <w:shd w:val="clear" w:color="auto" w:fill="auto"/>
            <w:vAlign w:val="center"/>
          </w:tcPr>
          <w:p w14:paraId="3F25AC70" w14:textId="77777777" w:rsidR="005A1F7E" w:rsidRPr="0076434B" w:rsidRDefault="005A1F7E" w:rsidP="0001442A">
            <w:pPr>
              <w:contextualSpacing/>
              <w:rPr>
                <w:rFonts w:cs="Arial"/>
                <w:sz w:val="18"/>
                <w:szCs w:val="18"/>
              </w:rPr>
            </w:pPr>
            <w:r>
              <w:rPr>
                <w:rFonts w:cs="Arial"/>
                <w:sz w:val="18"/>
                <w:szCs w:val="18"/>
              </w:rPr>
              <w:t>GRIPEN</w:t>
            </w:r>
          </w:p>
        </w:tc>
        <w:tc>
          <w:tcPr>
            <w:tcW w:w="2835" w:type="dxa"/>
            <w:tcBorders>
              <w:top w:val="single" w:sz="12" w:space="0" w:color="auto"/>
              <w:bottom w:val="single" w:sz="4" w:space="0" w:color="auto"/>
            </w:tcBorders>
            <w:shd w:val="clear" w:color="auto" w:fill="auto"/>
            <w:vAlign w:val="center"/>
          </w:tcPr>
          <w:p w14:paraId="3F25AC71" w14:textId="77777777" w:rsidR="005A1F7E" w:rsidRPr="0076434B" w:rsidRDefault="005A1F7E" w:rsidP="0001442A">
            <w:pPr>
              <w:contextualSpacing/>
              <w:jc w:val="right"/>
              <w:rPr>
                <w:rFonts w:cs="Arial"/>
                <w:sz w:val="18"/>
                <w:szCs w:val="18"/>
              </w:rPr>
            </w:pPr>
            <w:r w:rsidRPr="0076434B">
              <w:rPr>
                <w:rFonts w:cs="Arial"/>
                <w:sz w:val="18"/>
                <w:szCs w:val="18"/>
              </w:rPr>
              <w:t>49</w:t>
            </w:r>
          </w:p>
        </w:tc>
        <w:tc>
          <w:tcPr>
            <w:tcW w:w="3260" w:type="dxa"/>
            <w:vMerge w:val="restart"/>
            <w:tcBorders>
              <w:top w:val="single" w:sz="12" w:space="0" w:color="auto"/>
              <w:bottom w:val="single" w:sz="12" w:space="0" w:color="auto"/>
            </w:tcBorders>
            <w:shd w:val="clear" w:color="auto" w:fill="auto"/>
            <w:vAlign w:val="center"/>
          </w:tcPr>
          <w:p w14:paraId="3F25AC72" w14:textId="77777777" w:rsidR="005A1F7E" w:rsidRPr="0076434B" w:rsidRDefault="005A1F7E" w:rsidP="0001442A">
            <w:pPr>
              <w:contextualSpacing/>
              <w:jc w:val="right"/>
              <w:rPr>
                <w:rFonts w:cs="Arial"/>
                <w:sz w:val="18"/>
                <w:szCs w:val="18"/>
              </w:rPr>
            </w:pPr>
            <w:r w:rsidRPr="0076434B">
              <w:rPr>
                <w:rFonts w:cs="Arial"/>
                <w:sz w:val="18"/>
                <w:szCs w:val="18"/>
              </w:rPr>
              <w:t>0,089</w:t>
            </w:r>
          </w:p>
        </w:tc>
      </w:tr>
      <w:tr w:rsidR="005A1F7E" w:rsidRPr="0076434B" w14:paraId="3F25AC77" w14:textId="77777777" w:rsidTr="005A1F7E">
        <w:trPr>
          <w:trHeight w:val="241"/>
        </w:trPr>
        <w:tc>
          <w:tcPr>
            <w:tcW w:w="2518" w:type="dxa"/>
            <w:vMerge/>
            <w:tcBorders>
              <w:top w:val="single" w:sz="12" w:space="0" w:color="auto"/>
              <w:bottom w:val="single" w:sz="12" w:space="0" w:color="auto"/>
            </w:tcBorders>
            <w:shd w:val="clear" w:color="auto" w:fill="auto"/>
            <w:vAlign w:val="center"/>
          </w:tcPr>
          <w:p w14:paraId="3F25AC74" w14:textId="77777777" w:rsidR="005A1F7E" w:rsidRPr="0076434B" w:rsidRDefault="005A1F7E" w:rsidP="0001442A">
            <w:pPr>
              <w:contextualSpacing/>
              <w:rPr>
                <w:rFonts w:cs="Arial"/>
                <w:sz w:val="18"/>
                <w:szCs w:val="18"/>
              </w:rPr>
            </w:pPr>
          </w:p>
        </w:tc>
        <w:tc>
          <w:tcPr>
            <w:tcW w:w="2835" w:type="dxa"/>
            <w:tcBorders>
              <w:top w:val="single" w:sz="4" w:space="0" w:color="auto"/>
            </w:tcBorders>
            <w:shd w:val="clear" w:color="auto" w:fill="auto"/>
            <w:vAlign w:val="center"/>
          </w:tcPr>
          <w:p w14:paraId="3F25AC75" w14:textId="77777777" w:rsidR="005A1F7E" w:rsidRPr="0076434B" w:rsidRDefault="005A1F7E" w:rsidP="0001442A">
            <w:pPr>
              <w:contextualSpacing/>
              <w:jc w:val="right"/>
              <w:rPr>
                <w:rFonts w:cs="Arial"/>
                <w:sz w:val="18"/>
                <w:szCs w:val="18"/>
              </w:rPr>
            </w:pPr>
            <w:r w:rsidRPr="0076434B">
              <w:rPr>
                <w:rFonts w:cs="Arial"/>
                <w:sz w:val="18"/>
                <w:szCs w:val="18"/>
              </w:rPr>
              <w:t>25 606,480</w:t>
            </w:r>
          </w:p>
        </w:tc>
        <w:tc>
          <w:tcPr>
            <w:tcW w:w="3260" w:type="dxa"/>
            <w:vMerge/>
            <w:tcBorders>
              <w:top w:val="single" w:sz="12" w:space="0" w:color="auto"/>
              <w:bottom w:val="single" w:sz="12" w:space="0" w:color="auto"/>
            </w:tcBorders>
            <w:shd w:val="clear" w:color="auto" w:fill="auto"/>
            <w:vAlign w:val="center"/>
          </w:tcPr>
          <w:p w14:paraId="3F25AC76" w14:textId="77777777" w:rsidR="005A1F7E" w:rsidRPr="0076434B" w:rsidRDefault="005A1F7E" w:rsidP="0001442A">
            <w:pPr>
              <w:contextualSpacing/>
              <w:jc w:val="right"/>
              <w:rPr>
                <w:rFonts w:cs="Arial"/>
                <w:sz w:val="18"/>
                <w:szCs w:val="18"/>
              </w:rPr>
            </w:pPr>
          </w:p>
        </w:tc>
      </w:tr>
      <w:tr w:rsidR="005A1F7E" w:rsidRPr="0076434B" w14:paraId="3F25AC7B" w14:textId="77777777" w:rsidTr="005A1F7E">
        <w:trPr>
          <w:trHeight w:val="230"/>
        </w:trPr>
        <w:tc>
          <w:tcPr>
            <w:tcW w:w="2518" w:type="dxa"/>
            <w:vMerge w:val="restart"/>
            <w:tcBorders>
              <w:top w:val="single" w:sz="12" w:space="0" w:color="auto"/>
              <w:bottom w:val="single" w:sz="4" w:space="0" w:color="auto"/>
            </w:tcBorders>
            <w:shd w:val="clear" w:color="auto" w:fill="auto"/>
            <w:vAlign w:val="center"/>
          </w:tcPr>
          <w:p w14:paraId="3F25AC78" w14:textId="4A980ACD" w:rsidR="005A1F7E" w:rsidRPr="0076434B" w:rsidRDefault="005A1F7E" w:rsidP="0001442A">
            <w:pPr>
              <w:contextualSpacing/>
              <w:rPr>
                <w:rFonts w:cs="Arial"/>
                <w:sz w:val="18"/>
                <w:szCs w:val="18"/>
              </w:rPr>
            </w:pPr>
            <w:r>
              <w:rPr>
                <w:rFonts w:cs="Arial"/>
                <w:sz w:val="18"/>
                <w:szCs w:val="18"/>
              </w:rPr>
              <w:t>AIRBUS</w:t>
            </w:r>
          </w:p>
        </w:tc>
        <w:tc>
          <w:tcPr>
            <w:tcW w:w="2835" w:type="dxa"/>
            <w:tcBorders>
              <w:top w:val="single" w:sz="12" w:space="0" w:color="auto"/>
              <w:bottom w:val="single" w:sz="4" w:space="0" w:color="auto"/>
            </w:tcBorders>
            <w:shd w:val="clear" w:color="auto" w:fill="auto"/>
            <w:vAlign w:val="center"/>
          </w:tcPr>
          <w:p w14:paraId="3F25AC79" w14:textId="77777777" w:rsidR="005A1F7E" w:rsidRPr="0076434B" w:rsidRDefault="005A1F7E" w:rsidP="0001442A">
            <w:pPr>
              <w:contextualSpacing/>
              <w:jc w:val="right"/>
              <w:rPr>
                <w:rFonts w:cs="Arial"/>
                <w:sz w:val="18"/>
                <w:szCs w:val="18"/>
              </w:rPr>
            </w:pPr>
            <w:r w:rsidRPr="0076434B">
              <w:rPr>
                <w:rFonts w:cs="Arial"/>
                <w:sz w:val="18"/>
                <w:szCs w:val="18"/>
              </w:rPr>
              <w:t>13</w:t>
            </w:r>
          </w:p>
        </w:tc>
        <w:tc>
          <w:tcPr>
            <w:tcW w:w="3260" w:type="dxa"/>
            <w:vMerge w:val="restart"/>
            <w:tcBorders>
              <w:top w:val="single" w:sz="12" w:space="0" w:color="auto"/>
              <w:bottom w:val="single" w:sz="4" w:space="0" w:color="auto"/>
            </w:tcBorders>
            <w:shd w:val="clear" w:color="auto" w:fill="auto"/>
            <w:vAlign w:val="center"/>
          </w:tcPr>
          <w:p w14:paraId="3F25AC7A" w14:textId="77777777" w:rsidR="005A1F7E" w:rsidRPr="0076434B" w:rsidRDefault="005A1F7E" w:rsidP="0001442A">
            <w:pPr>
              <w:contextualSpacing/>
              <w:jc w:val="right"/>
              <w:rPr>
                <w:rFonts w:cs="Arial"/>
                <w:sz w:val="18"/>
                <w:szCs w:val="18"/>
                <w:highlight w:val="yellow"/>
              </w:rPr>
            </w:pPr>
            <w:r w:rsidRPr="0076434B">
              <w:rPr>
                <w:rFonts w:cs="Arial"/>
                <w:sz w:val="18"/>
                <w:szCs w:val="18"/>
              </w:rPr>
              <w:t>205,293</w:t>
            </w:r>
          </w:p>
        </w:tc>
      </w:tr>
      <w:tr w:rsidR="005A1F7E" w:rsidRPr="0076434B" w14:paraId="3F25AC7F" w14:textId="77777777" w:rsidTr="005A1F7E">
        <w:trPr>
          <w:trHeight w:val="230"/>
        </w:trPr>
        <w:tc>
          <w:tcPr>
            <w:tcW w:w="2518" w:type="dxa"/>
            <w:vMerge/>
            <w:tcBorders>
              <w:top w:val="single" w:sz="4" w:space="0" w:color="auto"/>
              <w:bottom w:val="single" w:sz="12" w:space="0" w:color="auto"/>
            </w:tcBorders>
            <w:shd w:val="clear" w:color="auto" w:fill="auto"/>
            <w:vAlign w:val="center"/>
          </w:tcPr>
          <w:p w14:paraId="3F25AC7C" w14:textId="77777777" w:rsidR="005A1F7E" w:rsidRPr="0076434B" w:rsidRDefault="005A1F7E" w:rsidP="0001442A">
            <w:pPr>
              <w:contextualSpacing/>
              <w:rPr>
                <w:rFonts w:cs="Arial"/>
                <w:sz w:val="18"/>
                <w:szCs w:val="18"/>
              </w:rPr>
            </w:pPr>
          </w:p>
        </w:tc>
        <w:tc>
          <w:tcPr>
            <w:tcW w:w="2835" w:type="dxa"/>
            <w:tcBorders>
              <w:top w:val="single" w:sz="4" w:space="0" w:color="auto"/>
              <w:bottom w:val="single" w:sz="12" w:space="0" w:color="auto"/>
            </w:tcBorders>
            <w:shd w:val="clear" w:color="auto" w:fill="auto"/>
            <w:vAlign w:val="center"/>
          </w:tcPr>
          <w:p w14:paraId="3F25AC7D" w14:textId="77777777" w:rsidR="005A1F7E" w:rsidRPr="0076434B" w:rsidRDefault="005A1F7E" w:rsidP="0001442A">
            <w:pPr>
              <w:contextualSpacing/>
              <w:jc w:val="right"/>
              <w:rPr>
                <w:rFonts w:cs="Arial"/>
                <w:sz w:val="18"/>
                <w:szCs w:val="18"/>
              </w:rPr>
            </w:pPr>
            <w:r w:rsidRPr="0076434B">
              <w:rPr>
                <w:rFonts w:cs="Arial"/>
                <w:sz w:val="18"/>
                <w:szCs w:val="18"/>
              </w:rPr>
              <w:t>3 762,813</w:t>
            </w:r>
          </w:p>
        </w:tc>
        <w:tc>
          <w:tcPr>
            <w:tcW w:w="3260" w:type="dxa"/>
            <w:vMerge/>
            <w:tcBorders>
              <w:top w:val="single" w:sz="4" w:space="0" w:color="auto"/>
              <w:bottom w:val="single" w:sz="12" w:space="0" w:color="auto"/>
            </w:tcBorders>
            <w:shd w:val="clear" w:color="auto" w:fill="auto"/>
            <w:vAlign w:val="center"/>
          </w:tcPr>
          <w:p w14:paraId="3F25AC7E" w14:textId="77777777" w:rsidR="005A1F7E" w:rsidRPr="0076434B" w:rsidRDefault="005A1F7E" w:rsidP="0001442A">
            <w:pPr>
              <w:contextualSpacing/>
              <w:jc w:val="right"/>
              <w:rPr>
                <w:rFonts w:cs="Arial"/>
                <w:sz w:val="18"/>
                <w:szCs w:val="18"/>
              </w:rPr>
            </w:pPr>
          </w:p>
        </w:tc>
      </w:tr>
      <w:tr w:rsidR="005A1F7E" w:rsidRPr="0076434B" w14:paraId="3F25AC83" w14:textId="77777777" w:rsidTr="005A1F7E">
        <w:trPr>
          <w:trHeight w:val="230"/>
        </w:trPr>
        <w:tc>
          <w:tcPr>
            <w:tcW w:w="2518" w:type="dxa"/>
            <w:vMerge w:val="restart"/>
            <w:tcBorders>
              <w:top w:val="single" w:sz="12" w:space="0" w:color="auto"/>
              <w:bottom w:val="single" w:sz="4" w:space="0" w:color="auto"/>
            </w:tcBorders>
            <w:shd w:val="clear" w:color="auto" w:fill="auto"/>
            <w:vAlign w:val="center"/>
          </w:tcPr>
          <w:p w14:paraId="3F25AC80" w14:textId="63CE2462" w:rsidR="005A1F7E" w:rsidRPr="0076434B" w:rsidRDefault="005A1F7E" w:rsidP="0001442A">
            <w:pPr>
              <w:contextualSpacing/>
              <w:rPr>
                <w:rFonts w:cs="Arial"/>
                <w:sz w:val="18"/>
                <w:szCs w:val="18"/>
              </w:rPr>
            </w:pPr>
            <w:r w:rsidRPr="0076434B">
              <w:rPr>
                <w:rFonts w:cs="Arial"/>
                <w:sz w:val="18"/>
                <w:szCs w:val="18"/>
              </w:rPr>
              <w:t>LOV</w:t>
            </w:r>
            <w:r w:rsidR="004C5566">
              <w:rPr>
                <w:rFonts w:cs="Arial"/>
                <w:sz w:val="18"/>
                <w:szCs w:val="18"/>
              </w:rPr>
              <w:t xml:space="preserve"> IVECO</w:t>
            </w:r>
          </w:p>
        </w:tc>
        <w:tc>
          <w:tcPr>
            <w:tcW w:w="2835" w:type="dxa"/>
            <w:tcBorders>
              <w:top w:val="single" w:sz="12" w:space="0" w:color="auto"/>
              <w:bottom w:val="single" w:sz="4" w:space="0" w:color="auto"/>
            </w:tcBorders>
            <w:shd w:val="clear" w:color="auto" w:fill="auto"/>
            <w:vAlign w:val="center"/>
          </w:tcPr>
          <w:p w14:paraId="3F25AC81" w14:textId="77777777" w:rsidR="005A1F7E" w:rsidRPr="0076434B" w:rsidRDefault="005A1F7E" w:rsidP="0001442A">
            <w:pPr>
              <w:contextualSpacing/>
              <w:jc w:val="right"/>
              <w:rPr>
                <w:rFonts w:cs="Arial"/>
                <w:sz w:val="18"/>
                <w:szCs w:val="18"/>
              </w:rPr>
            </w:pPr>
            <w:r w:rsidRPr="0076434B">
              <w:rPr>
                <w:rFonts w:cs="Arial"/>
                <w:sz w:val="18"/>
                <w:szCs w:val="18"/>
              </w:rPr>
              <w:t>6</w:t>
            </w:r>
          </w:p>
        </w:tc>
        <w:tc>
          <w:tcPr>
            <w:tcW w:w="3260" w:type="dxa"/>
            <w:vMerge w:val="restart"/>
            <w:tcBorders>
              <w:top w:val="single" w:sz="12" w:space="0" w:color="auto"/>
              <w:bottom w:val="single" w:sz="4" w:space="0" w:color="auto"/>
            </w:tcBorders>
            <w:shd w:val="clear" w:color="auto" w:fill="auto"/>
            <w:vAlign w:val="center"/>
          </w:tcPr>
          <w:p w14:paraId="3F25AC82" w14:textId="77777777" w:rsidR="005A1F7E" w:rsidRPr="0076434B" w:rsidRDefault="005A1F7E" w:rsidP="0001442A">
            <w:pPr>
              <w:contextualSpacing/>
              <w:jc w:val="right"/>
              <w:rPr>
                <w:rFonts w:cs="Arial"/>
                <w:sz w:val="18"/>
                <w:szCs w:val="18"/>
              </w:rPr>
            </w:pPr>
            <w:r w:rsidRPr="0076434B">
              <w:rPr>
                <w:rFonts w:cs="Arial"/>
                <w:sz w:val="18"/>
                <w:szCs w:val="18"/>
              </w:rPr>
              <w:t>12,118</w:t>
            </w:r>
          </w:p>
        </w:tc>
      </w:tr>
      <w:tr w:rsidR="005A1F7E" w:rsidRPr="0076434B" w14:paraId="3F25AC87" w14:textId="77777777" w:rsidTr="005A1F7E">
        <w:trPr>
          <w:trHeight w:val="230"/>
        </w:trPr>
        <w:tc>
          <w:tcPr>
            <w:tcW w:w="2518" w:type="dxa"/>
            <w:vMerge/>
            <w:tcBorders>
              <w:top w:val="single" w:sz="4" w:space="0" w:color="auto"/>
              <w:bottom w:val="single" w:sz="12" w:space="0" w:color="auto"/>
            </w:tcBorders>
            <w:shd w:val="clear" w:color="auto" w:fill="auto"/>
            <w:vAlign w:val="center"/>
          </w:tcPr>
          <w:p w14:paraId="3F25AC84" w14:textId="77777777" w:rsidR="005A1F7E" w:rsidRPr="0076434B" w:rsidRDefault="005A1F7E" w:rsidP="0001442A">
            <w:pPr>
              <w:contextualSpacing/>
              <w:rPr>
                <w:rFonts w:cs="Arial"/>
                <w:sz w:val="18"/>
                <w:szCs w:val="18"/>
              </w:rPr>
            </w:pPr>
          </w:p>
        </w:tc>
        <w:tc>
          <w:tcPr>
            <w:tcW w:w="2835" w:type="dxa"/>
            <w:tcBorders>
              <w:top w:val="single" w:sz="4" w:space="0" w:color="auto"/>
              <w:bottom w:val="single" w:sz="12" w:space="0" w:color="auto"/>
            </w:tcBorders>
            <w:shd w:val="clear" w:color="auto" w:fill="auto"/>
            <w:vAlign w:val="center"/>
          </w:tcPr>
          <w:p w14:paraId="3F25AC85" w14:textId="77777777" w:rsidR="005A1F7E" w:rsidRPr="0076434B" w:rsidRDefault="005A1F7E" w:rsidP="0001442A">
            <w:pPr>
              <w:contextualSpacing/>
              <w:jc w:val="right"/>
              <w:rPr>
                <w:rFonts w:cs="Arial"/>
                <w:sz w:val="18"/>
                <w:szCs w:val="18"/>
              </w:rPr>
            </w:pPr>
            <w:r w:rsidRPr="0076434B">
              <w:rPr>
                <w:rFonts w:cs="Arial"/>
                <w:sz w:val="18"/>
                <w:szCs w:val="18"/>
              </w:rPr>
              <w:t>376,956</w:t>
            </w:r>
          </w:p>
        </w:tc>
        <w:tc>
          <w:tcPr>
            <w:tcW w:w="3260" w:type="dxa"/>
            <w:vMerge/>
            <w:tcBorders>
              <w:top w:val="single" w:sz="4" w:space="0" w:color="auto"/>
              <w:bottom w:val="single" w:sz="12" w:space="0" w:color="auto"/>
            </w:tcBorders>
            <w:shd w:val="clear" w:color="auto" w:fill="auto"/>
            <w:vAlign w:val="center"/>
          </w:tcPr>
          <w:p w14:paraId="3F25AC86" w14:textId="77777777" w:rsidR="005A1F7E" w:rsidRPr="0076434B" w:rsidRDefault="005A1F7E" w:rsidP="0001442A">
            <w:pPr>
              <w:contextualSpacing/>
              <w:jc w:val="right"/>
              <w:rPr>
                <w:rFonts w:cs="Arial"/>
                <w:sz w:val="18"/>
                <w:szCs w:val="18"/>
              </w:rPr>
            </w:pPr>
          </w:p>
        </w:tc>
      </w:tr>
      <w:tr w:rsidR="005A1F7E" w:rsidRPr="0076434B" w14:paraId="3F25AC8B" w14:textId="77777777" w:rsidTr="005A1F7E">
        <w:trPr>
          <w:trHeight w:val="230"/>
        </w:trPr>
        <w:tc>
          <w:tcPr>
            <w:tcW w:w="2518" w:type="dxa"/>
            <w:vMerge w:val="restart"/>
            <w:tcBorders>
              <w:top w:val="single" w:sz="12" w:space="0" w:color="auto"/>
              <w:bottom w:val="single" w:sz="4" w:space="0" w:color="auto"/>
            </w:tcBorders>
            <w:shd w:val="clear" w:color="auto" w:fill="auto"/>
            <w:vAlign w:val="center"/>
          </w:tcPr>
          <w:p w14:paraId="3F25AC88" w14:textId="45E33B34" w:rsidR="005A1F7E" w:rsidRPr="0076434B" w:rsidRDefault="005A1F7E" w:rsidP="0001442A">
            <w:pPr>
              <w:contextualSpacing/>
              <w:rPr>
                <w:rFonts w:cs="Arial"/>
                <w:sz w:val="18"/>
                <w:szCs w:val="18"/>
                <w:highlight w:val="yellow"/>
              </w:rPr>
            </w:pPr>
            <w:r w:rsidRPr="0076434B">
              <w:rPr>
                <w:rFonts w:cs="Arial"/>
                <w:sz w:val="18"/>
                <w:szCs w:val="18"/>
              </w:rPr>
              <w:t>CASA</w:t>
            </w:r>
          </w:p>
        </w:tc>
        <w:tc>
          <w:tcPr>
            <w:tcW w:w="2835" w:type="dxa"/>
            <w:tcBorders>
              <w:top w:val="single" w:sz="12" w:space="0" w:color="auto"/>
              <w:bottom w:val="single" w:sz="4" w:space="0" w:color="auto"/>
            </w:tcBorders>
            <w:shd w:val="clear" w:color="auto" w:fill="auto"/>
            <w:vAlign w:val="center"/>
          </w:tcPr>
          <w:p w14:paraId="3F25AC89" w14:textId="77777777" w:rsidR="005A1F7E" w:rsidRPr="0076434B" w:rsidRDefault="005A1F7E" w:rsidP="0001442A">
            <w:pPr>
              <w:contextualSpacing/>
              <w:jc w:val="right"/>
              <w:rPr>
                <w:rFonts w:cs="Arial"/>
                <w:sz w:val="18"/>
                <w:szCs w:val="18"/>
              </w:rPr>
            </w:pPr>
            <w:r w:rsidRPr="0076434B">
              <w:rPr>
                <w:rFonts w:cs="Arial"/>
                <w:sz w:val="18"/>
                <w:szCs w:val="18"/>
              </w:rPr>
              <w:t>7</w:t>
            </w:r>
          </w:p>
        </w:tc>
        <w:tc>
          <w:tcPr>
            <w:tcW w:w="3260" w:type="dxa"/>
            <w:vMerge w:val="restart"/>
            <w:tcBorders>
              <w:top w:val="single" w:sz="12" w:space="0" w:color="auto"/>
              <w:bottom w:val="single" w:sz="4" w:space="0" w:color="auto"/>
            </w:tcBorders>
            <w:shd w:val="clear" w:color="auto" w:fill="auto"/>
            <w:vAlign w:val="center"/>
          </w:tcPr>
          <w:p w14:paraId="3F25AC8A" w14:textId="77777777" w:rsidR="005A1F7E" w:rsidRPr="0076434B" w:rsidRDefault="005A1F7E" w:rsidP="0001442A">
            <w:pPr>
              <w:contextualSpacing/>
              <w:jc w:val="right"/>
              <w:rPr>
                <w:rFonts w:cs="Arial"/>
                <w:sz w:val="18"/>
                <w:szCs w:val="18"/>
              </w:rPr>
            </w:pPr>
            <w:r w:rsidRPr="0076434B">
              <w:rPr>
                <w:rFonts w:cs="Arial"/>
                <w:sz w:val="18"/>
                <w:szCs w:val="18"/>
              </w:rPr>
              <w:t>27,312</w:t>
            </w:r>
          </w:p>
        </w:tc>
      </w:tr>
      <w:tr w:rsidR="005A1F7E" w:rsidRPr="0076434B" w14:paraId="3F25AC8F" w14:textId="77777777" w:rsidTr="006E3AD4">
        <w:trPr>
          <w:trHeight w:val="141"/>
        </w:trPr>
        <w:tc>
          <w:tcPr>
            <w:tcW w:w="2518" w:type="dxa"/>
            <w:vMerge/>
            <w:tcBorders>
              <w:top w:val="single" w:sz="4" w:space="0" w:color="auto"/>
              <w:bottom w:val="single" w:sz="2" w:space="0" w:color="auto"/>
            </w:tcBorders>
            <w:shd w:val="clear" w:color="auto" w:fill="auto"/>
            <w:vAlign w:val="center"/>
          </w:tcPr>
          <w:p w14:paraId="3F25AC8C" w14:textId="77777777" w:rsidR="005A1F7E" w:rsidRPr="0076434B" w:rsidRDefault="005A1F7E" w:rsidP="0001442A">
            <w:pPr>
              <w:contextualSpacing/>
              <w:rPr>
                <w:rFonts w:cs="Arial"/>
                <w:sz w:val="18"/>
                <w:szCs w:val="18"/>
                <w:highlight w:val="yellow"/>
              </w:rPr>
            </w:pPr>
          </w:p>
        </w:tc>
        <w:tc>
          <w:tcPr>
            <w:tcW w:w="2835" w:type="dxa"/>
            <w:tcBorders>
              <w:top w:val="single" w:sz="4" w:space="0" w:color="auto"/>
              <w:bottom w:val="single" w:sz="2" w:space="0" w:color="auto"/>
            </w:tcBorders>
            <w:shd w:val="clear" w:color="auto" w:fill="auto"/>
            <w:vAlign w:val="center"/>
          </w:tcPr>
          <w:p w14:paraId="3F25AC8D" w14:textId="77777777" w:rsidR="005A1F7E" w:rsidRPr="0076434B" w:rsidRDefault="005A1F7E" w:rsidP="0001442A">
            <w:pPr>
              <w:contextualSpacing/>
              <w:jc w:val="right"/>
              <w:rPr>
                <w:rFonts w:cs="Arial"/>
                <w:sz w:val="18"/>
                <w:szCs w:val="18"/>
              </w:rPr>
            </w:pPr>
            <w:r w:rsidRPr="0076434B">
              <w:rPr>
                <w:rFonts w:cs="Arial"/>
                <w:sz w:val="18"/>
                <w:szCs w:val="18"/>
              </w:rPr>
              <w:t>914,320</w:t>
            </w:r>
          </w:p>
        </w:tc>
        <w:tc>
          <w:tcPr>
            <w:tcW w:w="3260" w:type="dxa"/>
            <w:vMerge/>
            <w:tcBorders>
              <w:top w:val="single" w:sz="4" w:space="0" w:color="auto"/>
              <w:bottom w:val="single" w:sz="4" w:space="0" w:color="auto"/>
            </w:tcBorders>
            <w:shd w:val="clear" w:color="auto" w:fill="auto"/>
            <w:vAlign w:val="center"/>
          </w:tcPr>
          <w:p w14:paraId="3F25AC8E" w14:textId="77777777" w:rsidR="005A1F7E" w:rsidRPr="0076434B" w:rsidRDefault="005A1F7E" w:rsidP="0001442A">
            <w:pPr>
              <w:contextualSpacing/>
              <w:jc w:val="right"/>
              <w:rPr>
                <w:rFonts w:cs="Arial"/>
                <w:sz w:val="18"/>
                <w:szCs w:val="18"/>
              </w:rPr>
            </w:pPr>
          </w:p>
        </w:tc>
      </w:tr>
    </w:tbl>
    <w:tbl>
      <w:tblPr>
        <w:tblStyle w:val="Mkatabulky"/>
        <w:tblW w:w="8613" w:type="dxa"/>
        <w:tblLayout w:type="fixed"/>
        <w:tblLook w:val="04A0" w:firstRow="1" w:lastRow="0" w:firstColumn="1" w:lastColumn="0" w:noHBand="0" w:noVBand="1"/>
      </w:tblPr>
      <w:tblGrid>
        <w:gridCol w:w="2518"/>
        <w:gridCol w:w="2835"/>
        <w:gridCol w:w="3260"/>
      </w:tblGrid>
      <w:tr w:rsidR="005A1F7E" w:rsidRPr="0076434B" w14:paraId="3F25AC93" w14:textId="77777777" w:rsidTr="006E3AD4">
        <w:trPr>
          <w:trHeight w:val="194"/>
        </w:trPr>
        <w:tc>
          <w:tcPr>
            <w:tcW w:w="2518" w:type="dxa"/>
            <w:vMerge w:val="restart"/>
            <w:tcBorders>
              <w:top w:val="single" w:sz="2" w:space="0" w:color="auto"/>
              <w:left w:val="single" w:sz="12" w:space="0" w:color="000000"/>
            </w:tcBorders>
            <w:vAlign w:val="center"/>
          </w:tcPr>
          <w:p w14:paraId="3F25AC90" w14:textId="77777777" w:rsidR="005A1F7E" w:rsidRPr="0076434B" w:rsidRDefault="005A1F7E" w:rsidP="0001442A">
            <w:pPr>
              <w:rPr>
                <w:rFonts w:cs="Arial"/>
                <w:sz w:val="18"/>
                <w:szCs w:val="18"/>
              </w:rPr>
            </w:pPr>
            <w:r w:rsidRPr="0076434B">
              <w:rPr>
                <w:rFonts w:cs="Arial"/>
                <w:sz w:val="18"/>
                <w:szCs w:val="18"/>
              </w:rPr>
              <w:t>PEGAS</w:t>
            </w:r>
          </w:p>
        </w:tc>
        <w:tc>
          <w:tcPr>
            <w:tcW w:w="2835" w:type="dxa"/>
            <w:tcBorders>
              <w:top w:val="single" w:sz="2" w:space="0" w:color="auto"/>
            </w:tcBorders>
            <w:vAlign w:val="center"/>
          </w:tcPr>
          <w:p w14:paraId="3F25AC91" w14:textId="77777777" w:rsidR="005A1F7E" w:rsidRPr="0076434B" w:rsidRDefault="005A1F7E" w:rsidP="0001442A">
            <w:pPr>
              <w:jc w:val="right"/>
              <w:rPr>
                <w:rFonts w:cs="Arial"/>
                <w:sz w:val="18"/>
                <w:szCs w:val="18"/>
              </w:rPr>
            </w:pPr>
            <w:r w:rsidRPr="0076434B">
              <w:rPr>
                <w:rFonts w:cs="Arial"/>
                <w:sz w:val="18"/>
                <w:szCs w:val="18"/>
              </w:rPr>
              <w:t>16</w:t>
            </w:r>
          </w:p>
        </w:tc>
        <w:tc>
          <w:tcPr>
            <w:tcW w:w="3260" w:type="dxa"/>
            <w:vMerge w:val="restart"/>
            <w:tcBorders>
              <w:top w:val="single" w:sz="4" w:space="0" w:color="auto"/>
              <w:bottom w:val="single" w:sz="12" w:space="0" w:color="000000"/>
              <w:right w:val="single" w:sz="12" w:space="0" w:color="000000"/>
            </w:tcBorders>
            <w:vAlign w:val="center"/>
          </w:tcPr>
          <w:p w14:paraId="3F25AC92" w14:textId="77777777" w:rsidR="005A1F7E" w:rsidRPr="0076434B" w:rsidRDefault="005A1F7E" w:rsidP="0001442A">
            <w:pPr>
              <w:jc w:val="right"/>
              <w:rPr>
                <w:rFonts w:cs="Arial"/>
                <w:sz w:val="18"/>
                <w:szCs w:val="18"/>
              </w:rPr>
            </w:pPr>
            <w:r w:rsidRPr="00A14979">
              <w:rPr>
                <w:rFonts w:cs="Arial"/>
                <w:sz w:val="18"/>
                <w:szCs w:val="18"/>
              </w:rPr>
              <w:t>26,785</w:t>
            </w:r>
          </w:p>
        </w:tc>
      </w:tr>
      <w:tr w:rsidR="005A1F7E" w:rsidRPr="0076434B" w14:paraId="3F25AC97" w14:textId="77777777" w:rsidTr="006E3AD4">
        <w:trPr>
          <w:trHeight w:val="194"/>
        </w:trPr>
        <w:tc>
          <w:tcPr>
            <w:tcW w:w="2518" w:type="dxa"/>
            <w:vMerge/>
            <w:tcBorders>
              <w:left w:val="single" w:sz="12" w:space="0" w:color="000000"/>
              <w:bottom w:val="single" w:sz="12" w:space="0" w:color="000000"/>
            </w:tcBorders>
            <w:vAlign w:val="center"/>
          </w:tcPr>
          <w:p w14:paraId="3F25AC94" w14:textId="77777777" w:rsidR="005A1F7E" w:rsidRPr="0076434B" w:rsidRDefault="005A1F7E" w:rsidP="0001442A">
            <w:pPr>
              <w:rPr>
                <w:rFonts w:cs="Arial"/>
                <w:sz w:val="18"/>
                <w:szCs w:val="18"/>
              </w:rPr>
            </w:pPr>
          </w:p>
        </w:tc>
        <w:tc>
          <w:tcPr>
            <w:tcW w:w="2835" w:type="dxa"/>
            <w:tcBorders>
              <w:bottom w:val="single" w:sz="12" w:space="0" w:color="000000"/>
            </w:tcBorders>
            <w:vAlign w:val="center"/>
          </w:tcPr>
          <w:p w14:paraId="3F25AC95" w14:textId="77777777" w:rsidR="005A1F7E" w:rsidRPr="0076434B" w:rsidRDefault="005A1F7E" w:rsidP="0001442A">
            <w:pPr>
              <w:jc w:val="right"/>
              <w:rPr>
                <w:rFonts w:cs="Arial"/>
                <w:sz w:val="18"/>
                <w:szCs w:val="18"/>
              </w:rPr>
            </w:pPr>
            <w:r w:rsidRPr="0076434B">
              <w:rPr>
                <w:rFonts w:cs="Arial"/>
                <w:sz w:val="18"/>
                <w:szCs w:val="18"/>
              </w:rPr>
              <w:t>952</w:t>
            </w:r>
            <w:r>
              <w:rPr>
                <w:rFonts w:cs="Arial"/>
                <w:sz w:val="18"/>
                <w:szCs w:val="18"/>
              </w:rPr>
              <w:t>,540</w:t>
            </w:r>
          </w:p>
        </w:tc>
        <w:tc>
          <w:tcPr>
            <w:tcW w:w="3260" w:type="dxa"/>
            <w:vMerge/>
            <w:tcBorders>
              <w:bottom w:val="single" w:sz="12" w:space="0" w:color="000000"/>
              <w:right w:val="single" w:sz="12" w:space="0" w:color="000000"/>
            </w:tcBorders>
            <w:vAlign w:val="center"/>
          </w:tcPr>
          <w:p w14:paraId="3F25AC96" w14:textId="77777777" w:rsidR="005A1F7E" w:rsidRPr="0076434B" w:rsidRDefault="005A1F7E" w:rsidP="0001442A">
            <w:pPr>
              <w:jc w:val="right"/>
              <w:rPr>
                <w:rFonts w:cs="Arial"/>
                <w:sz w:val="18"/>
                <w:szCs w:val="18"/>
              </w:rPr>
            </w:pPr>
          </w:p>
        </w:tc>
      </w:tr>
      <w:tr w:rsidR="005A1F7E" w:rsidRPr="0076434B" w14:paraId="3F25AC9B" w14:textId="77777777" w:rsidTr="006E3AD4">
        <w:trPr>
          <w:trHeight w:val="169"/>
        </w:trPr>
        <w:tc>
          <w:tcPr>
            <w:tcW w:w="2518" w:type="dxa"/>
            <w:vMerge w:val="restart"/>
            <w:tcBorders>
              <w:top w:val="single" w:sz="12" w:space="0" w:color="000000"/>
              <w:left w:val="single" w:sz="12" w:space="0" w:color="000000"/>
            </w:tcBorders>
            <w:vAlign w:val="center"/>
          </w:tcPr>
          <w:p w14:paraId="3F25AC98" w14:textId="77777777" w:rsidR="005A1F7E" w:rsidRPr="0076434B" w:rsidRDefault="005A1F7E" w:rsidP="0001442A">
            <w:pPr>
              <w:rPr>
                <w:sz w:val="18"/>
                <w:szCs w:val="18"/>
              </w:rPr>
            </w:pPr>
            <w:r w:rsidRPr="0076434B">
              <w:rPr>
                <w:sz w:val="18"/>
                <w:szCs w:val="18"/>
              </w:rPr>
              <w:t>EUROCOPTER</w:t>
            </w:r>
          </w:p>
        </w:tc>
        <w:tc>
          <w:tcPr>
            <w:tcW w:w="2835" w:type="dxa"/>
            <w:tcBorders>
              <w:top w:val="single" w:sz="12" w:space="0" w:color="000000"/>
            </w:tcBorders>
            <w:vAlign w:val="center"/>
          </w:tcPr>
          <w:p w14:paraId="3F25AC99" w14:textId="77777777" w:rsidR="005A1F7E" w:rsidRPr="0076434B" w:rsidRDefault="005A1F7E" w:rsidP="0001442A">
            <w:pPr>
              <w:jc w:val="right"/>
              <w:rPr>
                <w:rFonts w:cs="Arial"/>
                <w:sz w:val="18"/>
                <w:szCs w:val="18"/>
              </w:rPr>
            </w:pPr>
            <w:r w:rsidRPr="0076434B">
              <w:rPr>
                <w:rFonts w:cs="Arial"/>
                <w:sz w:val="18"/>
                <w:szCs w:val="18"/>
              </w:rPr>
              <w:t>16</w:t>
            </w:r>
          </w:p>
        </w:tc>
        <w:tc>
          <w:tcPr>
            <w:tcW w:w="3260" w:type="dxa"/>
            <w:vMerge w:val="restart"/>
            <w:tcBorders>
              <w:top w:val="single" w:sz="12" w:space="0" w:color="000000"/>
              <w:bottom w:val="single" w:sz="12" w:space="0" w:color="000000"/>
              <w:right w:val="single" w:sz="12" w:space="0" w:color="000000"/>
            </w:tcBorders>
            <w:vAlign w:val="center"/>
          </w:tcPr>
          <w:p w14:paraId="3F25AC9A" w14:textId="77777777" w:rsidR="005A1F7E" w:rsidRPr="009F7DD0" w:rsidRDefault="005A1F7E" w:rsidP="0001442A">
            <w:pPr>
              <w:jc w:val="right"/>
              <w:rPr>
                <w:sz w:val="18"/>
                <w:szCs w:val="18"/>
              </w:rPr>
            </w:pPr>
            <w:r w:rsidRPr="009F7DD0">
              <w:rPr>
                <w:rFonts w:cs="Arial"/>
                <w:color w:val="000000"/>
                <w:sz w:val="18"/>
                <w:szCs w:val="18"/>
              </w:rPr>
              <w:t>874,627</w:t>
            </w:r>
          </w:p>
        </w:tc>
      </w:tr>
      <w:tr w:rsidR="005A1F7E" w:rsidRPr="0076434B" w14:paraId="3F25AC9F" w14:textId="77777777" w:rsidTr="006E3AD4">
        <w:trPr>
          <w:trHeight w:val="169"/>
        </w:trPr>
        <w:tc>
          <w:tcPr>
            <w:tcW w:w="2518" w:type="dxa"/>
            <w:vMerge/>
            <w:tcBorders>
              <w:left w:val="single" w:sz="12" w:space="0" w:color="000000"/>
              <w:bottom w:val="single" w:sz="12" w:space="0" w:color="000000"/>
            </w:tcBorders>
          </w:tcPr>
          <w:p w14:paraId="3F25AC9C" w14:textId="77777777" w:rsidR="005A1F7E" w:rsidRPr="0076434B" w:rsidRDefault="005A1F7E" w:rsidP="0001442A">
            <w:pPr>
              <w:rPr>
                <w:sz w:val="18"/>
                <w:szCs w:val="18"/>
              </w:rPr>
            </w:pPr>
          </w:p>
        </w:tc>
        <w:tc>
          <w:tcPr>
            <w:tcW w:w="2835" w:type="dxa"/>
            <w:tcBorders>
              <w:bottom w:val="single" w:sz="12" w:space="0" w:color="000000"/>
            </w:tcBorders>
            <w:vAlign w:val="center"/>
          </w:tcPr>
          <w:p w14:paraId="3F25AC9D" w14:textId="77777777" w:rsidR="005A1F7E" w:rsidRPr="0076434B" w:rsidRDefault="005A1F7E" w:rsidP="0001442A">
            <w:pPr>
              <w:jc w:val="right"/>
              <w:rPr>
                <w:rFonts w:cs="Arial"/>
                <w:sz w:val="18"/>
                <w:szCs w:val="18"/>
              </w:rPr>
            </w:pPr>
            <w:r w:rsidRPr="0076434B">
              <w:rPr>
                <w:sz w:val="18"/>
                <w:szCs w:val="18"/>
              </w:rPr>
              <w:t>1</w:t>
            </w:r>
            <w:r>
              <w:rPr>
                <w:sz w:val="18"/>
                <w:szCs w:val="18"/>
              </w:rPr>
              <w:t> </w:t>
            </w:r>
            <w:r w:rsidRPr="0076434B">
              <w:rPr>
                <w:sz w:val="18"/>
                <w:szCs w:val="18"/>
              </w:rPr>
              <w:t>166</w:t>
            </w:r>
            <w:r>
              <w:rPr>
                <w:sz w:val="18"/>
                <w:szCs w:val="18"/>
              </w:rPr>
              <w:t>,869</w:t>
            </w:r>
          </w:p>
        </w:tc>
        <w:tc>
          <w:tcPr>
            <w:tcW w:w="3260" w:type="dxa"/>
            <w:vMerge/>
            <w:tcBorders>
              <w:bottom w:val="single" w:sz="12" w:space="0" w:color="000000"/>
              <w:right w:val="single" w:sz="12" w:space="0" w:color="000000"/>
            </w:tcBorders>
          </w:tcPr>
          <w:p w14:paraId="3F25AC9E" w14:textId="77777777" w:rsidR="005A1F7E" w:rsidRPr="0076434B" w:rsidRDefault="005A1F7E" w:rsidP="0001442A">
            <w:pPr>
              <w:jc w:val="center"/>
              <w:rPr>
                <w:rFonts w:cs="Arial"/>
                <w:color w:val="000000"/>
                <w:sz w:val="18"/>
                <w:szCs w:val="18"/>
              </w:rPr>
            </w:pPr>
          </w:p>
        </w:tc>
      </w:tr>
      <w:tr w:rsidR="005A1F7E" w:rsidRPr="0076434B" w14:paraId="3F25ACA3" w14:textId="77777777" w:rsidTr="006E3AD4">
        <w:trPr>
          <w:trHeight w:val="169"/>
        </w:trPr>
        <w:tc>
          <w:tcPr>
            <w:tcW w:w="2518" w:type="dxa"/>
            <w:tcBorders>
              <w:top w:val="single" w:sz="12" w:space="0" w:color="000000"/>
              <w:left w:val="single" w:sz="12" w:space="0" w:color="000000"/>
              <w:bottom w:val="single" w:sz="12" w:space="0" w:color="000000"/>
              <w:right w:val="single" w:sz="4" w:space="0" w:color="000000"/>
            </w:tcBorders>
          </w:tcPr>
          <w:p w14:paraId="3F25ACA0" w14:textId="77777777" w:rsidR="005A1F7E" w:rsidRPr="0076434B" w:rsidRDefault="005A1F7E" w:rsidP="006E3AD4">
            <w:pPr>
              <w:rPr>
                <w:rFonts w:eastAsia="Times New Roman" w:cs="Arial"/>
                <w:b/>
                <w:sz w:val="18"/>
                <w:szCs w:val="18"/>
              </w:rPr>
            </w:pPr>
            <w:r w:rsidRPr="0076434B">
              <w:rPr>
                <w:rFonts w:cs="Arial"/>
                <w:b/>
                <w:sz w:val="18"/>
                <w:szCs w:val="18"/>
              </w:rPr>
              <w:t>Celkem</w:t>
            </w:r>
            <w:r w:rsidR="0001442A">
              <w:rPr>
                <w:rFonts w:cs="Arial"/>
                <w:b/>
                <w:sz w:val="18"/>
                <w:szCs w:val="18"/>
              </w:rPr>
              <w:t xml:space="preserve">      </w:t>
            </w:r>
          </w:p>
        </w:tc>
        <w:tc>
          <w:tcPr>
            <w:tcW w:w="2835" w:type="dxa"/>
            <w:tcBorders>
              <w:top w:val="single" w:sz="12" w:space="0" w:color="000000"/>
              <w:left w:val="single" w:sz="4" w:space="0" w:color="000000"/>
              <w:bottom w:val="single" w:sz="12" w:space="0" w:color="000000"/>
            </w:tcBorders>
          </w:tcPr>
          <w:p w14:paraId="3F25ACA1" w14:textId="77777777" w:rsidR="005A1F7E" w:rsidRPr="006E3AD4" w:rsidRDefault="005A1F7E" w:rsidP="0001442A">
            <w:pPr>
              <w:jc w:val="right"/>
              <w:rPr>
                <w:rFonts w:cs="Arial"/>
                <w:b/>
                <w:sz w:val="18"/>
                <w:szCs w:val="18"/>
              </w:rPr>
            </w:pPr>
            <w:r w:rsidRPr="006E3AD4">
              <w:rPr>
                <w:rFonts w:cs="Arial"/>
                <w:b/>
                <w:sz w:val="18"/>
                <w:szCs w:val="18"/>
              </w:rPr>
              <w:t>32 779,978</w:t>
            </w:r>
          </w:p>
        </w:tc>
        <w:tc>
          <w:tcPr>
            <w:tcW w:w="3260" w:type="dxa"/>
            <w:tcBorders>
              <w:top w:val="single" w:sz="12" w:space="0" w:color="000000"/>
              <w:bottom w:val="single" w:sz="12" w:space="0" w:color="000000"/>
              <w:right w:val="single" w:sz="12" w:space="0" w:color="000000"/>
            </w:tcBorders>
          </w:tcPr>
          <w:p w14:paraId="3F25ACA2" w14:textId="77777777" w:rsidR="005A1F7E" w:rsidRPr="0076434B" w:rsidRDefault="005A1F7E" w:rsidP="0001442A">
            <w:pPr>
              <w:jc w:val="right"/>
              <w:rPr>
                <w:rFonts w:cs="Arial"/>
                <w:b/>
                <w:color w:val="000000"/>
                <w:sz w:val="18"/>
                <w:szCs w:val="18"/>
              </w:rPr>
            </w:pPr>
            <w:r w:rsidRPr="00061A35">
              <w:rPr>
                <w:rFonts w:cs="Arial"/>
                <w:b/>
                <w:color w:val="000000"/>
                <w:sz w:val="18"/>
                <w:szCs w:val="18"/>
              </w:rPr>
              <w:t>1</w:t>
            </w:r>
            <w:r>
              <w:rPr>
                <w:rFonts w:cs="Arial"/>
                <w:b/>
                <w:color w:val="000000"/>
                <w:sz w:val="18"/>
                <w:szCs w:val="18"/>
              </w:rPr>
              <w:t xml:space="preserve"> </w:t>
            </w:r>
            <w:r w:rsidRPr="00061A35">
              <w:rPr>
                <w:rFonts w:cs="Arial"/>
                <w:b/>
                <w:color w:val="000000"/>
                <w:sz w:val="18"/>
                <w:szCs w:val="18"/>
              </w:rPr>
              <w:t>146,224</w:t>
            </w:r>
          </w:p>
        </w:tc>
      </w:tr>
    </w:tbl>
    <w:p w14:paraId="3F25ACA4" w14:textId="4E3E2E76" w:rsidR="008B6AF6" w:rsidRPr="00A77368" w:rsidRDefault="008B6AF6" w:rsidP="00F6465D">
      <w:pPr>
        <w:rPr>
          <w:rFonts w:cs="Arial"/>
          <w:sz w:val="18"/>
          <w:szCs w:val="18"/>
        </w:rPr>
      </w:pPr>
      <w:r w:rsidRPr="00A77368">
        <w:rPr>
          <w:rFonts w:cs="Arial"/>
          <w:b/>
          <w:sz w:val="18"/>
          <w:szCs w:val="18"/>
        </w:rPr>
        <w:t>Zdroj:</w:t>
      </w:r>
      <w:r w:rsidRPr="00A77368">
        <w:rPr>
          <w:rFonts w:cs="Arial"/>
          <w:sz w:val="18"/>
          <w:szCs w:val="18"/>
        </w:rPr>
        <w:t xml:space="preserve"> </w:t>
      </w:r>
      <w:r w:rsidR="004C5566">
        <w:rPr>
          <w:rFonts w:cs="Arial"/>
          <w:sz w:val="18"/>
          <w:szCs w:val="18"/>
        </w:rPr>
        <w:t>Tabulku sestavil NKÚ na základě d</w:t>
      </w:r>
      <w:r w:rsidRPr="00A77368">
        <w:rPr>
          <w:rFonts w:cs="Arial"/>
          <w:sz w:val="18"/>
          <w:szCs w:val="18"/>
        </w:rPr>
        <w:t>oklad</w:t>
      </w:r>
      <w:r w:rsidR="004C5566">
        <w:rPr>
          <w:rFonts w:cs="Arial"/>
          <w:sz w:val="18"/>
          <w:szCs w:val="18"/>
        </w:rPr>
        <w:t>ů</w:t>
      </w:r>
      <w:r w:rsidRPr="00A77368">
        <w:rPr>
          <w:rFonts w:cs="Arial"/>
          <w:sz w:val="18"/>
          <w:szCs w:val="18"/>
        </w:rPr>
        <w:t xml:space="preserve"> MO a MV</w:t>
      </w:r>
      <w:r w:rsidR="004C5566">
        <w:rPr>
          <w:rFonts w:cs="Arial"/>
          <w:sz w:val="18"/>
          <w:szCs w:val="18"/>
        </w:rPr>
        <w:t>.</w:t>
      </w:r>
    </w:p>
    <w:p w14:paraId="264A49E4" w14:textId="77777777" w:rsidR="005F0E6A" w:rsidRDefault="005F0E6A" w:rsidP="006E3AD4">
      <w:pPr>
        <w:jc w:val="both"/>
        <w:rPr>
          <w:rFonts w:cs="Arial"/>
        </w:rPr>
      </w:pPr>
    </w:p>
    <w:p w14:paraId="3F25ACA5" w14:textId="42893245" w:rsidR="004C7090" w:rsidRPr="00BF6920" w:rsidRDefault="00362B86" w:rsidP="006E3AD4">
      <w:pPr>
        <w:jc w:val="both"/>
        <w:rPr>
          <w:rFonts w:cs="Arial"/>
          <w:sz w:val="22"/>
          <w:szCs w:val="22"/>
        </w:rPr>
      </w:pPr>
      <w:r w:rsidRPr="00BF6920">
        <w:rPr>
          <w:rFonts w:cs="Arial"/>
        </w:rPr>
        <w:t>K</w:t>
      </w:r>
      <w:r w:rsidR="00EB260E" w:rsidRPr="00BF6920">
        <w:rPr>
          <w:rFonts w:cs="Arial"/>
          <w:sz w:val="22"/>
          <w:szCs w:val="22"/>
        </w:rPr>
        <w:t>ontrolou osmi PPS</w:t>
      </w:r>
      <w:r w:rsidRPr="00BF6920">
        <w:rPr>
          <w:rFonts w:cs="Arial"/>
          <w:sz w:val="22"/>
          <w:szCs w:val="22"/>
        </w:rPr>
        <w:t xml:space="preserve"> u MO, kam bylo zařazeno </w:t>
      </w:r>
      <w:r w:rsidR="00EB260E" w:rsidRPr="00BF6920">
        <w:rPr>
          <w:rFonts w:cs="Arial"/>
          <w:sz w:val="22"/>
          <w:szCs w:val="22"/>
        </w:rPr>
        <w:t xml:space="preserve">117 OFT v celkové </w:t>
      </w:r>
      <w:r w:rsidR="000224C5" w:rsidRPr="00BF6920">
        <w:rPr>
          <w:rFonts w:cs="Arial"/>
          <w:sz w:val="22"/>
          <w:szCs w:val="22"/>
        </w:rPr>
        <w:t xml:space="preserve">uznané </w:t>
      </w:r>
      <w:r w:rsidR="00EB260E" w:rsidRPr="00BF6920">
        <w:rPr>
          <w:rFonts w:cs="Arial"/>
          <w:sz w:val="22"/>
          <w:szCs w:val="22"/>
        </w:rPr>
        <w:t>hodnotě cca</w:t>
      </w:r>
      <w:r w:rsidRPr="00BF6920">
        <w:rPr>
          <w:rFonts w:cs="Arial"/>
          <w:sz w:val="22"/>
          <w:szCs w:val="22"/>
        </w:rPr>
        <w:t> </w:t>
      </w:r>
      <w:r w:rsidR="00EB260E" w:rsidRPr="00BF6920">
        <w:rPr>
          <w:rFonts w:cs="Arial"/>
          <w:sz w:val="22"/>
          <w:szCs w:val="22"/>
        </w:rPr>
        <w:t>40 712 mil. Kč</w:t>
      </w:r>
      <w:r w:rsidRPr="00BF6920">
        <w:rPr>
          <w:rFonts w:cs="Arial"/>
          <w:sz w:val="22"/>
          <w:szCs w:val="22"/>
        </w:rPr>
        <w:t>, NKÚ</w:t>
      </w:r>
      <w:r w:rsidR="00EB260E" w:rsidRPr="00BF6920">
        <w:rPr>
          <w:rFonts w:cs="Arial"/>
          <w:sz w:val="22"/>
          <w:szCs w:val="22"/>
        </w:rPr>
        <w:t xml:space="preserve"> zjistil k datu 31. </w:t>
      </w:r>
      <w:r w:rsidRPr="00BF6920">
        <w:rPr>
          <w:rFonts w:cs="Arial"/>
          <w:sz w:val="22"/>
          <w:szCs w:val="22"/>
        </w:rPr>
        <w:t>prosince</w:t>
      </w:r>
      <w:r w:rsidR="00EB260E" w:rsidRPr="00BF6920">
        <w:rPr>
          <w:rFonts w:cs="Arial"/>
          <w:sz w:val="22"/>
          <w:szCs w:val="22"/>
        </w:rPr>
        <w:t xml:space="preserve"> 2011 nedostatky z hlediska správnosti uznaného plnění </w:t>
      </w:r>
      <w:r w:rsidR="000224C5" w:rsidRPr="00BF6920">
        <w:rPr>
          <w:rFonts w:cs="Arial"/>
          <w:sz w:val="22"/>
          <w:szCs w:val="22"/>
        </w:rPr>
        <w:t xml:space="preserve">ve výši minimálně 244,8 mil. Kč (0,6 %) </w:t>
      </w:r>
      <w:r w:rsidR="002A3966" w:rsidRPr="00BF6920">
        <w:rPr>
          <w:rFonts w:cs="Arial"/>
          <w:sz w:val="22"/>
          <w:szCs w:val="22"/>
        </w:rPr>
        <w:t xml:space="preserve">u čtyř </w:t>
      </w:r>
      <w:r w:rsidR="00EB260E" w:rsidRPr="00BF6920">
        <w:rPr>
          <w:rFonts w:cs="Arial"/>
          <w:sz w:val="22"/>
          <w:szCs w:val="22"/>
        </w:rPr>
        <w:t>PPS</w:t>
      </w:r>
      <w:r w:rsidR="000224C5" w:rsidRPr="00BF6920">
        <w:rPr>
          <w:rFonts w:cs="Arial"/>
          <w:sz w:val="22"/>
          <w:szCs w:val="22"/>
        </w:rPr>
        <w:t xml:space="preserve">. </w:t>
      </w:r>
      <w:r w:rsidRPr="00BF6920">
        <w:rPr>
          <w:rFonts w:cs="Arial"/>
          <w:sz w:val="22"/>
          <w:szCs w:val="22"/>
        </w:rPr>
        <w:t>K</w:t>
      </w:r>
      <w:r w:rsidR="00EB260E" w:rsidRPr="00BF6920">
        <w:rPr>
          <w:rFonts w:cs="Arial"/>
          <w:sz w:val="22"/>
          <w:szCs w:val="22"/>
        </w:rPr>
        <w:t>ontrolou dvou PPS</w:t>
      </w:r>
      <w:r w:rsidRPr="00BF6920">
        <w:rPr>
          <w:rFonts w:cs="Arial"/>
          <w:sz w:val="22"/>
          <w:szCs w:val="22"/>
        </w:rPr>
        <w:t xml:space="preserve"> u</w:t>
      </w:r>
      <w:r w:rsidR="005978E4">
        <w:rPr>
          <w:rFonts w:cs="Arial"/>
          <w:sz w:val="22"/>
          <w:szCs w:val="22"/>
        </w:rPr>
        <w:t> </w:t>
      </w:r>
      <w:r w:rsidRPr="00BF6920">
        <w:rPr>
          <w:rFonts w:cs="Arial"/>
          <w:sz w:val="22"/>
          <w:szCs w:val="22"/>
        </w:rPr>
        <w:t>MV, kam bylo zařazeno</w:t>
      </w:r>
      <w:r w:rsidR="00EB260E" w:rsidRPr="00BF6920">
        <w:rPr>
          <w:rFonts w:cs="Arial"/>
          <w:sz w:val="22"/>
          <w:szCs w:val="22"/>
        </w:rPr>
        <w:t xml:space="preserve"> 32 OFT v celkové uznané hodnotě cca </w:t>
      </w:r>
      <w:r w:rsidR="004C7090" w:rsidRPr="00BF6920">
        <w:rPr>
          <w:rFonts w:cs="Arial"/>
          <w:sz w:val="22"/>
          <w:szCs w:val="22"/>
        </w:rPr>
        <w:t>2</w:t>
      </w:r>
      <w:r w:rsidR="00A77368" w:rsidRPr="00BF6920">
        <w:rPr>
          <w:rFonts w:cs="Arial"/>
          <w:sz w:val="22"/>
          <w:szCs w:val="22"/>
        </w:rPr>
        <w:t> </w:t>
      </w:r>
      <w:r w:rsidR="004C7090" w:rsidRPr="00BF6920">
        <w:rPr>
          <w:rFonts w:cs="Arial"/>
          <w:sz w:val="22"/>
          <w:szCs w:val="22"/>
        </w:rPr>
        <w:t>119</w:t>
      </w:r>
      <w:r w:rsidR="00EB260E" w:rsidRPr="00BF6920">
        <w:rPr>
          <w:rFonts w:cs="Arial"/>
          <w:sz w:val="22"/>
          <w:szCs w:val="22"/>
        </w:rPr>
        <w:t xml:space="preserve"> mil. Kč</w:t>
      </w:r>
      <w:r w:rsidRPr="00BF6920">
        <w:rPr>
          <w:rFonts w:cs="Arial"/>
          <w:sz w:val="22"/>
          <w:szCs w:val="22"/>
        </w:rPr>
        <w:t>,</w:t>
      </w:r>
      <w:r w:rsidR="00EB260E" w:rsidRPr="00BF6920">
        <w:rPr>
          <w:rFonts w:cs="Arial"/>
          <w:sz w:val="22"/>
          <w:szCs w:val="22"/>
        </w:rPr>
        <w:t xml:space="preserve"> </w:t>
      </w:r>
      <w:r w:rsidRPr="00BF6920">
        <w:rPr>
          <w:rFonts w:cs="Arial"/>
          <w:sz w:val="22"/>
          <w:szCs w:val="22"/>
        </w:rPr>
        <w:t xml:space="preserve">NKÚ </w:t>
      </w:r>
      <w:r w:rsidR="00EB260E" w:rsidRPr="00BF6920">
        <w:rPr>
          <w:rFonts w:cs="Arial"/>
          <w:sz w:val="22"/>
          <w:szCs w:val="22"/>
        </w:rPr>
        <w:t>zjistil k datu 31. prosince 2011</w:t>
      </w:r>
      <w:r w:rsidRPr="00BF6920">
        <w:rPr>
          <w:rFonts w:cs="Arial"/>
          <w:sz w:val="22"/>
          <w:szCs w:val="22"/>
        </w:rPr>
        <w:t xml:space="preserve"> </w:t>
      </w:r>
      <w:r w:rsidR="005A1F7E" w:rsidRPr="00BF6920">
        <w:rPr>
          <w:rFonts w:cs="Arial"/>
          <w:sz w:val="22"/>
          <w:szCs w:val="22"/>
        </w:rPr>
        <w:t>(</w:t>
      </w:r>
      <w:r w:rsidRPr="00BF6920">
        <w:rPr>
          <w:rFonts w:cs="Arial"/>
          <w:sz w:val="22"/>
          <w:szCs w:val="22"/>
        </w:rPr>
        <w:t xml:space="preserve">resp. </w:t>
      </w:r>
      <w:r w:rsidR="004C5566">
        <w:rPr>
          <w:rFonts w:cs="Arial"/>
          <w:sz w:val="22"/>
          <w:szCs w:val="22"/>
        </w:rPr>
        <w:t xml:space="preserve">31. 12. </w:t>
      </w:r>
      <w:r w:rsidRPr="00BF6920">
        <w:rPr>
          <w:rFonts w:cs="Arial"/>
          <w:sz w:val="22"/>
          <w:szCs w:val="22"/>
        </w:rPr>
        <w:t>2010 v případě PPS PEGAS</w:t>
      </w:r>
      <w:r w:rsidR="005A1F7E" w:rsidRPr="00BF6920">
        <w:rPr>
          <w:rFonts w:cs="Arial"/>
          <w:sz w:val="22"/>
          <w:szCs w:val="22"/>
        </w:rPr>
        <w:t>)</w:t>
      </w:r>
      <w:r w:rsidR="00EB260E" w:rsidRPr="00BF6920">
        <w:rPr>
          <w:rFonts w:cs="Arial"/>
          <w:sz w:val="22"/>
          <w:szCs w:val="22"/>
        </w:rPr>
        <w:t xml:space="preserve"> nedostatky z hlediska správnosti uznaného plnění ve výši minimálně 9</w:t>
      </w:r>
      <w:r w:rsidR="002B7F6F" w:rsidRPr="00BF6920">
        <w:rPr>
          <w:rFonts w:cs="Arial"/>
          <w:sz w:val="22"/>
          <w:szCs w:val="22"/>
        </w:rPr>
        <w:t>01</w:t>
      </w:r>
      <w:r w:rsidR="006D5D47" w:rsidRPr="00BF6920">
        <w:rPr>
          <w:rFonts w:cs="Arial"/>
          <w:sz w:val="22"/>
          <w:szCs w:val="22"/>
        </w:rPr>
        <w:t>,</w:t>
      </w:r>
      <w:r w:rsidR="004C7090" w:rsidRPr="00BF6920">
        <w:rPr>
          <w:rFonts w:cs="Arial"/>
          <w:sz w:val="22"/>
          <w:szCs w:val="22"/>
        </w:rPr>
        <w:t>4</w:t>
      </w:r>
      <w:r w:rsidR="00EB260E" w:rsidRPr="00BF6920">
        <w:rPr>
          <w:rFonts w:cs="Arial"/>
          <w:sz w:val="22"/>
          <w:szCs w:val="22"/>
        </w:rPr>
        <w:t xml:space="preserve"> mil. Kč</w:t>
      </w:r>
      <w:r w:rsidR="004C7090" w:rsidRPr="00BF6920">
        <w:rPr>
          <w:rFonts w:cs="Arial"/>
          <w:sz w:val="22"/>
          <w:szCs w:val="22"/>
        </w:rPr>
        <w:t xml:space="preserve"> (</w:t>
      </w:r>
      <w:r w:rsidR="004C7090" w:rsidRPr="00BF6920">
        <w:rPr>
          <w:rFonts w:cs="Arial"/>
          <w:bCs/>
          <w:sz w:val="22"/>
          <w:szCs w:val="22"/>
        </w:rPr>
        <w:t xml:space="preserve">42,5 </w:t>
      </w:r>
      <w:r w:rsidR="004C7090" w:rsidRPr="00BF6920">
        <w:rPr>
          <w:rFonts w:cs="Arial"/>
          <w:sz w:val="22"/>
          <w:szCs w:val="22"/>
        </w:rPr>
        <w:t>%)</w:t>
      </w:r>
      <w:r w:rsidR="00EB260E" w:rsidRPr="00BF6920">
        <w:rPr>
          <w:rFonts w:cs="Arial"/>
          <w:sz w:val="22"/>
          <w:szCs w:val="22"/>
        </w:rPr>
        <w:t xml:space="preserve">. </w:t>
      </w:r>
    </w:p>
    <w:p w14:paraId="0B0168A1" w14:textId="77777777" w:rsidR="005F0E6A" w:rsidRDefault="005F0E6A" w:rsidP="006E3AD4">
      <w:pPr>
        <w:jc w:val="both"/>
        <w:rPr>
          <w:rFonts w:cs="Arial"/>
          <w:b/>
          <w:sz w:val="22"/>
          <w:szCs w:val="22"/>
        </w:rPr>
      </w:pPr>
    </w:p>
    <w:p w14:paraId="3F25ACA6" w14:textId="77777777" w:rsidR="000224C5" w:rsidRDefault="000224C5" w:rsidP="006E3AD4">
      <w:pPr>
        <w:jc w:val="both"/>
        <w:rPr>
          <w:rFonts w:cs="Arial"/>
          <w:b/>
          <w:sz w:val="22"/>
          <w:szCs w:val="22"/>
        </w:rPr>
      </w:pPr>
      <w:r>
        <w:rPr>
          <w:rFonts w:cs="Arial"/>
          <w:b/>
          <w:sz w:val="22"/>
          <w:szCs w:val="22"/>
        </w:rPr>
        <w:t>Celková h</w:t>
      </w:r>
      <w:r w:rsidR="00EB260E" w:rsidRPr="000224C5">
        <w:rPr>
          <w:rFonts w:cs="Arial"/>
          <w:b/>
          <w:sz w:val="22"/>
          <w:szCs w:val="22"/>
        </w:rPr>
        <w:t xml:space="preserve">odnota nesprávně uznaného plnění </w:t>
      </w:r>
      <w:r w:rsidR="00FF5B4A" w:rsidRPr="000224C5">
        <w:rPr>
          <w:rFonts w:cs="Arial"/>
          <w:b/>
          <w:sz w:val="22"/>
          <w:szCs w:val="22"/>
        </w:rPr>
        <w:t xml:space="preserve">ze strany </w:t>
      </w:r>
      <w:r w:rsidR="004C7090" w:rsidRPr="000224C5">
        <w:rPr>
          <w:rFonts w:cs="Arial"/>
          <w:b/>
          <w:sz w:val="22"/>
          <w:szCs w:val="22"/>
        </w:rPr>
        <w:t xml:space="preserve">MO a </w:t>
      </w:r>
      <w:r w:rsidR="00FF5B4A" w:rsidRPr="000224C5">
        <w:rPr>
          <w:rFonts w:cs="Arial"/>
          <w:b/>
          <w:sz w:val="22"/>
          <w:szCs w:val="22"/>
        </w:rPr>
        <w:t xml:space="preserve">MV </w:t>
      </w:r>
      <w:r w:rsidR="00EB260E" w:rsidRPr="000224C5">
        <w:rPr>
          <w:rFonts w:cs="Arial"/>
          <w:b/>
          <w:sz w:val="22"/>
          <w:szCs w:val="22"/>
        </w:rPr>
        <w:t xml:space="preserve">činí </w:t>
      </w:r>
      <w:r>
        <w:rPr>
          <w:rFonts w:cs="Arial"/>
          <w:b/>
          <w:sz w:val="22"/>
          <w:szCs w:val="22"/>
        </w:rPr>
        <w:t xml:space="preserve">podle zjištění NKÚ nejméně </w:t>
      </w:r>
      <w:r w:rsidR="00060A24" w:rsidRPr="000224C5">
        <w:rPr>
          <w:rFonts w:cs="Arial"/>
          <w:b/>
          <w:sz w:val="22"/>
          <w:szCs w:val="22"/>
        </w:rPr>
        <w:t>1 14</w:t>
      </w:r>
      <w:r w:rsidR="003F7F9D" w:rsidRPr="000224C5">
        <w:rPr>
          <w:rFonts w:cs="Arial"/>
          <w:b/>
          <w:sz w:val="22"/>
          <w:szCs w:val="22"/>
        </w:rPr>
        <w:t>6</w:t>
      </w:r>
      <w:r w:rsidR="00060A24" w:rsidRPr="000224C5">
        <w:rPr>
          <w:rFonts w:cs="Arial"/>
          <w:b/>
          <w:sz w:val="22"/>
          <w:szCs w:val="22"/>
        </w:rPr>
        <w:t>,</w:t>
      </w:r>
      <w:r w:rsidR="003F7F9D" w:rsidRPr="000224C5">
        <w:rPr>
          <w:rFonts w:cs="Arial"/>
          <w:b/>
          <w:sz w:val="22"/>
          <w:szCs w:val="22"/>
        </w:rPr>
        <w:t>2</w:t>
      </w:r>
      <w:r w:rsidR="00060A24" w:rsidRPr="000224C5">
        <w:rPr>
          <w:rFonts w:cs="Arial"/>
          <w:b/>
          <w:sz w:val="22"/>
          <w:szCs w:val="22"/>
        </w:rPr>
        <w:t xml:space="preserve"> mil. Kč. </w:t>
      </w:r>
    </w:p>
    <w:p w14:paraId="50178FD3" w14:textId="77777777" w:rsidR="005F0E6A" w:rsidRDefault="005F0E6A" w:rsidP="006E3AD4">
      <w:pPr>
        <w:jc w:val="both"/>
        <w:rPr>
          <w:rFonts w:cs="Arial"/>
          <w:sz w:val="22"/>
          <w:szCs w:val="22"/>
        </w:rPr>
      </w:pPr>
    </w:p>
    <w:p w14:paraId="3F25ACA7" w14:textId="622E8C1A" w:rsidR="00EB260E" w:rsidRDefault="00060A24" w:rsidP="006E3AD4">
      <w:pPr>
        <w:jc w:val="both"/>
        <w:rPr>
          <w:rFonts w:cs="Arial"/>
          <w:b/>
          <w:sz w:val="22"/>
          <w:szCs w:val="22"/>
        </w:rPr>
      </w:pPr>
      <w:r w:rsidRPr="000224C5">
        <w:rPr>
          <w:rFonts w:cs="Arial"/>
          <w:sz w:val="22"/>
          <w:szCs w:val="22"/>
        </w:rPr>
        <w:t>U ostatní</w:t>
      </w:r>
      <w:r w:rsidR="000972DB" w:rsidRPr="000224C5">
        <w:rPr>
          <w:rFonts w:cs="Arial"/>
          <w:sz w:val="22"/>
          <w:szCs w:val="22"/>
        </w:rPr>
        <w:t>ch</w:t>
      </w:r>
      <w:r w:rsidRPr="000224C5">
        <w:rPr>
          <w:rFonts w:cs="Arial"/>
          <w:sz w:val="22"/>
          <w:szCs w:val="22"/>
        </w:rPr>
        <w:t xml:space="preserve"> kontrolovaných PPS, které nejsou uvedeny v tabulce č. </w:t>
      </w:r>
      <w:r w:rsidR="000972DB" w:rsidRPr="000224C5">
        <w:rPr>
          <w:rFonts w:cs="Arial"/>
          <w:sz w:val="22"/>
          <w:szCs w:val="22"/>
        </w:rPr>
        <w:t>4</w:t>
      </w:r>
      <w:r w:rsidR="00634820" w:rsidRPr="000224C5">
        <w:rPr>
          <w:rFonts w:cs="Arial"/>
          <w:sz w:val="22"/>
          <w:szCs w:val="22"/>
        </w:rPr>
        <w:t>,</w:t>
      </w:r>
      <w:r w:rsidRPr="000224C5">
        <w:rPr>
          <w:rFonts w:cs="Arial"/>
          <w:sz w:val="22"/>
          <w:szCs w:val="22"/>
        </w:rPr>
        <w:t xml:space="preserve"> nebyly zjištěny nedostatky, na jejichž základě by bylo možné konstatovat neoprávněné uznání plnění OFT.</w:t>
      </w:r>
    </w:p>
    <w:p w14:paraId="32F5795B" w14:textId="77777777" w:rsidR="005F0E6A" w:rsidRPr="000224C5" w:rsidRDefault="005F0E6A" w:rsidP="006E3AD4">
      <w:pPr>
        <w:jc w:val="both"/>
        <w:rPr>
          <w:b/>
          <w:sz w:val="22"/>
          <w:szCs w:val="22"/>
        </w:rPr>
      </w:pPr>
    </w:p>
    <w:p w14:paraId="3F25ACA8" w14:textId="4392A36E" w:rsidR="00A241A4" w:rsidRPr="0076434B" w:rsidRDefault="00EB260E" w:rsidP="006E3AD4">
      <w:pPr>
        <w:pStyle w:val="Bn"/>
        <w:spacing w:before="0" w:line="240" w:lineRule="auto"/>
        <w:ind w:firstLine="0"/>
        <w:rPr>
          <w:b/>
          <w:bCs/>
        </w:rPr>
      </w:pPr>
      <w:r w:rsidRPr="0040699F">
        <w:t xml:space="preserve">Zjištěné nedostatky </w:t>
      </w:r>
      <w:r w:rsidR="009B7525">
        <w:t>měly charakter jak pochybení na různých úrovních</w:t>
      </w:r>
      <w:r w:rsidRPr="0040699F">
        <w:t xml:space="preserve"> administrativního </w:t>
      </w:r>
      <w:r w:rsidR="009B7525">
        <w:t>řízení</w:t>
      </w:r>
      <w:r w:rsidR="00B34637">
        <w:t>, tak</w:t>
      </w:r>
      <w:r w:rsidRPr="0040699F">
        <w:t xml:space="preserve"> významn</w:t>
      </w:r>
      <w:r w:rsidR="009B7525">
        <w:t>ých</w:t>
      </w:r>
      <w:r w:rsidRPr="0040699F">
        <w:t xml:space="preserve"> odch</w:t>
      </w:r>
      <w:r w:rsidR="009B7525">
        <w:t>ylek</w:t>
      </w:r>
      <w:r w:rsidRPr="0040699F">
        <w:t xml:space="preserve"> od podmínek </w:t>
      </w:r>
      <w:r w:rsidR="0040699F">
        <w:t xml:space="preserve">příslušných </w:t>
      </w:r>
      <w:r w:rsidRPr="0040699F">
        <w:t xml:space="preserve">offsetových dohod, které </w:t>
      </w:r>
      <w:r w:rsidR="0040699F">
        <w:t xml:space="preserve">v některých případech více či méně </w:t>
      </w:r>
      <w:r w:rsidR="0040699F" w:rsidRPr="0040699F">
        <w:t>reflektoval</w:t>
      </w:r>
      <w:r w:rsidR="00BC3599">
        <w:t>y</w:t>
      </w:r>
      <w:r w:rsidR="0040699F" w:rsidRPr="0040699F">
        <w:t xml:space="preserve"> </w:t>
      </w:r>
      <w:r w:rsidR="0040699F">
        <w:t>platné Z</w:t>
      </w:r>
      <w:r w:rsidR="0040699F" w:rsidRPr="0040699F">
        <w:t xml:space="preserve">ásady a </w:t>
      </w:r>
      <w:r w:rsidR="0040699F">
        <w:t>P</w:t>
      </w:r>
      <w:r w:rsidR="0040699F" w:rsidRPr="0040699F">
        <w:t>ravidla</w:t>
      </w:r>
      <w:r w:rsidR="0040699F">
        <w:t>.</w:t>
      </w:r>
      <w:r w:rsidR="00B34637">
        <w:t xml:space="preserve"> J</w:t>
      </w:r>
      <w:r w:rsidR="00E41FA2" w:rsidRPr="00E41FA2">
        <w:t xml:space="preserve">ednalo se zejména o </w:t>
      </w:r>
      <w:r w:rsidR="00BF79C0">
        <w:t xml:space="preserve">použití nesprávného </w:t>
      </w:r>
      <w:r w:rsidR="00E41FA2" w:rsidRPr="00E41FA2">
        <w:t>směnné</w:t>
      </w:r>
      <w:r w:rsidR="00BF79C0">
        <w:t>ho</w:t>
      </w:r>
      <w:r w:rsidR="00E41FA2" w:rsidRPr="00E41FA2">
        <w:t xml:space="preserve"> kurzu</w:t>
      </w:r>
      <w:r w:rsidR="00096853">
        <w:t xml:space="preserve"> </w:t>
      </w:r>
      <w:r w:rsidR="009B7525">
        <w:t>nebo o</w:t>
      </w:r>
      <w:r w:rsidR="00E41FA2" w:rsidRPr="00E41FA2">
        <w:t xml:space="preserve"> rozpor v předpokládané době plnění, kdy byly u</w:t>
      </w:r>
      <w:r w:rsidR="0001442A">
        <w:t xml:space="preserve"> </w:t>
      </w:r>
      <w:r w:rsidR="00E41FA2" w:rsidRPr="00E41FA2">
        <w:t>některých OFT uznávány vykázané hodnoty zpětně ještě před vznikem offsetového závazku, aniž by</w:t>
      </w:r>
      <w:r w:rsidR="009B7525">
        <w:t xml:space="preserve"> tyto OFT</w:t>
      </w:r>
      <w:r w:rsidR="00E41FA2" w:rsidRPr="00E41FA2">
        <w:t xml:space="preserve"> byly schváleny smluvní</w:t>
      </w:r>
      <w:r w:rsidR="00BF79C0">
        <w:t>mi</w:t>
      </w:r>
      <w:r w:rsidR="00E41FA2" w:rsidRPr="00E41FA2">
        <w:t xml:space="preserve"> stranami a OFK jako předoffsety. Charakteristické nedostatky spočívaly rovněž v uznávání hodnot plnění u OFT, jejichž vykázané parametry (typ, kategorie, </w:t>
      </w:r>
      <w:r w:rsidR="00E90143">
        <w:t>mecha</w:t>
      </w:r>
      <w:r w:rsidR="00E90143" w:rsidRPr="0076434B">
        <w:t xml:space="preserve">nismus měření nebo </w:t>
      </w:r>
      <w:r w:rsidR="00E41FA2" w:rsidRPr="0076434B">
        <w:t xml:space="preserve">označený smluvní partner) neodpovídaly </w:t>
      </w:r>
      <w:r w:rsidR="00060A24">
        <w:t xml:space="preserve">všem </w:t>
      </w:r>
      <w:r w:rsidR="00E41FA2" w:rsidRPr="0076434B">
        <w:t>parametrům projedna</w:t>
      </w:r>
      <w:r w:rsidR="00E90143" w:rsidRPr="0076434B">
        <w:t>ným OFK</w:t>
      </w:r>
      <w:r w:rsidR="00A6290E" w:rsidRPr="0076434B">
        <w:t xml:space="preserve"> a schváleným </w:t>
      </w:r>
      <w:r w:rsidR="009B7525">
        <w:t>ve</w:t>
      </w:r>
      <w:r w:rsidR="00A6290E" w:rsidRPr="0076434B">
        <w:t xml:space="preserve"> vy</w:t>
      </w:r>
      <w:r w:rsidR="009B7525">
        <w:t>daném</w:t>
      </w:r>
      <w:r w:rsidR="00A6290E" w:rsidRPr="0076434B">
        <w:t xml:space="preserve"> potvrzení k příslušné OFT</w:t>
      </w:r>
      <w:r w:rsidR="00E41FA2" w:rsidRPr="0076434B">
        <w:t>.</w:t>
      </w:r>
    </w:p>
    <w:p w14:paraId="0E3D5A86" w14:textId="77777777" w:rsidR="005F0E6A" w:rsidRDefault="005F0E6A" w:rsidP="006E3AD4">
      <w:pPr>
        <w:autoSpaceDE w:val="0"/>
        <w:autoSpaceDN w:val="0"/>
        <w:adjustRightInd w:val="0"/>
        <w:jc w:val="both"/>
        <w:rPr>
          <w:rFonts w:cs="Arial"/>
          <w:sz w:val="22"/>
          <w:szCs w:val="22"/>
        </w:rPr>
      </w:pPr>
    </w:p>
    <w:p w14:paraId="3F25ACA9" w14:textId="6B949C88" w:rsidR="008D11B1" w:rsidRDefault="00C7551F" w:rsidP="006E3AD4">
      <w:pPr>
        <w:autoSpaceDE w:val="0"/>
        <w:autoSpaceDN w:val="0"/>
        <w:adjustRightInd w:val="0"/>
        <w:jc w:val="both"/>
        <w:rPr>
          <w:rFonts w:cs="Arial"/>
          <w:bCs/>
          <w:sz w:val="22"/>
          <w:szCs w:val="22"/>
        </w:rPr>
      </w:pPr>
      <w:r w:rsidRPr="00AA69AD">
        <w:rPr>
          <w:rFonts w:cs="Arial"/>
          <w:sz w:val="22"/>
          <w:szCs w:val="22"/>
        </w:rPr>
        <w:t>U</w:t>
      </w:r>
      <w:r w:rsidRPr="0019762B">
        <w:rPr>
          <w:rFonts w:cs="Arial"/>
          <w:b/>
          <w:sz w:val="22"/>
          <w:szCs w:val="22"/>
        </w:rPr>
        <w:t xml:space="preserve"> PPS GRIPEN</w:t>
      </w:r>
      <w:r w:rsidR="008D11B1" w:rsidRPr="008D11B1">
        <w:rPr>
          <w:rFonts w:cs="Arial"/>
          <w:sz w:val="22"/>
          <w:szCs w:val="22"/>
        </w:rPr>
        <w:t xml:space="preserve"> </w:t>
      </w:r>
      <w:r w:rsidR="0019762B">
        <w:rPr>
          <w:rFonts w:cs="Arial"/>
          <w:sz w:val="22"/>
          <w:szCs w:val="22"/>
        </w:rPr>
        <w:t xml:space="preserve">uznalo </w:t>
      </w:r>
      <w:r w:rsidR="008D11B1" w:rsidRPr="008D11B1">
        <w:rPr>
          <w:rFonts w:cs="Arial"/>
          <w:iCs/>
          <w:sz w:val="22"/>
          <w:szCs w:val="22"/>
        </w:rPr>
        <w:t>MO plnění OF/156</w:t>
      </w:r>
      <w:r w:rsidR="00AA69AD">
        <w:rPr>
          <w:rFonts w:cs="Arial"/>
          <w:iCs/>
          <w:sz w:val="22"/>
          <w:szCs w:val="22"/>
        </w:rPr>
        <w:t xml:space="preserve"> (</w:t>
      </w:r>
      <w:r w:rsidR="009B7525">
        <w:rPr>
          <w:rFonts w:cs="Arial"/>
          <w:iCs/>
          <w:sz w:val="22"/>
          <w:szCs w:val="22"/>
        </w:rPr>
        <w:t>v</w:t>
      </w:r>
      <w:r w:rsidR="00AA69AD" w:rsidRPr="00AA69AD">
        <w:rPr>
          <w:rFonts w:cs="Arial"/>
          <w:iCs/>
          <w:sz w:val="22"/>
          <w:szCs w:val="22"/>
        </w:rPr>
        <w:t>ývoz ocelových plechů pro stavbu lodí typu T45 a LSD</w:t>
      </w:r>
      <w:r w:rsidR="00AA69AD">
        <w:rPr>
          <w:rFonts w:cs="Arial"/>
          <w:iCs/>
          <w:sz w:val="22"/>
          <w:szCs w:val="22"/>
        </w:rPr>
        <w:t xml:space="preserve"> </w:t>
      </w:r>
      <w:r w:rsidR="00AA69AD" w:rsidRPr="00AA69AD">
        <w:rPr>
          <w:rFonts w:cs="Arial"/>
          <w:iCs/>
          <w:sz w:val="22"/>
          <w:szCs w:val="22"/>
        </w:rPr>
        <w:t>A)</w:t>
      </w:r>
      <w:r w:rsidR="008D11B1" w:rsidRPr="008D11B1">
        <w:rPr>
          <w:rFonts w:cs="Arial"/>
          <w:iCs/>
          <w:sz w:val="22"/>
          <w:szCs w:val="22"/>
        </w:rPr>
        <w:t xml:space="preserve"> za roky 2006 až 2008 ve výši 100 % tržeb </w:t>
      </w:r>
      <w:r w:rsidR="00D920E5">
        <w:rPr>
          <w:rFonts w:cs="Arial"/>
          <w:iCs/>
          <w:sz w:val="22"/>
          <w:szCs w:val="22"/>
        </w:rPr>
        <w:t>z </w:t>
      </w:r>
      <w:r w:rsidR="008D11B1" w:rsidRPr="008D11B1">
        <w:rPr>
          <w:rFonts w:cs="Arial"/>
          <w:iCs/>
          <w:sz w:val="22"/>
          <w:szCs w:val="22"/>
        </w:rPr>
        <w:t xml:space="preserve">exportu, přestože v auditní zprávě </w:t>
      </w:r>
      <w:r w:rsidR="00D920E5">
        <w:rPr>
          <w:rFonts w:cs="Arial"/>
          <w:iCs/>
          <w:sz w:val="22"/>
          <w:szCs w:val="22"/>
        </w:rPr>
        <w:t>z </w:t>
      </w:r>
      <w:r w:rsidR="008D11B1" w:rsidRPr="008D11B1">
        <w:rPr>
          <w:rFonts w:cs="Arial"/>
          <w:iCs/>
          <w:sz w:val="22"/>
          <w:szCs w:val="22"/>
        </w:rPr>
        <w:t xml:space="preserve">roku 2006 auditor upozornil na absenci odpočtu </w:t>
      </w:r>
      <w:r w:rsidR="009B7525">
        <w:rPr>
          <w:rFonts w:cs="Arial"/>
          <w:iCs/>
          <w:sz w:val="22"/>
          <w:szCs w:val="22"/>
        </w:rPr>
        <w:t xml:space="preserve">ceny </w:t>
      </w:r>
      <w:r w:rsidR="008D11B1" w:rsidRPr="008D11B1">
        <w:rPr>
          <w:rFonts w:cs="Arial"/>
          <w:iCs/>
          <w:sz w:val="22"/>
          <w:szCs w:val="22"/>
        </w:rPr>
        <w:t xml:space="preserve">zahraničního materiálu </w:t>
      </w:r>
      <w:r w:rsidR="00D920E5">
        <w:rPr>
          <w:rFonts w:cs="Arial"/>
          <w:iCs/>
          <w:sz w:val="22"/>
          <w:szCs w:val="22"/>
        </w:rPr>
        <w:t>z </w:t>
      </w:r>
      <w:r w:rsidR="008D11B1" w:rsidRPr="008D11B1">
        <w:rPr>
          <w:rFonts w:cs="Arial"/>
          <w:iCs/>
          <w:sz w:val="22"/>
          <w:szCs w:val="22"/>
        </w:rPr>
        <w:t xml:space="preserve">vykázané hodnoty plnění. Dále </w:t>
      </w:r>
      <w:r w:rsidR="008D11B1" w:rsidRPr="008D11B1">
        <w:rPr>
          <w:rFonts w:cs="Arial"/>
          <w:bCs/>
          <w:sz w:val="22"/>
          <w:szCs w:val="22"/>
        </w:rPr>
        <w:t>MO uznalo plnění OF/205 za roky 2010 a 2011, přestože nebyla odečtena poměrná část druhé investiční pobídky.</w:t>
      </w:r>
    </w:p>
    <w:p w14:paraId="62C67E93" w14:textId="77777777" w:rsidR="005F0E6A" w:rsidRDefault="005F0E6A" w:rsidP="006E3AD4">
      <w:pPr>
        <w:autoSpaceDE w:val="0"/>
        <w:autoSpaceDN w:val="0"/>
        <w:adjustRightInd w:val="0"/>
        <w:jc w:val="both"/>
        <w:rPr>
          <w:rFonts w:cs="Arial"/>
          <w:sz w:val="22"/>
          <w:szCs w:val="22"/>
        </w:rPr>
      </w:pPr>
    </w:p>
    <w:p w14:paraId="3F25ACAA" w14:textId="1F1D889D" w:rsidR="007B3738" w:rsidRDefault="007B3738" w:rsidP="006E3AD4">
      <w:pPr>
        <w:autoSpaceDE w:val="0"/>
        <w:autoSpaceDN w:val="0"/>
        <w:adjustRightInd w:val="0"/>
        <w:jc w:val="both"/>
        <w:rPr>
          <w:rFonts w:cs="Arial"/>
          <w:sz w:val="22"/>
          <w:szCs w:val="22"/>
        </w:rPr>
      </w:pPr>
      <w:r w:rsidRPr="007B3738">
        <w:rPr>
          <w:rFonts w:cs="Arial"/>
          <w:sz w:val="22"/>
          <w:szCs w:val="22"/>
        </w:rPr>
        <w:t>PPS GRIPEN</w:t>
      </w:r>
      <w:r w:rsidRPr="00C75BF1">
        <w:rPr>
          <w:rFonts w:cs="Arial"/>
          <w:b/>
          <w:sz w:val="22"/>
          <w:szCs w:val="22"/>
        </w:rPr>
        <w:t xml:space="preserve"> </w:t>
      </w:r>
      <w:r w:rsidRPr="00C75BF1">
        <w:rPr>
          <w:rFonts w:cs="Arial"/>
          <w:sz w:val="22"/>
          <w:szCs w:val="22"/>
        </w:rPr>
        <w:t>neměl v offsetové dohodě upraveny smluvní povinnosti vůči OFK a MPO a</w:t>
      </w:r>
      <w:r w:rsidR="0001442A">
        <w:rPr>
          <w:rFonts w:cs="Arial"/>
          <w:sz w:val="22"/>
          <w:szCs w:val="22"/>
        </w:rPr>
        <w:t> </w:t>
      </w:r>
      <w:r w:rsidR="009B7525">
        <w:rPr>
          <w:rFonts w:cs="Arial"/>
          <w:sz w:val="22"/>
          <w:szCs w:val="22"/>
        </w:rPr>
        <w:t>neměl ani</w:t>
      </w:r>
      <w:r w:rsidRPr="00C75BF1">
        <w:rPr>
          <w:rFonts w:cs="Arial"/>
          <w:sz w:val="22"/>
          <w:szCs w:val="22"/>
        </w:rPr>
        <w:t xml:space="preserve"> smluvně ošetřen význam a vliv činnosti a rozhodnutí OFK na realizaci PPS GRIPEN. Definice OFT v offsetové dohodě umož</w:t>
      </w:r>
      <w:r w:rsidR="007526FD">
        <w:rPr>
          <w:rFonts w:cs="Arial"/>
          <w:sz w:val="22"/>
          <w:szCs w:val="22"/>
        </w:rPr>
        <w:t>ň</w:t>
      </w:r>
      <w:r w:rsidRPr="00C75BF1">
        <w:rPr>
          <w:rFonts w:cs="Arial"/>
          <w:sz w:val="22"/>
          <w:szCs w:val="22"/>
        </w:rPr>
        <w:t>ovala</w:t>
      </w:r>
      <w:r w:rsidR="0001442A">
        <w:rPr>
          <w:rFonts w:cs="Arial"/>
          <w:sz w:val="22"/>
          <w:szCs w:val="22"/>
        </w:rPr>
        <w:t xml:space="preserve"> </w:t>
      </w:r>
      <w:r w:rsidRPr="00C75BF1">
        <w:rPr>
          <w:rFonts w:cs="Arial"/>
          <w:sz w:val="22"/>
          <w:szCs w:val="22"/>
        </w:rPr>
        <w:t>zařadit do PPS GRIPEN i ty OFT, které byly zahájeny více než pět</w:t>
      </w:r>
      <w:r>
        <w:rPr>
          <w:rFonts w:cs="Arial"/>
          <w:sz w:val="22"/>
          <w:szCs w:val="22"/>
        </w:rPr>
        <w:t xml:space="preserve"> let</w:t>
      </w:r>
      <w:r w:rsidRPr="00C75BF1">
        <w:rPr>
          <w:rFonts w:cs="Arial"/>
          <w:sz w:val="22"/>
          <w:szCs w:val="22"/>
        </w:rPr>
        <w:t xml:space="preserve"> před uzavřením offsetové dohody.</w:t>
      </w:r>
      <w:r>
        <w:rPr>
          <w:rStyle w:val="Znakapoznpodarou"/>
          <w:rFonts w:cs="Arial"/>
          <w:sz w:val="22"/>
          <w:szCs w:val="22"/>
        </w:rPr>
        <w:footnoteReference w:id="35"/>
      </w:r>
      <w:r w:rsidRPr="00C75BF1">
        <w:rPr>
          <w:rFonts w:cs="Arial"/>
          <w:sz w:val="22"/>
          <w:szCs w:val="22"/>
        </w:rPr>
        <w:t xml:space="preserve"> Sjednané smluvní podmínky v zásadě umožňovaly zařazení jakékoliv OFT. MO mj. započetlo </w:t>
      </w:r>
      <w:r w:rsidR="009B7525">
        <w:rPr>
          <w:rFonts w:cs="Arial"/>
          <w:sz w:val="22"/>
          <w:szCs w:val="22"/>
        </w:rPr>
        <w:t>částku</w:t>
      </w:r>
      <w:r w:rsidRPr="00C75BF1">
        <w:rPr>
          <w:rFonts w:cs="Arial"/>
          <w:sz w:val="22"/>
          <w:szCs w:val="22"/>
        </w:rPr>
        <w:t xml:space="preserve"> 1 717</w:t>
      </w:r>
      <w:r w:rsidR="00D721D7">
        <w:rPr>
          <w:rFonts w:cs="Arial"/>
          <w:sz w:val="22"/>
          <w:szCs w:val="22"/>
        </w:rPr>
        <w:t> 118</w:t>
      </w:r>
      <w:r w:rsidR="009B7525">
        <w:rPr>
          <w:rFonts w:cs="Arial"/>
          <w:sz w:val="22"/>
          <w:szCs w:val="22"/>
        </w:rPr>
        <w:t> </w:t>
      </w:r>
      <w:r w:rsidR="00D721D7">
        <w:rPr>
          <w:rFonts w:cs="Arial"/>
          <w:sz w:val="22"/>
          <w:szCs w:val="22"/>
        </w:rPr>
        <w:t>385</w:t>
      </w:r>
      <w:r w:rsidR="009B7525">
        <w:rPr>
          <w:rFonts w:cs="Arial"/>
          <w:sz w:val="22"/>
          <w:szCs w:val="22"/>
        </w:rPr>
        <w:t> </w:t>
      </w:r>
      <w:r w:rsidRPr="00C75BF1">
        <w:rPr>
          <w:rFonts w:cs="Arial"/>
          <w:sz w:val="22"/>
          <w:szCs w:val="22"/>
        </w:rPr>
        <w:t xml:space="preserve">Kč jako deklarované plnění OF/171, </w:t>
      </w:r>
      <w:r w:rsidR="009B7525">
        <w:rPr>
          <w:rFonts w:cs="Arial"/>
          <w:sz w:val="22"/>
          <w:szCs w:val="22"/>
        </w:rPr>
        <w:t>i když</w:t>
      </w:r>
      <w:r w:rsidRPr="00C75BF1">
        <w:rPr>
          <w:rFonts w:cs="Arial"/>
          <w:sz w:val="22"/>
          <w:szCs w:val="22"/>
        </w:rPr>
        <w:t xml:space="preserve"> předložené doklady neosvědčovaly plnění v souladu s parametry </w:t>
      </w:r>
      <w:r w:rsidR="009B7525">
        <w:rPr>
          <w:rFonts w:cs="Arial"/>
          <w:sz w:val="22"/>
          <w:szCs w:val="22"/>
        </w:rPr>
        <w:t xml:space="preserve">uvedenými </w:t>
      </w:r>
      <w:r w:rsidRPr="00C75BF1">
        <w:rPr>
          <w:rFonts w:cs="Arial"/>
          <w:sz w:val="22"/>
          <w:szCs w:val="22"/>
        </w:rPr>
        <w:t xml:space="preserve">na potvrzení, které </w:t>
      </w:r>
      <w:r w:rsidR="009B7525">
        <w:rPr>
          <w:rFonts w:cs="Arial"/>
          <w:sz w:val="22"/>
          <w:szCs w:val="22"/>
        </w:rPr>
        <w:t xml:space="preserve">pro tuto OFT </w:t>
      </w:r>
      <w:r w:rsidRPr="00C75BF1">
        <w:rPr>
          <w:rFonts w:cs="Arial"/>
          <w:sz w:val="22"/>
          <w:szCs w:val="22"/>
        </w:rPr>
        <w:t xml:space="preserve">vystavila </w:t>
      </w:r>
      <w:r w:rsidR="009B7525">
        <w:rPr>
          <w:rFonts w:cs="Arial"/>
          <w:sz w:val="22"/>
          <w:szCs w:val="22"/>
        </w:rPr>
        <w:t>offsetová komise</w:t>
      </w:r>
      <w:r w:rsidRPr="00C75BF1">
        <w:rPr>
          <w:rFonts w:cs="Arial"/>
          <w:sz w:val="22"/>
          <w:szCs w:val="22"/>
        </w:rPr>
        <w:t xml:space="preserve">. Nicméně </w:t>
      </w:r>
      <w:r w:rsidR="009B7525">
        <w:rPr>
          <w:rFonts w:cs="Arial"/>
          <w:sz w:val="22"/>
          <w:szCs w:val="22"/>
        </w:rPr>
        <w:t>uvedený</w:t>
      </w:r>
      <w:r w:rsidRPr="00C75BF1">
        <w:rPr>
          <w:rFonts w:cs="Arial"/>
          <w:sz w:val="22"/>
          <w:szCs w:val="22"/>
        </w:rPr>
        <w:t xml:space="preserve"> postup nebylo možné vyhodnotit jako porušení offsetové dohody.</w:t>
      </w:r>
    </w:p>
    <w:p w14:paraId="73F2BA92" w14:textId="77777777" w:rsidR="005F0E6A" w:rsidRDefault="005F0E6A" w:rsidP="006E3AD4">
      <w:pPr>
        <w:autoSpaceDE w:val="0"/>
        <w:autoSpaceDN w:val="0"/>
        <w:adjustRightInd w:val="0"/>
        <w:jc w:val="both"/>
        <w:rPr>
          <w:rFonts w:cs="Arial"/>
          <w:sz w:val="22"/>
          <w:szCs w:val="22"/>
        </w:rPr>
      </w:pPr>
    </w:p>
    <w:p w14:paraId="3F25ACAB" w14:textId="49210775" w:rsidR="007B462D" w:rsidRPr="00C75BF1" w:rsidRDefault="007B462D" w:rsidP="006E3AD4">
      <w:pPr>
        <w:autoSpaceDE w:val="0"/>
        <w:autoSpaceDN w:val="0"/>
        <w:adjustRightInd w:val="0"/>
        <w:jc w:val="both"/>
        <w:rPr>
          <w:rFonts w:cs="Arial"/>
          <w:sz w:val="22"/>
          <w:szCs w:val="22"/>
        </w:rPr>
      </w:pPr>
      <w:r>
        <w:rPr>
          <w:rFonts w:cs="Arial"/>
          <w:sz w:val="22"/>
          <w:szCs w:val="22"/>
        </w:rPr>
        <w:t xml:space="preserve">MO dále nevyužilo možnost vyjednat navýšení offsetového závazku </w:t>
      </w:r>
      <w:r w:rsidR="00B2384C">
        <w:rPr>
          <w:rFonts w:cs="Arial"/>
          <w:sz w:val="22"/>
          <w:szCs w:val="22"/>
        </w:rPr>
        <w:t xml:space="preserve">v PPS GRIPEN </w:t>
      </w:r>
      <w:r>
        <w:rPr>
          <w:rFonts w:cs="Arial"/>
          <w:sz w:val="22"/>
          <w:szCs w:val="22"/>
        </w:rPr>
        <w:t>o</w:t>
      </w:r>
      <w:r w:rsidR="001A2EDA">
        <w:rPr>
          <w:rFonts w:cs="Arial"/>
          <w:sz w:val="22"/>
          <w:szCs w:val="22"/>
        </w:rPr>
        <w:t> </w:t>
      </w:r>
      <w:r>
        <w:rPr>
          <w:rFonts w:cs="Arial"/>
          <w:sz w:val="22"/>
          <w:szCs w:val="22"/>
        </w:rPr>
        <w:t>135</w:t>
      </w:r>
      <w:r w:rsidR="001A2EDA">
        <w:rPr>
          <w:rFonts w:cs="Arial"/>
          <w:sz w:val="22"/>
          <w:szCs w:val="22"/>
        </w:rPr>
        <w:t> </w:t>
      </w:r>
      <w:r>
        <w:rPr>
          <w:rFonts w:cs="Arial"/>
          <w:sz w:val="22"/>
          <w:szCs w:val="22"/>
        </w:rPr>
        <w:t>8</w:t>
      </w:r>
      <w:r w:rsidR="001A2EDA">
        <w:rPr>
          <w:rFonts w:cs="Arial"/>
          <w:sz w:val="22"/>
          <w:szCs w:val="22"/>
        </w:rPr>
        <w:t>73 000</w:t>
      </w:r>
      <w:r>
        <w:rPr>
          <w:rFonts w:cs="Arial"/>
          <w:sz w:val="22"/>
          <w:szCs w:val="22"/>
        </w:rPr>
        <w:t xml:space="preserve"> Kč, </w:t>
      </w:r>
      <w:r w:rsidR="000A0843">
        <w:rPr>
          <w:rFonts w:cs="Arial"/>
          <w:sz w:val="22"/>
          <w:szCs w:val="22"/>
        </w:rPr>
        <w:t>i když to pro případy navýšení smluvní ceny</w:t>
      </w:r>
      <w:r w:rsidR="000A0843">
        <w:rPr>
          <w:rStyle w:val="Znakapoznpodarou"/>
          <w:rFonts w:cs="Arial"/>
          <w:sz w:val="22"/>
          <w:szCs w:val="22"/>
        </w:rPr>
        <w:footnoteReference w:id="36"/>
      </w:r>
      <w:r>
        <w:rPr>
          <w:rFonts w:cs="Arial"/>
          <w:sz w:val="22"/>
          <w:szCs w:val="22"/>
        </w:rPr>
        <w:t xml:space="preserve"> umožňovala offsetová dohoda.</w:t>
      </w:r>
    </w:p>
    <w:p w14:paraId="41EC65D4" w14:textId="77777777" w:rsidR="005F0E6A" w:rsidRDefault="005F0E6A" w:rsidP="006E3AD4">
      <w:pPr>
        <w:autoSpaceDE w:val="0"/>
        <w:autoSpaceDN w:val="0"/>
        <w:adjustRightInd w:val="0"/>
        <w:jc w:val="both"/>
        <w:rPr>
          <w:rFonts w:cs="Arial"/>
          <w:bCs/>
          <w:sz w:val="22"/>
          <w:szCs w:val="22"/>
        </w:rPr>
      </w:pPr>
    </w:p>
    <w:p w14:paraId="3F25ACAC" w14:textId="7FAC04E9" w:rsidR="0019762B" w:rsidRDefault="0019762B" w:rsidP="006E3AD4">
      <w:pPr>
        <w:autoSpaceDE w:val="0"/>
        <w:autoSpaceDN w:val="0"/>
        <w:adjustRightInd w:val="0"/>
        <w:jc w:val="both"/>
        <w:rPr>
          <w:rFonts w:cs="Arial"/>
          <w:sz w:val="22"/>
          <w:szCs w:val="22"/>
        </w:rPr>
      </w:pPr>
      <w:r w:rsidRPr="00AA69AD">
        <w:rPr>
          <w:rFonts w:cs="Arial"/>
          <w:bCs/>
          <w:sz w:val="22"/>
          <w:szCs w:val="22"/>
        </w:rPr>
        <w:t>U</w:t>
      </w:r>
      <w:r w:rsidRPr="0019762B">
        <w:rPr>
          <w:rFonts w:cs="Arial"/>
          <w:b/>
          <w:bCs/>
          <w:sz w:val="22"/>
          <w:szCs w:val="22"/>
        </w:rPr>
        <w:t xml:space="preserve"> PPS AIRBUS</w:t>
      </w:r>
      <w:r w:rsidRPr="0019762B">
        <w:rPr>
          <w:rFonts w:cs="Arial"/>
          <w:bCs/>
          <w:sz w:val="22"/>
          <w:szCs w:val="22"/>
        </w:rPr>
        <w:t xml:space="preserve"> uznalo MO plnění </w:t>
      </w:r>
      <w:r w:rsidRPr="0019762B">
        <w:rPr>
          <w:rFonts w:cs="Arial"/>
          <w:sz w:val="22"/>
          <w:szCs w:val="22"/>
        </w:rPr>
        <w:t>OF/217</w:t>
      </w:r>
      <w:r w:rsidR="00AA69AD">
        <w:rPr>
          <w:rFonts w:cs="Arial"/>
          <w:sz w:val="22"/>
          <w:szCs w:val="22"/>
        </w:rPr>
        <w:t xml:space="preserve"> (</w:t>
      </w:r>
      <w:r w:rsidR="000A0843">
        <w:rPr>
          <w:rFonts w:cs="Arial"/>
          <w:sz w:val="22"/>
          <w:szCs w:val="22"/>
        </w:rPr>
        <w:t>v</w:t>
      </w:r>
      <w:r w:rsidR="00AA69AD" w:rsidRPr="00AA69AD">
        <w:rPr>
          <w:rFonts w:cs="Arial"/>
          <w:sz w:val="22"/>
          <w:szCs w:val="22"/>
        </w:rPr>
        <w:t>ývoz pístů pro spalovací motory</w:t>
      </w:r>
      <w:r w:rsidR="00AA69AD">
        <w:rPr>
          <w:rFonts w:cs="Arial"/>
          <w:sz w:val="22"/>
          <w:szCs w:val="22"/>
        </w:rPr>
        <w:t>)</w:t>
      </w:r>
      <w:r w:rsidRPr="0019762B">
        <w:rPr>
          <w:rFonts w:cs="Arial"/>
          <w:sz w:val="22"/>
          <w:szCs w:val="22"/>
        </w:rPr>
        <w:t xml:space="preserve"> ve</w:t>
      </w:r>
      <w:r w:rsidR="000A0843">
        <w:rPr>
          <w:rFonts w:cs="Arial"/>
          <w:sz w:val="22"/>
          <w:szCs w:val="22"/>
        </w:rPr>
        <w:t xml:space="preserve"> </w:t>
      </w:r>
      <w:r w:rsidRPr="0019762B">
        <w:rPr>
          <w:rFonts w:cs="Arial"/>
          <w:sz w:val="22"/>
          <w:szCs w:val="22"/>
        </w:rPr>
        <w:t>výši 198</w:t>
      </w:r>
      <w:r w:rsidR="007B462D">
        <w:rPr>
          <w:rFonts w:cs="Arial"/>
          <w:sz w:val="22"/>
          <w:szCs w:val="22"/>
        </w:rPr>
        <w:t> </w:t>
      </w:r>
      <w:r w:rsidRPr="0019762B">
        <w:rPr>
          <w:rFonts w:cs="Arial"/>
          <w:sz w:val="22"/>
          <w:szCs w:val="22"/>
        </w:rPr>
        <w:t xml:space="preserve">771 294 Kč, přestože </w:t>
      </w:r>
      <w:r w:rsidR="000A0843">
        <w:rPr>
          <w:rFonts w:cs="Arial"/>
          <w:sz w:val="22"/>
          <w:szCs w:val="22"/>
        </w:rPr>
        <w:t xml:space="preserve">toto plnění </w:t>
      </w:r>
      <w:r w:rsidRPr="0019762B">
        <w:rPr>
          <w:rFonts w:cs="Arial"/>
          <w:sz w:val="22"/>
          <w:szCs w:val="22"/>
        </w:rPr>
        <w:t xml:space="preserve">neprobíhalo v souladu s potvrzením vystaveným </w:t>
      </w:r>
      <w:r w:rsidR="00AA69AD">
        <w:rPr>
          <w:rFonts w:cs="Arial"/>
          <w:sz w:val="22"/>
          <w:szCs w:val="22"/>
        </w:rPr>
        <w:t>OFK</w:t>
      </w:r>
      <w:r w:rsidRPr="0019762B">
        <w:rPr>
          <w:rFonts w:cs="Arial"/>
          <w:sz w:val="22"/>
          <w:szCs w:val="22"/>
        </w:rPr>
        <w:t xml:space="preserve">. Kontrolou bylo zjištěno, že odběratel plnění </w:t>
      </w:r>
      <w:r w:rsidR="00505A62">
        <w:rPr>
          <w:rFonts w:cs="Arial"/>
          <w:sz w:val="22"/>
          <w:szCs w:val="22"/>
        </w:rPr>
        <w:t xml:space="preserve">této </w:t>
      </w:r>
      <w:r w:rsidRPr="0019762B">
        <w:rPr>
          <w:rFonts w:cs="Arial"/>
          <w:sz w:val="22"/>
          <w:szCs w:val="22"/>
        </w:rPr>
        <w:t>offsetové transakce nebyl totožný se</w:t>
      </w:r>
      <w:r w:rsidR="00AA69AD">
        <w:rPr>
          <w:rFonts w:cs="Arial"/>
          <w:sz w:val="22"/>
          <w:szCs w:val="22"/>
        </w:rPr>
        <w:t> </w:t>
      </w:r>
      <w:r w:rsidRPr="0019762B">
        <w:rPr>
          <w:rFonts w:cs="Arial"/>
          <w:sz w:val="22"/>
          <w:szCs w:val="22"/>
        </w:rPr>
        <w:t xml:space="preserve">schváleným zahraničním partnerem uvedeným na potvrzení offsetové transakce. </w:t>
      </w:r>
    </w:p>
    <w:p w14:paraId="250B5A59" w14:textId="77777777" w:rsidR="005F0E6A" w:rsidRDefault="005F0E6A" w:rsidP="006E3AD4">
      <w:pPr>
        <w:autoSpaceDE w:val="0"/>
        <w:autoSpaceDN w:val="0"/>
        <w:adjustRightInd w:val="0"/>
        <w:jc w:val="both"/>
        <w:rPr>
          <w:rFonts w:cs="Arial"/>
          <w:sz w:val="22"/>
          <w:szCs w:val="22"/>
        </w:rPr>
      </w:pPr>
    </w:p>
    <w:p w14:paraId="3F25ACAD" w14:textId="50FE4075" w:rsidR="007B462D" w:rsidRPr="00C75BF1" w:rsidRDefault="007B462D" w:rsidP="006E3AD4">
      <w:pPr>
        <w:autoSpaceDE w:val="0"/>
        <w:autoSpaceDN w:val="0"/>
        <w:adjustRightInd w:val="0"/>
        <w:jc w:val="both"/>
        <w:rPr>
          <w:rFonts w:cs="Arial"/>
          <w:sz w:val="22"/>
          <w:szCs w:val="22"/>
        </w:rPr>
      </w:pPr>
      <w:r w:rsidRPr="007B462D">
        <w:rPr>
          <w:rFonts w:cs="Arial"/>
          <w:sz w:val="22"/>
          <w:szCs w:val="22"/>
        </w:rPr>
        <w:t xml:space="preserve">U </w:t>
      </w:r>
      <w:r w:rsidRPr="00C75BF1">
        <w:rPr>
          <w:rFonts w:cs="Arial"/>
          <w:b/>
          <w:sz w:val="22"/>
          <w:szCs w:val="22"/>
        </w:rPr>
        <w:t>PPS RBS-70</w:t>
      </w:r>
      <w:r w:rsidRPr="00C75BF1">
        <w:rPr>
          <w:rFonts w:cs="Arial"/>
          <w:sz w:val="22"/>
          <w:szCs w:val="22"/>
        </w:rPr>
        <w:t xml:space="preserve"> </w:t>
      </w:r>
      <w:r>
        <w:rPr>
          <w:rFonts w:cs="Arial"/>
          <w:sz w:val="22"/>
          <w:szCs w:val="22"/>
        </w:rPr>
        <w:t>offsetová dohoda nespecifikovala konkrétní výši offsetového závazku a </w:t>
      </w:r>
      <w:r w:rsidRPr="00C75BF1">
        <w:rPr>
          <w:rFonts w:cs="Arial"/>
          <w:sz w:val="22"/>
          <w:szCs w:val="22"/>
        </w:rPr>
        <w:t xml:space="preserve">smluvní strany dosáhly shody na </w:t>
      </w:r>
      <w:r>
        <w:rPr>
          <w:rFonts w:cs="Arial"/>
          <w:sz w:val="22"/>
          <w:szCs w:val="22"/>
        </w:rPr>
        <w:t>její výš</w:t>
      </w:r>
      <w:r w:rsidR="000A0843">
        <w:rPr>
          <w:rFonts w:cs="Arial"/>
          <w:sz w:val="22"/>
          <w:szCs w:val="22"/>
        </w:rPr>
        <w:t>i</w:t>
      </w:r>
      <w:r>
        <w:rPr>
          <w:rFonts w:cs="Arial"/>
          <w:sz w:val="22"/>
          <w:szCs w:val="22"/>
        </w:rPr>
        <w:t xml:space="preserve"> </w:t>
      </w:r>
      <w:r w:rsidRPr="00C75BF1">
        <w:rPr>
          <w:rFonts w:cs="Arial"/>
          <w:sz w:val="22"/>
          <w:szCs w:val="22"/>
        </w:rPr>
        <w:t>teprve v červnu 2009, tj. čtyři a půl roku po uzavření smlouvy o plnění veřejné zakázky.</w:t>
      </w:r>
    </w:p>
    <w:p w14:paraId="3F95C420" w14:textId="77777777" w:rsidR="005F0E6A" w:rsidRDefault="005F0E6A" w:rsidP="006E3AD4">
      <w:pPr>
        <w:autoSpaceDE w:val="0"/>
        <w:autoSpaceDN w:val="0"/>
        <w:adjustRightInd w:val="0"/>
        <w:jc w:val="both"/>
        <w:rPr>
          <w:rFonts w:cs="Arial"/>
          <w:sz w:val="22"/>
          <w:szCs w:val="22"/>
        </w:rPr>
      </w:pPr>
    </w:p>
    <w:p w14:paraId="3F25ACAE" w14:textId="06D1A1A6" w:rsidR="0012260E" w:rsidRPr="00C75BF1" w:rsidRDefault="0012260E" w:rsidP="006E3AD4">
      <w:pPr>
        <w:autoSpaceDE w:val="0"/>
        <w:autoSpaceDN w:val="0"/>
        <w:adjustRightInd w:val="0"/>
        <w:jc w:val="both"/>
        <w:rPr>
          <w:rFonts w:cs="Arial"/>
          <w:sz w:val="22"/>
          <w:szCs w:val="22"/>
        </w:rPr>
      </w:pPr>
      <w:r w:rsidRPr="00CC4874">
        <w:rPr>
          <w:rFonts w:cs="Arial"/>
          <w:sz w:val="22"/>
          <w:szCs w:val="22"/>
        </w:rPr>
        <w:t>U</w:t>
      </w:r>
      <w:r w:rsidRPr="0032711C">
        <w:rPr>
          <w:rFonts w:cs="Arial"/>
          <w:b/>
          <w:sz w:val="22"/>
          <w:szCs w:val="22"/>
        </w:rPr>
        <w:t xml:space="preserve"> PPS </w:t>
      </w:r>
      <w:r w:rsidR="000A0843">
        <w:rPr>
          <w:rFonts w:cs="Arial"/>
          <w:b/>
          <w:sz w:val="22"/>
          <w:szCs w:val="22"/>
        </w:rPr>
        <w:t xml:space="preserve">ATS </w:t>
      </w:r>
      <w:r w:rsidRPr="0032711C">
        <w:rPr>
          <w:rFonts w:cs="Arial"/>
          <w:b/>
          <w:sz w:val="22"/>
          <w:szCs w:val="22"/>
        </w:rPr>
        <w:t>TATRA</w:t>
      </w:r>
      <w:r w:rsidRPr="0032711C">
        <w:rPr>
          <w:rFonts w:cs="Arial"/>
          <w:sz w:val="22"/>
          <w:szCs w:val="22"/>
        </w:rPr>
        <w:t xml:space="preserve"> neinformovalo MO dodavatele o požadavku offsetů ve výzvě, ale až po</w:t>
      </w:r>
      <w:r>
        <w:rPr>
          <w:rFonts w:cs="Arial"/>
          <w:sz w:val="22"/>
          <w:szCs w:val="22"/>
        </w:rPr>
        <w:t> </w:t>
      </w:r>
      <w:r w:rsidRPr="0032711C">
        <w:rPr>
          <w:rFonts w:cs="Arial"/>
          <w:sz w:val="22"/>
          <w:szCs w:val="22"/>
        </w:rPr>
        <w:t>rozhodnutí o přidělení zakázky, přičemž uzavření offsetové dohody bylo jednou z odkládacích podmínek smlouvy o dodávkách ATS TATRA. Dodavatel ATS TATRA je českým výrobcem a současně nositelem offsetového závazku</w:t>
      </w:r>
      <w:r>
        <w:rPr>
          <w:rFonts w:cs="Arial"/>
          <w:sz w:val="22"/>
          <w:szCs w:val="22"/>
        </w:rPr>
        <w:t>.</w:t>
      </w:r>
      <w:r w:rsidRPr="0032711C">
        <w:rPr>
          <w:rFonts w:cs="Arial"/>
          <w:sz w:val="22"/>
          <w:szCs w:val="22"/>
        </w:rPr>
        <w:t xml:space="preserve"> </w:t>
      </w:r>
      <w:r>
        <w:rPr>
          <w:rFonts w:cs="Arial"/>
          <w:sz w:val="22"/>
          <w:szCs w:val="22"/>
        </w:rPr>
        <w:t>Z</w:t>
      </w:r>
      <w:r w:rsidRPr="0032711C">
        <w:rPr>
          <w:rFonts w:cs="Arial"/>
          <w:sz w:val="22"/>
          <w:szCs w:val="22"/>
        </w:rPr>
        <w:t>ahraniční subdodávk</w:t>
      </w:r>
      <w:r>
        <w:rPr>
          <w:rFonts w:cs="Arial"/>
          <w:sz w:val="22"/>
          <w:szCs w:val="22"/>
        </w:rPr>
        <w:t>y</w:t>
      </w:r>
      <w:r w:rsidRPr="0032711C">
        <w:rPr>
          <w:rFonts w:cs="Arial"/>
          <w:sz w:val="22"/>
          <w:szCs w:val="22"/>
        </w:rPr>
        <w:t xml:space="preserve"> sice přesah</w:t>
      </w:r>
      <w:r>
        <w:rPr>
          <w:rFonts w:cs="Arial"/>
          <w:sz w:val="22"/>
          <w:szCs w:val="22"/>
        </w:rPr>
        <w:t>ovaly</w:t>
      </w:r>
      <w:r w:rsidRPr="0032711C">
        <w:rPr>
          <w:rFonts w:cs="Arial"/>
          <w:sz w:val="22"/>
          <w:szCs w:val="22"/>
        </w:rPr>
        <w:t xml:space="preserve"> limit 250 mil. Kč</w:t>
      </w:r>
      <w:r>
        <w:rPr>
          <w:rFonts w:cs="Arial"/>
          <w:sz w:val="22"/>
          <w:szCs w:val="22"/>
        </w:rPr>
        <w:t xml:space="preserve">, byly </w:t>
      </w:r>
      <w:r w:rsidRPr="0032711C">
        <w:rPr>
          <w:rFonts w:cs="Arial"/>
          <w:sz w:val="22"/>
          <w:szCs w:val="22"/>
        </w:rPr>
        <w:t xml:space="preserve">však výrazně nižší (cca ¼) než podíl </w:t>
      </w:r>
      <w:r>
        <w:rPr>
          <w:rFonts w:cs="Arial"/>
          <w:sz w:val="22"/>
          <w:szCs w:val="22"/>
        </w:rPr>
        <w:t xml:space="preserve">produkce </w:t>
      </w:r>
      <w:r w:rsidRPr="0032711C">
        <w:rPr>
          <w:rFonts w:cs="Arial"/>
          <w:sz w:val="22"/>
          <w:szCs w:val="22"/>
        </w:rPr>
        <w:t>českého dodavatele na plnění veřejné zakázky. Výše offsetového závazku vázaná na hodnotu zahraničních subdodávek by tak byla ze své podstaty splněna již přímými dodávkami českého výrobce. Zahrnutí vlastní produkce českého výrobce v rámci veřejné zakázky do</w:t>
      </w:r>
      <w:r>
        <w:rPr>
          <w:rFonts w:cs="Arial"/>
          <w:sz w:val="22"/>
          <w:szCs w:val="22"/>
        </w:rPr>
        <w:t> </w:t>
      </w:r>
      <w:r w:rsidRPr="0032711C">
        <w:rPr>
          <w:rFonts w:cs="Arial"/>
          <w:sz w:val="22"/>
          <w:szCs w:val="22"/>
        </w:rPr>
        <w:t xml:space="preserve">přímých offsetů však MO neumožnilo. Českému výrobci </w:t>
      </w:r>
      <w:r w:rsidR="000A0843" w:rsidRPr="0032711C">
        <w:rPr>
          <w:rFonts w:cs="Arial"/>
          <w:sz w:val="22"/>
          <w:szCs w:val="22"/>
        </w:rPr>
        <w:t xml:space="preserve">mohly </w:t>
      </w:r>
      <w:r w:rsidRPr="0032711C">
        <w:rPr>
          <w:rFonts w:cs="Arial"/>
          <w:sz w:val="22"/>
          <w:szCs w:val="22"/>
        </w:rPr>
        <w:t xml:space="preserve">v souvislosti s offsety </w:t>
      </w:r>
      <w:r w:rsidRPr="0032711C">
        <w:rPr>
          <w:rFonts w:cs="Arial"/>
          <w:sz w:val="22"/>
          <w:szCs w:val="22"/>
        </w:rPr>
        <w:lastRenderedPageBreak/>
        <w:t xml:space="preserve">vzniknout neodůvodněné náklady. </w:t>
      </w:r>
      <w:r w:rsidRPr="0032711C">
        <w:rPr>
          <w:rFonts w:cs="Arial"/>
          <w:b/>
          <w:sz w:val="22"/>
          <w:szCs w:val="22"/>
        </w:rPr>
        <w:t>MO vyžadovalo plnění offsetového závazku, aniž</w:t>
      </w:r>
      <w:r>
        <w:rPr>
          <w:rFonts w:cs="Arial"/>
          <w:b/>
          <w:sz w:val="22"/>
          <w:szCs w:val="22"/>
        </w:rPr>
        <w:t> </w:t>
      </w:r>
      <w:r w:rsidRPr="0032711C">
        <w:rPr>
          <w:rFonts w:cs="Arial"/>
          <w:b/>
          <w:sz w:val="22"/>
          <w:szCs w:val="22"/>
        </w:rPr>
        <w:t>by</w:t>
      </w:r>
      <w:r>
        <w:rPr>
          <w:rFonts w:cs="Arial"/>
          <w:b/>
          <w:sz w:val="22"/>
          <w:szCs w:val="22"/>
        </w:rPr>
        <w:t> </w:t>
      </w:r>
      <w:r w:rsidRPr="0032711C">
        <w:rPr>
          <w:rFonts w:cs="Arial"/>
          <w:b/>
          <w:sz w:val="22"/>
          <w:szCs w:val="22"/>
        </w:rPr>
        <w:t>přihlédlo k účelu uplatňování offsetové politiky</w:t>
      </w:r>
      <w:r w:rsidRPr="006E3AD4">
        <w:rPr>
          <w:rFonts w:cs="Arial"/>
          <w:b/>
          <w:sz w:val="22"/>
          <w:szCs w:val="22"/>
        </w:rPr>
        <w:t>.</w:t>
      </w:r>
    </w:p>
    <w:p w14:paraId="6F91D783" w14:textId="77777777" w:rsidR="005F0E6A" w:rsidRDefault="005F0E6A" w:rsidP="00AD3061">
      <w:pPr>
        <w:autoSpaceDE w:val="0"/>
        <w:autoSpaceDN w:val="0"/>
        <w:adjustRightInd w:val="0"/>
        <w:jc w:val="both"/>
        <w:rPr>
          <w:rFonts w:cs="Arial"/>
          <w:sz w:val="22"/>
          <w:szCs w:val="22"/>
        </w:rPr>
      </w:pPr>
    </w:p>
    <w:p w14:paraId="3F25ACAF" w14:textId="46365271" w:rsidR="0019762B" w:rsidRDefault="00AA69AD" w:rsidP="00AD3061">
      <w:pPr>
        <w:autoSpaceDE w:val="0"/>
        <w:autoSpaceDN w:val="0"/>
        <w:adjustRightInd w:val="0"/>
        <w:jc w:val="both"/>
        <w:rPr>
          <w:rFonts w:cs="Arial"/>
          <w:sz w:val="22"/>
          <w:szCs w:val="22"/>
        </w:rPr>
      </w:pPr>
      <w:r w:rsidRPr="00AA69AD">
        <w:rPr>
          <w:rFonts w:cs="Arial"/>
          <w:sz w:val="22"/>
          <w:szCs w:val="22"/>
        </w:rPr>
        <w:t xml:space="preserve">U </w:t>
      </w:r>
      <w:r w:rsidRPr="00AA69AD">
        <w:rPr>
          <w:rFonts w:cs="Arial"/>
          <w:b/>
          <w:sz w:val="22"/>
          <w:szCs w:val="22"/>
        </w:rPr>
        <w:t>PPS KOT PANDUR</w:t>
      </w:r>
      <w:r w:rsidRPr="00AA69AD">
        <w:rPr>
          <w:rFonts w:cs="Arial"/>
          <w:sz w:val="22"/>
          <w:szCs w:val="22"/>
        </w:rPr>
        <w:t xml:space="preserve"> byla</w:t>
      </w:r>
      <w:r w:rsidR="0001442A">
        <w:rPr>
          <w:rFonts w:cs="Arial"/>
          <w:sz w:val="22"/>
          <w:szCs w:val="22"/>
        </w:rPr>
        <w:t xml:space="preserve"> </w:t>
      </w:r>
      <w:r w:rsidRPr="00AA69AD">
        <w:rPr>
          <w:rFonts w:cs="Arial"/>
          <w:sz w:val="22"/>
          <w:szCs w:val="22"/>
        </w:rPr>
        <w:t>OF/285</w:t>
      </w:r>
      <w:r>
        <w:rPr>
          <w:rFonts w:cs="Arial"/>
          <w:sz w:val="22"/>
          <w:szCs w:val="22"/>
        </w:rPr>
        <w:t xml:space="preserve"> (</w:t>
      </w:r>
      <w:r w:rsidR="000A0843">
        <w:rPr>
          <w:rFonts w:cs="Arial"/>
          <w:sz w:val="22"/>
          <w:szCs w:val="22"/>
        </w:rPr>
        <w:t>p</w:t>
      </w:r>
      <w:r w:rsidRPr="00AA69AD">
        <w:rPr>
          <w:rFonts w:cs="Arial"/>
          <w:sz w:val="22"/>
          <w:szCs w:val="22"/>
        </w:rPr>
        <w:t>rodej 2 ks letounů L-410 UVP</w:t>
      </w:r>
      <w:r>
        <w:rPr>
          <w:rFonts w:cs="Arial"/>
          <w:sz w:val="22"/>
          <w:szCs w:val="22"/>
        </w:rPr>
        <w:t>)</w:t>
      </w:r>
      <w:r w:rsidRPr="00AA69AD">
        <w:rPr>
          <w:rFonts w:cs="Arial"/>
          <w:sz w:val="22"/>
          <w:szCs w:val="22"/>
        </w:rPr>
        <w:t xml:space="preserve"> na základě vydaného potvrzení OFK vykazována jako přímá, přestože podstata OFT neodpovídala definici přímých offsetů uvedené v příslušné offsetové dohodě</w:t>
      </w:r>
      <w:r>
        <w:rPr>
          <w:rFonts w:cs="Arial"/>
          <w:sz w:val="22"/>
          <w:szCs w:val="22"/>
        </w:rPr>
        <w:t>. MO uznalo plnění této transakce jako přímé OFT.</w:t>
      </w:r>
    </w:p>
    <w:p w14:paraId="4905BF44" w14:textId="77777777" w:rsidR="005F0E6A" w:rsidRDefault="005F0E6A" w:rsidP="00AD3061">
      <w:pPr>
        <w:autoSpaceDE w:val="0"/>
        <w:autoSpaceDN w:val="0"/>
        <w:adjustRightInd w:val="0"/>
        <w:jc w:val="both"/>
        <w:rPr>
          <w:rFonts w:cs="Arial"/>
          <w:sz w:val="22"/>
          <w:szCs w:val="22"/>
        </w:rPr>
      </w:pPr>
    </w:p>
    <w:p w14:paraId="3F25ACB0" w14:textId="565B549B" w:rsidR="003D0AF1" w:rsidRDefault="00A36E2D" w:rsidP="00AD3061">
      <w:pPr>
        <w:autoSpaceDE w:val="0"/>
        <w:autoSpaceDN w:val="0"/>
        <w:adjustRightInd w:val="0"/>
        <w:jc w:val="both"/>
        <w:rPr>
          <w:rFonts w:cs="Arial"/>
          <w:sz w:val="22"/>
          <w:szCs w:val="22"/>
        </w:rPr>
      </w:pPr>
      <w:r>
        <w:rPr>
          <w:rFonts w:cs="Arial"/>
          <w:sz w:val="22"/>
          <w:szCs w:val="22"/>
        </w:rPr>
        <w:t>MO akceptov</w:t>
      </w:r>
      <w:r w:rsidR="00B069FA">
        <w:rPr>
          <w:rFonts w:cs="Arial"/>
          <w:sz w:val="22"/>
          <w:szCs w:val="22"/>
        </w:rPr>
        <w:t>alo</w:t>
      </w:r>
      <w:r>
        <w:rPr>
          <w:rFonts w:cs="Arial"/>
          <w:sz w:val="22"/>
          <w:szCs w:val="22"/>
        </w:rPr>
        <w:t xml:space="preserve"> zařazení </w:t>
      </w:r>
      <w:r w:rsidR="00B069FA">
        <w:rPr>
          <w:rFonts w:cs="Arial"/>
          <w:sz w:val="22"/>
          <w:szCs w:val="22"/>
        </w:rPr>
        <w:t xml:space="preserve">předoffsetové transakce do </w:t>
      </w:r>
      <w:r w:rsidR="00B069FA" w:rsidRPr="00A36E2D">
        <w:rPr>
          <w:rFonts w:cs="Arial"/>
          <w:b/>
          <w:sz w:val="22"/>
          <w:szCs w:val="22"/>
        </w:rPr>
        <w:t>PPS CASA</w:t>
      </w:r>
      <w:r w:rsidR="00B069FA">
        <w:rPr>
          <w:rFonts w:cs="Arial"/>
          <w:sz w:val="22"/>
          <w:szCs w:val="22"/>
        </w:rPr>
        <w:t xml:space="preserve"> </w:t>
      </w:r>
      <w:r>
        <w:rPr>
          <w:rFonts w:cs="Arial"/>
          <w:sz w:val="22"/>
          <w:szCs w:val="22"/>
        </w:rPr>
        <w:t xml:space="preserve">a </w:t>
      </w:r>
      <w:r w:rsidR="00B069FA">
        <w:rPr>
          <w:rFonts w:cs="Arial"/>
          <w:sz w:val="22"/>
          <w:szCs w:val="22"/>
        </w:rPr>
        <w:t xml:space="preserve">následně uznalo plnění této transakce </w:t>
      </w:r>
      <w:r>
        <w:rPr>
          <w:rFonts w:cs="Arial"/>
          <w:sz w:val="22"/>
          <w:szCs w:val="22"/>
        </w:rPr>
        <w:t>(</w:t>
      </w:r>
      <w:r w:rsidR="00B069FA">
        <w:rPr>
          <w:rFonts w:cs="Arial"/>
          <w:sz w:val="22"/>
          <w:szCs w:val="22"/>
        </w:rPr>
        <w:t xml:space="preserve">OF/273 – </w:t>
      </w:r>
      <w:r>
        <w:rPr>
          <w:rFonts w:cs="Arial"/>
          <w:sz w:val="22"/>
          <w:szCs w:val="22"/>
        </w:rPr>
        <w:t>návrh a konstrukce nových interiérů</w:t>
      </w:r>
      <w:r w:rsidR="008745D0">
        <w:rPr>
          <w:rFonts w:cs="Arial"/>
          <w:sz w:val="22"/>
          <w:szCs w:val="22"/>
        </w:rPr>
        <w:t xml:space="preserve"> letounů AIRBUS) ve výši cca </w:t>
      </w:r>
      <w:r w:rsidR="00D721D7" w:rsidRPr="00D721D7">
        <w:rPr>
          <w:rFonts w:cs="Arial"/>
          <w:sz w:val="22"/>
          <w:szCs w:val="22"/>
        </w:rPr>
        <w:t>27</w:t>
      </w:r>
      <w:r w:rsidR="0001442A">
        <w:rPr>
          <w:rFonts w:cs="Arial"/>
          <w:sz w:val="22"/>
          <w:szCs w:val="22"/>
        </w:rPr>
        <w:t> </w:t>
      </w:r>
      <w:r w:rsidR="00D721D7" w:rsidRPr="00D721D7">
        <w:rPr>
          <w:rFonts w:cs="Arial"/>
          <w:sz w:val="22"/>
          <w:szCs w:val="22"/>
        </w:rPr>
        <w:t>312</w:t>
      </w:r>
      <w:r w:rsidR="0001442A">
        <w:rPr>
          <w:rFonts w:cs="Arial"/>
          <w:sz w:val="22"/>
          <w:szCs w:val="22"/>
        </w:rPr>
        <w:t> </w:t>
      </w:r>
      <w:r w:rsidR="00D721D7" w:rsidRPr="00D721D7">
        <w:rPr>
          <w:rFonts w:cs="Arial"/>
          <w:sz w:val="22"/>
          <w:szCs w:val="22"/>
        </w:rPr>
        <w:t>214</w:t>
      </w:r>
      <w:r w:rsidR="008745D0">
        <w:rPr>
          <w:rFonts w:cs="Arial"/>
          <w:sz w:val="22"/>
          <w:szCs w:val="22"/>
        </w:rPr>
        <w:t xml:space="preserve"> Kč</w:t>
      </w:r>
      <w:r w:rsidR="00B069FA">
        <w:rPr>
          <w:rFonts w:cs="Arial"/>
          <w:sz w:val="22"/>
          <w:szCs w:val="22"/>
        </w:rPr>
        <w:t xml:space="preserve">, </w:t>
      </w:r>
      <w:r w:rsidR="00F506C9">
        <w:rPr>
          <w:rFonts w:cs="Arial"/>
          <w:sz w:val="22"/>
          <w:szCs w:val="22"/>
        </w:rPr>
        <w:t>stalo se</w:t>
      </w:r>
      <w:r w:rsidR="00B069FA">
        <w:rPr>
          <w:rFonts w:cs="Arial"/>
          <w:sz w:val="22"/>
          <w:szCs w:val="22"/>
        </w:rPr>
        <w:t xml:space="preserve"> tak ale</w:t>
      </w:r>
      <w:r w:rsidR="008745D0">
        <w:rPr>
          <w:rFonts w:cs="Arial"/>
          <w:sz w:val="22"/>
          <w:szCs w:val="22"/>
        </w:rPr>
        <w:t xml:space="preserve"> </w:t>
      </w:r>
      <w:r>
        <w:rPr>
          <w:rFonts w:cs="Arial"/>
          <w:sz w:val="22"/>
          <w:szCs w:val="22"/>
        </w:rPr>
        <w:t>v rozporu s příslušnou offsetovou dohodou, která použití předoffsetových transakcí k plnění PPS vylučovala.</w:t>
      </w:r>
      <w:r w:rsidR="0001442A">
        <w:rPr>
          <w:rFonts w:cs="Arial"/>
          <w:sz w:val="22"/>
          <w:szCs w:val="22"/>
        </w:rPr>
        <w:t xml:space="preserve"> </w:t>
      </w:r>
    </w:p>
    <w:p w14:paraId="7C876526" w14:textId="77777777" w:rsidR="005F0E6A" w:rsidRDefault="005F0E6A" w:rsidP="00AD3061">
      <w:pPr>
        <w:autoSpaceDE w:val="0"/>
        <w:autoSpaceDN w:val="0"/>
        <w:adjustRightInd w:val="0"/>
        <w:jc w:val="both"/>
        <w:rPr>
          <w:rFonts w:cs="Arial"/>
          <w:sz w:val="22"/>
          <w:szCs w:val="22"/>
        </w:rPr>
      </w:pPr>
    </w:p>
    <w:p w14:paraId="3F25ACB1" w14:textId="056B5729" w:rsidR="00FF5B4A" w:rsidRPr="00C75BF1" w:rsidRDefault="00FF5B4A" w:rsidP="00AD3061">
      <w:pPr>
        <w:autoSpaceDE w:val="0"/>
        <w:autoSpaceDN w:val="0"/>
        <w:adjustRightInd w:val="0"/>
        <w:jc w:val="both"/>
        <w:rPr>
          <w:rFonts w:cs="Arial"/>
          <w:sz w:val="22"/>
          <w:szCs w:val="22"/>
        </w:rPr>
      </w:pPr>
      <w:r>
        <w:rPr>
          <w:rFonts w:cs="Arial"/>
          <w:sz w:val="22"/>
          <w:szCs w:val="22"/>
        </w:rPr>
        <w:t xml:space="preserve">Dále bylo zjištěno, že </w:t>
      </w:r>
      <w:r w:rsidRPr="00FF5B4A">
        <w:rPr>
          <w:rFonts w:cs="Arial"/>
          <w:sz w:val="22"/>
          <w:szCs w:val="22"/>
        </w:rPr>
        <w:t>PPS CASA</w:t>
      </w:r>
      <w:r w:rsidRPr="00C75BF1">
        <w:rPr>
          <w:rFonts w:cs="Arial"/>
          <w:sz w:val="22"/>
          <w:szCs w:val="22"/>
        </w:rPr>
        <w:t xml:space="preserve"> zahrnuje hodnotu offsetového závazku, kter</w:t>
      </w:r>
      <w:r w:rsidR="00453405">
        <w:rPr>
          <w:rFonts w:cs="Arial"/>
          <w:sz w:val="22"/>
          <w:szCs w:val="22"/>
        </w:rPr>
        <w:t>á</w:t>
      </w:r>
      <w:r w:rsidRPr="00C75BF1">
        <w:rPr>
          <w:rFonts w:cs="Arial"/>
          <w:sz w:val="22"/>
          <w:szCs w:val="22"/>
        </w:rPr>
        <w:t xml:space="preserve"> odpovídá pouze hodnotě zahraničních dodávek letounů CASA na základě příslušné kupní a směnné smlouvy. Offsetový závazek nezahrnuje </w:t>
      </w:r>
      <w:r w:rsidR="00B069FA">
        <w:rPr>
          <w:rFonts w:cs="Arial"/>
          <w:sz w:val="22"/>
          <w:szCs w:val="22"/>
        </w:rPr>
        <w:t xml:space="preserve">částku </w:t>
      </w:r>
      <w:r w:rsidRPr="00C75BF1">
        <w:rPr>
          <w:rFonts w:cs="Arial"/>
          <w:sz w:val="22"/>
          <w:szCs w:val="22"/>
        </w:rPr>
        <w:t>818 559 060 Kč, kter</w:t>
      </w:r>
      <w:r w:rsidR="00B069FA">
        <w:rPr>
          <w:rFonts w:cs="Arial"/>
          <w:sz w:val="22"/>
          <w:szCs w:val="22"/>
        </w:rPr>
        <w:t>á</w:t>
      </w:r>
      <w:r w:rsidRPr="00C75BF1">
        <w:rPr>
          <w:rFonts w:cs="Arial"/>
          <w:sz w:val="22"/>
          <w:szCs w:val="22"/>
        </w:rPr>
        <w:t xml:space="preserve"> představuje nákup služeb na základě </w:t>
      </w:r>
      <w:r w:rsidR="00E75CA0">
        <w:rPr>
          <w:rFonts w:cs="Arial"/>
          <w:sz w:val="22"/>
          <w:szCs w:val="22"/>
        </w:rPr>
        <w:t>„</w:t>
      </w:r>
      <w:r w:rsidR="00B069FA">
        <w:rPr>
          <w:rFonts w:cs="Arial"/>
          <w:sz w:val="22"/>
          <w:szCs w:val="22"/>
        </w:rPr>
        <w:t>s</w:t>
      </w:r>
      <w:r w:rsidRPr="00C75BF1">
        <w:rPr>
          <w:rFonts w:cs="Arial"/>
          <w:sz w:val="22"/>
          <w:szCs w:val="22"/>
        </w:rPr>
        <w:t>mlouvy o servisní podpoře letounů CASA</w:t>
      </w:r>
      <w:r w:rsidR="00E75CA0">
        <w:rPr>
          <w:rFonts w:cs="Arial"/>
          <w:sz w:val="22"/>
          <w:szCs w:val="22"/>
        </w:rPr>
        <w:t>“</w:t>
      </w:r>
      <w:r w:rsidRPr="00C75BF1">
        <w:rPr>
          <w:rFonts w:cs="Arial"/>
          <w:sz w:val="22"/>
          <w:szCs w:val="22"/>
        </w:rPr>
        <w:t xml:space="preserve"> ze dne 27. 1. 2010.</w:t>
      </w:r>
      <w:r w:rsidRPr="0076434B">
        <w:rPr>
          <w:rStyle w:val="Znakapoznpodarou"/>
          <w:rFonts w:cs="Arial"/>
          <w:sz w:val="22"/>
          <w:szCs w:val="22"/>
        </w:rPr>
        <w:footnoteReference w:id="37"/>
      </w:r>
      <w:r w:rsidRPr="00C75BF1">
        <w:rPr>
          <w:rFonts w:cs="Arial"/>
          <w:sz w:val="22"/>
          <w:szCs w:val="22"/>
        </w:rPr>
        <w:t xml:space="preserve"> Tím, že MO nevyžadovalo offsety v souvislosti s uzavřením druhé smlouvy, porušilo Zásady 2005 a</w:t>
      </w:r>
      <w:r w:rsidR="0001442A">
        <w:rPr>
          <w:rFonts w:cs="Arial"/>
          <w:sz w:val="22"/>
          <w:szCs w:val="22"/>
        </w:rPr>
        <w:t> </w:t>
      </w:r>
      <w:r w:rsidRPr="00C75BF1">
        <w:rPr>
          <w:rFonts w:cs="Arial"/>
          <w:sz w:val="22"/>
          <w:szCs w:val="22"/>
        </w:rPr>
        <w:t>snížilo potenciál ekonomických přínosů, které spočívají v kompenzacích výdajů státního rozpočtu ve formě offsetů.</w:t>
      </w:r>
    </w:p>
    <w:p w14:paraId="71404DA6" w14:textId="77777777" w:rsidR="005F0E6A" w:rsidRDefault="005F0E6A" w:rsidP="00AD3061">
      <w:pPr>
        <w:autoSpaceDE w:val="0"/>
        <w:autoSpaceDN w:val="0"/>
        <w:adjustRightInd w:val="0"/>
        <w:jc w:val="both"/>
        <w:rPr>
          <w:rFonts w:cs="Arial"/>
          <w:b/>
          <w:sz w:val="22"/>
          <w:szCs w:val="22"/>
        </w:rPr>
      </w:pPr>
    </w:p>
    <w:p w14:paraId="3F25ACB2" w14:textId="1F9781EC" w:rsidR="0099281A" w:rsidRPr="00C75BF1" w:rsidRDefault="005C55ED" w:rsidP="00AD3061">
      <w:pPr>
        <w:autoSpaceDE w:val="0"/>
        <w:autoSpaceDN w:val="0"/>
        <w:adjustRightInd w:val="0"/>
        <w:jc w:val="both"/>
        <w:rPr>
          <w:rFonts w:eastAsia="Calibri"/>
          <w:b/>
          <w:sz w:val="22"/>
          <w:szCs w:val="22"/>
          <w:lang w:eastAsia="en-US"/>
        </w:rPr>
      </w:pPr>
      <w:r w:rsidRPr="00C75BF1">
        <w:rPr>
          <w:rFonts w:cs="Arial"/>
          <w:b/>
          <w:sz w:val="22"/>
          <w:szCs w:val="22"/>
        </w:rPr>
        <w:t>PPS LOV</w:t>
      </w:r>
      <w:r w:rsidR="009E14E9" w:rsidRPr="00C75BF1">
        <w:rPr>
          <w:rFonts w:cs="Arial"/>
          <w:sz w:val="22"/>
          <w:szCs w:val="22"/>
        </w:rPr>
        <w:t xml:space="preserve"> </w:t>
      </w:r>
      <w:r w:rsidR="009E14E9" w:rsidRPr="00C75BF1">
        <w:rPr>
          <w:rFonts w:cs="Arial"/>
          <w:b/>
          <w:sz w:val="22"/>
          <w:szCs w:val="22"/>
        </w:rPr>
        <w:t>IVECO</w:t>
      </w:r>
      <w:r w:rsidRPr="00C75BF1">
        <w:rPr>
          <w:rFonts w:cs="Arial"/>
          <w:sz w:val="22"/>
          <w:szCs w:val="22"/>
        </w:rPr>
        <w:t xml:space="preserve"> byl v letech 2010 a 2011 plněn OFT (OF/296), u níž </w:t>
      </w:r>
      <w:r w:rsidR="009E30F7">
        <w:rPr>
          <w:rFonts w:cs="Arial"/>
          <w:sz w:val="22"/>
          <w:szCs w:val="22"/>
        </w:rPr>
        <w:t xml:space="preserve">MO uznalo </w:t>
      </w:r>
      <w:r w:rsidRPr="00C75BF1">
        <w:rPr>
          <w:rFonts w:cs="Arial"/>
          <w:sz w:val="22"/>
          <w:szCs w:val="22"/>
        </w:rPr>
        <w:t>kumulativn</w:t>
      </w:r>
      <w:r w:rsidR="009E30F7">
        <w:rPr>
          <w:rFonts w:cs="Arial"/>
          <w:sz w:val="22"/>
          <w:szCs w:val="22"/>
        </w:rPr>
        <w:t>í</w:t>
      </w:r>
      <w:r w:rsidRPr="00C75BF1">
        <w:rPr>
          <w:rFonts w:cs="Arial"/>
          <w:sz w:val="22"/>
          <w:szCs w:val="22"/>
        </w:rPr>
        <w:t xml:space="preserve"> hodnot</w:t>
      </w:r>
      <w:r w:rsidR="009E30F7">
        <w:rPr>
          <w:rFonts w:cs="Arial"/>
          <w:sz w:val="22"/>
          <w:szCs w:val="22"/>
        </w:rPr>
        <w:t>u</w:t>
      </w:r>
      <w:r w:rsidRPr="00C75BF1">
        <w:rPr>
          <w:rFonts w:cs="Arial"/>
          <w:sz w:val="22"/>
          <w:szCs w:val="22"/>
        </w:rPr>
        <w:t xml:space="preserve"> plnění </w:t>
      </w:r>
      <w:r w:rsidR="009E30F7">
        <w:rPr>
          <w:rFonts w:cs="Arial"/>
          <w:sz w:val="22"/>
          <w:szCs w:val="22"/>
        </w:rPr>
        <w:t>ve výši</w:t>
      </w:r>
      <w:r w:rsidRPr="00C75BF1">
        <w:rPr>
          <w:rFonts w:cs="Arial"/>
          <w:sz w:val="22"/>
          <w:szCs w:val="22"/>
        </w:rPr>
        <w:t xml:space="preserve"> 7 992 607 Kč, ačkoli nebyly splněny schválené podmínky této OFT. </w:t>
      </w:r>
      <w:r w:rsidR="00D71941" w:rsidRPr="00C75BF1">
        <w:rPr>
          <w:rFonts w:cs="Arial"/>
          <w:sz w:val="22"/>
          <w:szCs w:val="22"/>
        </w:rPr>
        <w:t xml:space="preserve">Předpokládaná hodnota této OFT činila 230 mil. Kč. </w:t>
      </w:r>
      <w:r w:rsidRPr="00C75BF1">
        <w:rPr>
          <w:rFonts w:cs="Arial"/>
          <w:sz w:val="22"/>
          <w:szCs w:val="22"/>
        </w:rPr>
        <w:t>Podmínky spočívaly v autorizaci servisního střediska</w:t>
      </w:r>
      <w:r w:rsidRPr="0076434B">
        <w:rPr>
          <w:rStyle w:val="Znakapoznpodarou"/>
          <w:rFonts w:cs="Arial"/>
          <w:sz w:val="22"/>
          <w:szCs w:val="22"/>
        </w:rPr>
        <w:footnoteReference w:id="38"/>
      </w:r>
      <w:r w:rsidRPr="00C75BF1">
        <w:rPr>
          <w:rFonts w:cs="Arial"/>
          <w:sz w:val="22"/>
          <w:szCs w:val="22"/>
        </w:rPr>
        <w:t xml:space="preserve"> </w:t>
      </w:r>
      <w:r w:rsidR="009E30F7">
        <w:rPr>
          <w:rFonts w:cs="Arial"/>
          <w:sz w:val="22"/>
          <w:szCs w:val="22"/>
        </w:rPr>
        <w:t xml:space="preserve">podniku </w:t>
      </w:r>
      <w:r w:rsidRPr="00C75BF1">
        <w:rPr>
          <w:rFonts w:cs="Arial"/>
          <w:sz w:val="22"/>
          <w:szCs w:val="22"/>
        </w:rPr>
        <w:t>VOP-026</w:t>
      </w:r>
      <w:r w:rsidR="009E30F7">
        <w:rPr>
          <w:rFonts w:cs="Arial"/>
          <w:sz w:val="22"/>
          <w:szCs w:val="22"/>
        </w:rPr>
        <w:t>,</w:t>
      </w:r>
      <w:r w:rsidRPr="00C75BF1">
        <w:rPr>
          <w:rFonts w:cs="Arial"/>
          <w:sz w:val="22"/>
          <w:szCs w:val="22"/>
        </w:rPr>
        <w:t xml:space="preserve"> s.p.</w:t>
      </w:r>
      <w:r w:rsidR="00360C61" w:rsidRPr="00C75BF1">
        <w:rPr>
          <w:rFonts w:cs="Arial"/>
          <w:sz w:val="22"/>
          <w:szCs w:val="22"/>
        </w:rPr>
        <w:t xml:space="preserve">, který však tuto část transakce musel dodavateli LOV IVECO uhradit, přičemž </w:t>
      </w:r>
      <w:r w:rsidR="009E14E9" w:rsidRPr="00C75BF1">
        <w:rPr>
          <w:rFonts w:cs="Arial"/>
          <w:sz w:val="22"/>
          <w:szCs w:val="22"/>
        </w:rPr>
        <w:t>se jednalo pouze o</w:t>
      </w:r>
      <w:r w:rsidR="009E30F7">
        <w:rPr>
          <w:rFonts w:cs="Arial"/>
          <w:sz w:val="22"/>
          <w:szCs w:val="22"/>
        </w:rPr>
        <w:t> </w:t>
      </w:r>
      <w:r w:rsidR="009E14E9" w:rsidRPr="00C75BF1">
        <w:rPr>
          <w:rFonts w:cs="Arial"/>
          <w:sz w:val="22"/>
          <w:szCs w:val="22"/>
        </w:rPr>
        <w:t>část budoucích</w:t>
      </w:r>
      <w:r w:rsidR="0001442A">
        <w:rPr>
          <w:rFonts w:cs="Arial"/>
          <w:sz w:val="22"/>
          <w:szCs w:val="22"/>
        </w:rPr>
        <w:t xml:space="preserve"> </w:t>
      </w:r>
      <w:r w:rsidR="009E14E9" w:rsidRPr="00C75BF1">
        <w:rPr>
          <w:rFonts w:cs="Arial"/>
          <w:sz w:val="22"/>
          <w:szCs w:val="22"/>
        </w:rPr>
        <w:t>nákladů</w:t>
      </w:r>
      <w:r w:rsidR="0074108E" w:rsidRPr="00C75BF1">
        <w:rPr>
          <w:rFonts w:cs="Arial"/>
          <w:sz w:val="22"/>
          <w:szCs w:val="22"/>
        </w:rPr>
        <w:t>, kter</w:t>
      </w:r>
      <w:r w:rsidR="009E30F7">
        <w:rPr>
          <w:rFonts w:cs="Arial"/>
          <w:sz w:val="22"/>
          <w:szCs w:val="22"/>
        </w:rPr>
        <w:t>é</w:t>
      </w:r>
      <w:r w:rsidR="009E14E9" w:rsidRPr="00C75BF1">
        <w:rPr>
          <w:rFonts w:cs="Arial"/>
          <w:sz w:val="22"/>
          <w:szCs w:val="22"/>
        </w:rPr>
        <w:t xml:space="preserve"> měl VOP-026 dodavateli hradit.</w:t>
      </w:r>
      <w:r w:rsidR="0001442A">
        <w:rPr>
          <w:rFonts w:cs="Arial"/>
          <w:sz w:val="22"/>
          <w:szCs w:val="22"/>
        </w:rPr>
        <w:t xml:space="preserve"> </w:t>
      </w:r>
      <w:r w:rsidR="00360C61" w:rsidRPr="00C75BF1">
        <w:rPr>
          <w:rFonts w:cs="Arial"/>
          <w:sz w:val="22"/>
          <w:szCs w:val="22"/>
        </w:rPr>
        <w:t xml:space="preserve">Výdaje státního rozpočtu na nákup LOV IVECO tak byly ve skutečnosti kompenzovány </w:t>
      </w:r>
      <w:r w:rsidR="009E30F7">
        <w:rPr>
          <w:rFonts w:cs="Arial"/>
          <w:sz w:val="22"/>
          <w:szCs w:val="22"/>
        </w:rPr>
        <w:t>za pomoci</w:t>
      </w:r>
      <w:r w:rsidR="00360C61" w:rsidRPr="00C75BF1">
        <w:rPr>
          <w:rFonts w:cs="Arial"/>
          <w:sz w:val="22"/>
          <w:szCs w:val="22"/>
        </w:rPr>
        <w:t xml:space="preserve"> další</w:t>
      </w:r>
      <w:r w:rsidR="009E30F7">
        <w:rPr>
          <w:rFonts w:cs="Arial"/>
          <w:sz w:val="22"/>
          <w:szCs w:val="22"/>
        </w:rPr>
        <w:t>ch</w:t>
      </w:r>
      <w:r w:rsidR="00360C61" w:rsidRPr="00C75BF1">
        <w:rPr>
          <w:rFonts w:cs="Arial"/>
          <w:sz w:val="22"/>
          <w:szCs w:val="22"/>
        </w:rPr>
        <w:t xml:space="preserve"> výdaj</w:t>
      </w:r>
      <w:r w:rsidR="009E30F7">
        <w:rPr>
          <w:rFonts w:cs="Arial"/>
          <w:sz w:val="22"/>
          <w:szCs w:val="22"/>
        </w:rPr>
        <w:t>ů</w:t>
      </w:r>
      <w:r w:rsidR="00360C61" w:rsidRPr="00C75BF1">
        <w:rPr>
          <w:rFonts w:cs="Arial"/>
          <w:sz w:val="22"/>
          <w:szCs w:val="22"/>
        </w:rPr>
        <w:t xml:space="preserve"> státu, resp. vojenského opravárenského podniku. Do uznané hodnoty plnění OF/296 </w:t>
      </w:r>
      <w:r w:rsidR="009E30F7" w:rsidRPr="00C75BF1">
        <w:rPr>
          <w:rFonts w:cs="Arial"/>
          <w:sz w:val="22"/>
          <w:szCs w:val="22"/>
        </w:rPr>
        <w:t xml:space="preserve">byly </w:t>
      </w:r>
      <w:r w:rsidR="00360C61" w:rsidRPr="00C75BF1">
        <w:rPr>
          <w:rFonts w:cs="Arial"/>
          <w:sz w:val="22"/>
          <w:szCs w:val="22"/>
        </w:rPr>
        <w:t>ve prospěch dodavatele zakázky započteny všechny výdaje MO na servis LOV IVECO, které VOP-026</w:t>
      </w:r>
      <w:r w:rsidR="009E30F7">
        <w:rPr>
          <w:rFonts w:cs="Arial"/>
          <w:sz w:val="22"/>
          <w:szCs w:val="22"/>
        </w:rPr>
        <w:t>,</w:t>
      </w:r>
      <w:r w:rsidR="00360C61" w:rsidRPr="00C75BF1">
        <w:rPr>
          <w:rFonts w:cs="Arial"/>
          <w:sz w:val="22"/>
          <w:szCs w:val="22"/>
        </w:rPr>
        <w:t xml:space="preserve"> s.p.</w:t>
      </w:r>
      <w:r w:rsidR="009E30F7">
        <w:rPr>
          <w:rFonts w:cs="Arial"/>
          <w:sz w:val="22"/>
          <w:szCs w:val="22"/>
        </w:rPr>
        <w:t>,</w:t>
      </w:r>
      <w:r w:rsidR="00360C61" w:rsidRPr="00C75BF1">
        <w:rPr>
          <w:rFonts w:cs="Arial"/>
          <w:sz w:val="22"/>
          <w:szCs w:val="22"/>
        </w:rPr>
        <w:t xml:space="preserve"> fakturoval MO, aniž by byla dokončena autorizace uvedená v podmínkách schváleného návrhu OFT. Autorizace VOP-026 </w:t>
      </w:r>
      <w:r w:rsidR="00D71941" w:rsidRPr="00C75BF1">
        <w:rPr>
          <w:rFonts w:cs="Arial"/>
          <w:sz w:val="22"/>
          <w:szCs w:val="22"/>
        </w:rPr>
        <w:t>přitom</w:t>
      </w:r>
      <w:r w:rsidR="00360C61" w:rsidRPr="00C75BF1">
        <w:rPr>
          <w:rFonts w:cs="Arial"/>
          <w:sz w:val="22"/>
          <w:szCs w:val="22"/>
        </w:rPr>
        <w:t xml:space="preserve"> byla jedinou přidanou hodnotou této OFT</w:t>
      </w:r>
      <w:r w:rsidR="009E14E9" w:rsidRPr="00C75BF1">
        <w:rPr>
          <w:rFonts w:cs="Arial"/>
          <w:sz w:val="22"/>
          <w:szCs w:val="22"/>
        </w:rPr>
        <w:t xml:space="preserve"> s ohledem na skutečnost, že uzavření </w:t>
      </w:r>
      <w:r w:rsidR="009E30F7">
        <w:rPr>
          <w:rFonts w:cs="Arial"/>
          <w:sz w:val="22"/>
          <w:szCs w:val="22"/>
        </w:rPr>
        <w:t>r</w:t>
      </w:r>
      <w:r w:rsidR="009E14E9" w:rsidRPr="00C75BF1">
        <w:rPr>
          <w:rFonts w:cs="Arial"/>
          <w:sz w:val="22"/>
          <w:szCs w:val="22"/>
        </w:rPr>
        <w:t xml:space="preserve">ámcové smlouvy </w:t>
      </w:r>
      <w:r w:rsidR="009E30F7">
        <w:rPr>
          <w:rFonts w:cs="Arial"/>
          <w:sz w:val="22"/>
          <w:szCs w:val="22"/>
        </w:rPr>
        <w:t xml:space="preserve">o </w:t>
      </w:r>
      <w:r w:rsidR="009E14E9" w:rsidRPr="00C75BF1">
        <w:rPr>
          <w:rFonts w:cs="Arial"/>
          <w:sz w:val="22"/>
          <w:szCs w:val="22"/>
        </w:rPr>
        <w:t>provádění servisu u VOP-026 bylo rozhodnutím MO.</w:t>
      </w:r>
      <w:r w:rsidR="00360C61" w:rsidRPr="00C75BF1">
        <w:rPr>
          <w:rFonts w:cs="Arial"/>
          <w:sz w:val="22"/>
          <w:szCs w:val="22"/>
        </w:rPr>
        <w:t xml:space="preserve"> </w:t>
      </w:r>
      <w:r w:rsidR="00D71941" w:rsidRPr="00C75BF1">
        <w:rPr>
          <w:rFonts w:cs="Arial"/>
          <w:sz w:val="22"/>
          <w:szCs w:val="22"/>
        </w:rPr>
        <w:t xml:space="preserve">Za současného stavu </w:t>
      </w:r>
      <w:r w:rsidR="009E14E9" w:rsidRPr="00C75BF1">
        <w:rPr>
          <w:rFonts w:cs="Arial"/>
          <w:sz w:val="22"/>
          <w:szCs w:val="22"/>
        </w:rPr>
        <w:t xml:space="preserve">existuje </w:t>
      </w:r>
      <w:r w:rsidR="00D71941" w:rsidRPr="00C75BF1">
        <w:rPr>
          <w:rFonts w:cs="Arial"/>
          <w:sz w:val="22"/>
          <w:szCs w:val="22"/>
        </w:rPr>
        <w:t xml:space="preserve">i </w:t>
      </w:r>
      <w:r w:rsidR="009E14E9" w:rsidRPr="00C75BF1">
        <w:rPr>
          <w:rFonts w:cs="Arial"/>
          <w:sz w:val="22"/>
          <w:szCs w:val="22"/>
        </w:rPr>
        <w:t xml:space="preserve">riziko </w:t>
      </w:r>
      <w:r w:rsidR="00D71941" w:rsidRPr="00C75BF1">
        <w:rPr>
          <w:rFonts w:cs="Arial"/>
          <w:sz w:val="22"/>
          <w:szCs w:val="22"/>
        </w:rPr>
        <w:t>ne</w:t>
      </w:r>
      <w:r w:rsidR="009E14E9" w:rsidRPr="00C75BF1">
        <w:rPr>
          <w:rFonts w:cs="Arial"/>
          <w:sz w:val="22"/>
          <w:szCs w:val="22"/>
        </w:rPr>
        <w:t>plnění záručních podmínek, které MO sjednalo s dodavatelem ve smlouvě o dodávkách LOV IVECO</w:t>
      </w:r>
      <w:r w:rsidR="00D71941" w:rsidRPr="00C75BF1">
        <w:rPr>
          <w:rFonts w:cs="Arial"/>
          <w:sz w:val="22"/>
          <w:szCs w:val="22"/>
        </w:rPr>
        <w:t>.</w:t>
      </w:r>
      <w:r w:rsidR="0001442A">
        <w:rPr>
          <w:rFonts w:cs="Arial"/>
          <w:sz w:val="22"/>
          <w:szCs w:val="22"/>
        </w:rPr>
        <w:t xml:space="preserve"> </w:t>
      </w:r>
    </w:p>
    <w:p w14:paraId="4AEFDA42" w14:textId="77777777" w:rsidR="005F0E6A" w:rsidRDefault="005F0E6A" w:rsidP="00AD3061">
      <w:pPr>
        <w:jc w:val="both"/>
        <w:rPr>
          <w:rFonts w:cs="Arial"/>
          <w:bCs/>
          <w:sz w:val="22"/>
          <w:szCs w:val="22"/>
        </w:rPr>
      </w:pPr>
    </w:p>
    <w:p w14:paraId="3F25ACB3" w14:textId="2009097F" w:rsidR="00CA5843" w:rsidRPr="003D0AF1" w:rsidRDefault="00CA5843" w:rsidP="00AD3061">
      <w:pPr>
        <w:jc w:val="both"/>
        <w:rPr>
          <w:rFonts w:cs="Arial"/>
          <w:sz w:val="22"/>
          <w:szCs w:val="22"/>
        </w:rPr>
      </w:pPr>
      <w:r>
        <w:rPr>
          <w:rFonts w:cs="Arial"/>
          <w:bCs/>
          <w:sz w:val="22"/>
          <w:szCs w:val="22"/>
        </w:rPr>
        <w:t xml:space="preserve">U </w:t>
      </w:r>
      <w:r w:rsidRPr="009332A6">
        <w:rPr>
          <w:rFonts w:cs="Arial"/>
          <w:b/>
          <w:bCs/>
          <w:sz w:val="22"/>
          <w:szCs w:val="22"/>
        </w:rPr>
        <w:t>PPS PEGAS</w:t>
      </w:r>
      <w:r>
        <w:rPr>
          <w:rFonts w:cs="Arial"/>
          <w:bCs/>
          <w:sz w:val="22"/>
          <w:szCs w:val="22"/>
        </w:rPr>
        <w:t xml:space="preserve"> </w:t>
      </w:r>
      <w:r w:rsidR="00285219">
        <w:rPr>
          <w:rFonts w:cs="Arial"/>
          <w:bCs/>
          <w:sz w:val="22"/>
          <w:szCs w:val="22"/>
        </w:rPr>
        <w:t xml:space="preserve">například </w:t>
      </w:r>
      <w:r w:rsidR="009E30F7">
        <w:rPr>
          <w:rFonts w:cs="Arial"/>
          <w:bCs/>
          <w:sz w:val="22"/>
          <w:szCs w:val="22"/>
        </w:rPr>
        <w:t>MV v rozporu s „d</w:t>
      </w:r>
      <w:r w:rsidR="009E30F7" w:rsidRPr="003D0AF1">
        <w:rPr>
          <w:rFonts w:cs="Arial"/>
          <w:bCs/>
          <w:sz w:val="22"/>
          <w:szCs w:val="22"/>
        </w:rPr>
        <w:t>ohodou PEGAS</w:t>
      </w:r>
      <w:r w:rsidR="009E30F7">
        <w:rPr>
          <w:rFonts w:cs="Arial"/>
          <w:bCs/>
          <w:sz w:val="22"/>
          <w:szCs w:val="22"/>
        </w:rPr>
        <w:t>“</w:t>
      </w:r>
      <w:r w:rsidR="009E30F7" w:rsidRPr="003D0AF1">
        <w:rPr>
          <w:rFonts w:cs="Arial"/>
          <w:sz w:val="22"/>
          <w:szCs w:val="22"/>
        </w:rPr>
        <w:t xml:space="preserve"> </w:t>
      </w:r>
      <w:r>
        <w:rPr>
          <w:rFonts w:cs="Arial"/>
          <w:bCs/>
          <w:sz w:val="22"/>
          <w:szCs w:val="22"/>
        </w:rPr>
        <w:t xml:space="preserve">uznalo do plnění </w:t>
      </w:r>
      <w:r w:rsidR="009E30F7">
        <w:rPr>
          <w:rFonts w:cs="Arial"/>
          <w:bCs/>
          <w:sz w:val="22"/>
          <w:szCs w:val="22"/>
        </w:rPr>
        <w:t xml:space="preserve">jedné </w:t>
      </w:r>
      <w:r w:rsidR="007970B8">
        <w:rPr>
          <w:rFonts w:cs="Arial"/>
          <w:bCs/>
          <w:sz w:val="22"/>
          <w:szCs w:val="22"/>
        </w:rPr>
        <w:t>transakce</w:t>
      </w:r>
      <w:r w:rsidR="009E30F7">
        <w:rPr>
          <w:rFonts w:cs="Arial"/>
          <w:bCs/>
          <w:sz w:val="22"/>
          <w:szCs w:val="22"/>
        </w:rPr>
        <w:t xml:space="preserve"> </w:t>
      </w:r>
      <w:r>
        <w:rPr>
          <w:rFonts w:cs="Arial"/>
          <w:bCs/>
          <w:sz w:val="22"/>
          <w:szCs w:val="22"/>
        </w:rPr>
        <w:t xml:space="preserve">(OF/210) </w:t>
      </w:r>
      <w:r w:rsidRPr="003D0AF1">
        <w:rPr>
          <w:rFonts w:cs="Arial"/>
          <w:sz w:val="22"/>
          <w:szCs w:val="22"/>
        </w:rPr>
        <w:t>částku 26 785 333 Kč,</w:t>
      </w:r>
      <w:r w:rsidRPr="003D0AF1">
        <w:rPr>
          <w:rFonts w:cs="Arial"/>
          <w:bCs/>
          <w:sz w:val="22"/>
          <w:szCs w:val="22"/>
        </w:rPr>
        <w:t xml:space="preserve"> kterou český partner fakturoval jiným společnostem, než </w:t>
      </w:r>
      <w:r w:rsidR="007733B4" w:rsidRPr="003D0AF1">
        <w:rPr>
          <w:rFonts w:cs="Arial"/>
          <w:bCs/>
          <w:sz w:val="22"/>
          <w:szCs w:val="22"/>
        </w:rPr>
        <w:t>byl</w:t>
      </w:r>
      <w:r w:rsidRPr="003D0AF1">
        <w:rPr>
          <w:rFonts w:cs="Arial"/>
          <w:bCs/>
          <w:sz w:val="22"/>
          <w:szCs w:val="22"/>
        </w:rPr>
        <w:t xml:space="preserve"> zahraniční partner transakce uvedený v příslušném dodatku </w:t>
      </w:r>
      <w:r w:rsidR="007970B8">
        <w:rPr>
          <w:rFonts w:cs="Arial"/>
          <w:bCs/>
          <w:sz w:val="22"/>
          <w:szCs w:val="22"/>
        </w:rPr>
        <w:t>„d</w:t>
      </w:r>
      <w:r w:rsidRPr="003D0AF1">
        <w:rPr>
          <w:rFonts w:cs="Arial"/>
          <w:bCs/>
          <w:sz w:val="22"/>
          <w:szCs w:val="22"/>
        </w:rPr>
        <w:t>ohody PEGAS</w:t>
      </w:r>
      <w:r w:rsidR="007970B8">
        <w:rPr>
          <w:rFonts w:cs="Arial"/>
          <w:bCs/>
          <w:sz w:val="22"/>
          <w:szCs w:val="22"/>
        </w:rPr>
        <w:t>“</w:t>
      </w:r>
      <w:r w:rsidRPr="003D0AF1">
        <w:rPr>
          <w:rFonts w:cs="Arial"/>
          <w:bCs/>
          <w:sz w:val="22"/>
          <w:szCs w:val="22"/>
        </w:rPr>
        <w:t xml:space="preserve"> </w:t>
      </w:r>
      <w:r w:rsidR="007970B8">
        <w:rPr>
          <w:rFonts w:cs="Arial"/>
          <w:bCs/>
          <w:sz w:val="22"/>
          <w:szCs w:val="22"/>
        </w:rPr>
        <w:t>nebo v </w:t>
      </w:r>
      <w:r w:rsidRPr="003D0AF1">
        <w:rPr>
          <w:rFonts w:cs="Arial"/>
          <w:bCs/>
          <w:sz w:val="22"/>
          <w:szCs w:val="22"/>
        </w:rPr>
        <w:t xml:space="preserve">dokladech, </w:t>
      </w:r>
      <w:r w:rsidR="007970B8">
        <w:rPr>
          <w:rFonts w:cs="Arial"/>
          <w:bCs/>
          <w:sz w:val="22"/>
          <w:szCs w:val="22"/>
        </w:rPr>
        <w:t>jako jsou</w:t>
      </w:r>
      <w:r w:rsidRPr="003D0AF1">
        <w:rPr>
          <w:rFonts w:cs="Arial"/>
          <w:bCs/>
          <w:sz w:val="22"/>
          <w:szCs w:val="22"/>
        </w:rPr>
        <w:t xml:space="preserve"> </w:t>
      </w:r>
      <w:r w:rsidR="007970B8">
        <w:rPr>
          <w:rFonts w:cs="Arial"/>
          <w:bCs/>
          <w:sz w:val="22"/>
          <w:szCs w:val="22"/>
        </w:rPr>
        <w:t>„n</w:t>
      </w:r>
      <w:r w:rsidRPr="003D0AF1">
        <w:rPr>
          <w:rFonts w:cs="Arial"/>
          <w:bCs/>
          <w:sz w:val="22"/>
          <w:szCs w:val="22"/>
        </w:rPr>
        <w:t>ávrh transakce</w:t>
      </w:r>
      <w:r w:rsidR="007970B8">
        <w:rPr>
          <w:rFonts w:cs="Arial"/>
          <w:bCs/>
          <w:sz w:val="22"/>
          <w:szCs w:val="22"/>
        </w:rPr>
        <w:t>“</w:t>
      </w:r>
      <w:r w:rsidRPr="003D0AF1">
        <w:rPr>
          <w:rFonts w:cs="Arial"/>
          <w:bCs/>
          <w:sz w:val="22"/>
          <w:szCs w:val="22"/>
        </w:rPr>
        <w:t xml:space="preserve"> </w:t>
      </w:r>
      <w:r w:rsidR="007970B8">
        <w:rPr>
          <w:rFonts w:cs="Arial"/>
          <w:bCs/>
          <w:sz w:val="22"/>
          <w:szCs w:val="22"/>
        </w:rPr>
        <w:t>či „p</w:t>
      </w:r>
      <w:r w:rsidRPr="003D0AF1">
        <w:rPr>
          <w:rFonts w:cs="Arial"/>
          <w:bCs/>
          <w:sz w:val="22"/>
          <w:szCs w:val="22"/>
        </w:rPr>
        <w:t>otvrzení offsetové transakce</w:t>
      </w:r>
      <w:r w:rsidR="007970B8">
        <w:rPr>
          <w:rFonts w:cs="Arial"/>
          <w:bCs/>
          <w:sz w:val="22"/>
          <w:szCs w:val="22"/>
        </w:rPr>
        <w:t>“</w:t>
      </w:r>
      <w:r w:rsidRPr="003D0AF1">
        <w:rPr>
          <w:rFonts w:cs="Arial"/>
          <w:bCs/>
          <w:sz w:val="22"/>
          <w:szCs w:val="22"/>
        </w:rPr>
        <w:t>.</w:t>
      </w:r>
      <w:r w:rsidRPr="003D0AF1">
        <w:rPr>
          <w:rFonts w:cs="Arial"/>
          <w:sz w:val="22"/>
          <w:szCs w:val="22"/>
        </w:rPr>
        <w:t xml:space="preserve"> </w:t>
      </w:r>
      <w:r w:rsidR="00285219" w:rsidRPr="003D0AF1">
        <w:rPr>
          <w:rFonts w:cs="Arial"/>
          <w:sz w:val="22"/>
          <w:szCs w:val="22"/>
        </w:rPr>
        <w:t xml:space="preserve">Dále </w:t>
      </w:r>
      <w:r w:rsidR="006E3217">
        <w:rPr>
          <w:rFonts w:cs="Arial"/>
          <w:sz w:val="22"/>
          <w:szCs w:val="22"/>
        </w:rPr>
        <w:t xml:space="preserve">MV </w:t>
      </w:r>
      <w:r w:rsidR="007970B8">
        <w:rPr>
          <w:rFonts w:cs="Arial"/>
          <w:sz w:val="22"/>
          <w:szCs w:val="22"/>
        </w:rPr>
        <w:t>u osmi</w:t>
      </w:r>
      <w:r w:rsidR="007970B8" w:rsidRPr="003D0AF1">
        <w:rPr>
          <w:rFonts w:cs="Arial"/>
          <w:sz w:val="22"/>
          <w:szCs w:val="22"/>
        </w:rPr>
        <w:t xml:space="preserve"> </w:t>
      </w:r>
      <w:r w:rsidR="007970B8">
        <w:rPr>
          <w:rFonts w:cs="Arial"/>
          <w:sz w:val="22"/>
          <w:szCs w:val="22"/>
        </w:rPr>
        <w:t xml:space="preserve">OFT zařazených do tohoto programu </w:t>
      </w:r>
      <w:r w:rsidR="00580568">
        <w:rPr>
          <w:rFonts w:cs="Arial"/>
          <w:sz w:val="22"/>
          <w:szCs w:val="22"/>
        </w:rPr>
        <w:t>ne</w:t>
      </w:r>
      <w:r w:rsidR="006E3217">
        <w:rPr>
          <w:rFonts w:cs="Arial"/>
          <w:sz w:val="22"/>
          <w:szCs w:val="22"/>
        </w:rPr>
        <w:t>dohleda</w:t>
      </w:r>
      <w:r w:rsidR="00580568">
        <w:rPr>
          <w:rFonts w:cs="Arial"/>
          <w:sz w:val="22"/>
          <w:szCs w:val="22"/>
        </w:rPr>
        <w:t>lo a</w:t>
      </w:r>
      <w:r w:rsidR="005978E4">
        <w:rPr>
          <w:rFonts w:cs="Arial"/>
          <w:sz w:val="22"/>
          <w:szCs w:val="22"/>
        </w:rPr>
        <w:t> </w:t>
      </w:r>
      <w:r w:rsidR="00580568">
        <w:rPr>
          <w:rFonts w:cs="Arial"/>
          <w:sz w:val="22"/>
          <w:szCs w:val="22"/>
        </w:rPr>
        <w:t>nedoložilo</w:t>
      </w:r>
      <w:r w:rsidR="006E3217">
        <w:rPr>
          <w:rFonts w:cs="Arial"/>
          <w:sz w:val="22"/>
          <w:szCs w:val="22"/>
        </w:rPr>
        <w:t xml:space="preserve"> </w:t>
      </w:r>
      <w:r w:rsidRPr="003D0AF1">
        <w:rPr>
          <w:rFonts w:cs="Arial"/>
          <w:sz w:val="22"/>
          <w:szCs w:val="22"/>
        </w:rPr>
        <w:t xml:space="preserve">dokumenty </w:t>
      </w:r>
      <w:r w:rsidR="00D920E5">
        <w:rPr>
          <w:rFonts w:cs="Arial"/>
          <w:sz w:val="22"/>
          <w:szCs w:val="22"/>
        </w:rPr>
        <w:t>k </w:t>
      </w:r>
      <w:r w:rsidRPr="003D0AF1">
        <w:rPr>
          <w:rFonts w:cs="Arial"/>
          <w:sz w:val="22"/>
          <w:szCs w:val="22"/>
        </w:rPr>
        <w:t>uznané</w:t>
      </w:r>
      <w:r w:rsidR="00580568">
        <w:rPr>
          <w:rFonts w:cs="Arial"/>
          <w:sz w:val="22"/>
          <w:szCs w:val="22"/>
        </w:rPr>
        <w:t>mu</w:t>
      </w:r>
      <w:r w:rsidRPr="003D0AF1">
        <w:rPr>
          <w:rFonts w:cs="Arial"/>
          <w:sz w:val="22"/>
          <w:szCs w:val="22"/>
        </w:rPr>
        <w:t xml:space="preserve"> plnění v celkové hodnotě 140 900 807 Kč.</w:t>
      </w:r>
    </w:p>
    <w:p w14:paraId="6E94E0AD" w14:textId="77777777" w:rsidR="005F0E6A" w:rsidRDefault="005F0E6A" w:rsidP="00AD3061">
      <w:pPr>
        <w:pStyle w:val="1111Headline"/>
        <w:jc w:val="both"/>
        <w:rPr>
          <w:rFonts w:cs="Arial"/>
          <w:b w:val="0"/>
          <w:szCs w:val="22"/>
          <w:lang w:val="cs-CZ"/>
        </w:rPr>
      </w:pPr>
    </w:p>
    <w:p w14:paraId="3F25ACB4" w14:textId="616AE659" w:rsidR="00252DA5" w:rsidRPr="003D0AF1" w:rsidRDefault="00252DA5" w:rsidP="00AD3061">
      <w:pPr>
        <w:pStyle w:val="1111Headline"/>
        <w:jc w:val="both"/>
        <w:rPr>
          <w:rFonts w:cs="Arial"/>
          <w:b w:val="0"/>
          <w:szCs w:val="22"/>
          <w:lang w:val="cs-CZ"/>
        </w:rPr>
      </w:pPr>
      <w:r w:rsidRPr="002D626F">
        <w:rPr>
          <w:rFonts w:cs="Arial"/>
          <w:b w:val="0"/>
          <w:szCs w:val="22"/>
          <w:lang w:val="cs-CZ"/>
        </w:rPr>
        <w:t xml:space="preserve">Na základě ustanovení </w:t>
      </w:r>
      <w:r w:rsidR="007970B8">
        <w:rPr>
          <w:rFonts w:cs="Arial"/>
          <w:b w:val="0"/>
          <w:szCs w:val="22"/>
          <w:lang w:val="cs-CZ"/>
        </w:rPr>
        <w:t>„d</w:t>
      </w:r>
      <w:r w:rsidRPr="002D626F">
        <w:rPr>
          <w:rFonts w:cs="Arial"/>
          <w:b w:val="0"/>
          <w:szCs w:val="22"/>
          <w:lang w:val="cs-CZ"/>
        </w:rPr>
        <w:t>ohody PEGAS</w:t>
      </w:r>
      <w:r w:rsidR="007970B8">
        <w:rPr>
          <w:rFonts w:cs="Arial"/>
          <w:b w:val="0"/>
          <w:szCs w:val="22"/>
          <w:lang w:val="cs-CZ"/>
        </w:rPr>
        <w:t>“</w:t>
      </w:r>
      <w:r w:rsidRPr="002D626F">
        <w:rPr>
          <w:rFonts w:cs="Arial"/>
          <w:b w:val="0"/>
          <w:szCs w:val="22"/>
          <w:lang w:val="cs-CZ"/>
        </w:rPr>
        <w:t xml:space="preserve"> a Zásad 19</w:t>
      </w:r>
      <w:r>
        <w:rPr>
          <w:rFonts w:cs="Arial"/>
          <w:b w:val="0"/>
          <w:szCs w:val="22"/>
          <w:lang w:val="cs-CZ"/>
        </w:rPr>
        <w:t xml:space="preserve">98 upravujících valorizaci OFT </w:t>
      </w:r>
      <w:r w:rsidR="007970B8" w:rsidRPr="002D626F">
        <w:rPr>
          <w:rFonts w:cs="Arial"/>
          <w:b w:val="0"/>
          <w:szCs w:val="22"/>
          <w:lang w:val="cs-CZ"/>
        </w:rPr>
        <w:t xml:space="preserve">vyžadoval </w:t>
      </w:r>
      <w:r>
        <w:rPr>
          <w:rFonts w:cs="Arial"/>
          <w:b w:val="0"/>
          <w:szCs w:val="22"/>
          <w:lang w:val="cs-CZ"/>
        </w:rPr>
        <w:t>z</w:t>
      </w:r>
      <w:r w:rsidRPr="002D626F">
        <w:rPr>
          <w:rFonts w:cs="Arial"/>
          <w:b w:val="0"/>
          <w:szCs w:val="22"/>
          <w:lang w:val="cs-CZ"/>
        </w:rPr>
        <w:t xml:space="preserve">ahraniční </w:t>
      </w:r>
      <w:r>
        <w:rPr>
          <w:rFonts w:cs="Arial"/>
          <w:b w:val="0"/>
          <w:szCs w:val="22"/>
          <w:lang w:val="cs-CZ"/>
        </w:rPr>
        <w:t>výrobce</w:t>
      </w:r>
      <w:r w:rsidRPr="002D626F">
        <w:rPr>
          <w:rFonts w:cs="Arial"/>
          <w:b w:val="0"/>
          <w:szCs w:val="22"/>
          <w:lang w:val="cs-CZ"/>
        </w:rPr>
        <w:t xml:space="preserve"> navýšení </w:t>
      </w:r>
      <w:r>
        <w:rPr>
          <w:rFonts w:cs="Arial"/>
          <w:b w:val="0"/>
          <w:szCs w:val="22"/>
          <w:lang w:val="cs-CZ"/>
        </w:rPr>
        <w:t xml:space="preserve">skutečné </w:t>
      </w:r>
      <w:r w:rsidRPr="002D626F">
        <w:rPr>
          <w:rFonts w:cs="Arial"/>
          <w:b w:val="0"/>
          <w:szCs w:val="22"/>
          <w:lang w:val="cs-CZ"/>
        </w:rPr>
        <w:t xml:space="preserve">hodnoty OFT prostřednictvím valorizace. </w:t>
      </w:r>
      <w:r w:rsidR="000972DB">
        <w:rPr>
          <w:rFonts w:cs="Arial"/>
          <w:b w:val="0"/>
          <w:szCs w:val="22"/>
          <w:lang w:val="cs-CZ"/>
        </w:rPr>
        <w:t>Kontrolou bylo zjištěno, že v</w:t>
      </w:r>
      <w:r w:rsidRPr="002D626F">
        <w:rPr>
          <w:rFonts w:cs="Arial"/>
          <w:b w:val="0"/>
          <w:szCs w:val="22"/>
          <w:lang w:val="cs-CZ"/>
        </w:rPr>
        <w:t xml:space="preserve"> případě 12 OFT </w:t>
      </w:r>
      <w:r>
        <w:rPr>
          <w:rFonts w:cs="Arial"/>
          <w:b w:val="0"/>
          <w:szCs w:val="22"/>
          <w:lang w:val="cs-CZ"/>
        </w:rPr>
        <w:t>tyto</w:t>
      </w:r>
      <w:r w:rsidRPr="002D626F">
        <w:rPr>
          <w:rFonts w:cs="Arial"/>
          <w:b w:val="0"/>
          <w:szCs w:val="22"/>
          <w:lang w:val="cs-CZ"/>
        </w:rPr>
        <w:t xml:space="preserve"> návrhy obsahující valorizaci OFK schválila</w:t>
      </w:r>
      <w:r w:rsidR="009D6DC1">
        <w:rPr>
          <w:rFonts w:cs="Arial"/>
          <w:b w:val="0"/>
          <w:szCs w:val="22"/>
          <w:lang w:val="cs-CZ"/>
        </w:rPr>
        <w:t>, aniž by v potvrzení byly uvedeny konkrétní koeficienty</w:t>
      </w:r>
      <w:r w:rsidRPr="002D626F">
        <w:rPr>
          <w:rFonts w:cs="Arial"/>
          <w:b w:val="0"/>
          <w:szCs w:val="22"/>
          <w:lang w:val="cs-CZ"/>
        </w:rPr>
        <w:t xml:space="preserve">. </w:t>
      </w:r>
      <w:r>
        <w:rPr>
          <w:rFonts w:cs="Arial"/>
          <w:b w:val="0"/>
          <w:szCs w:val="22"/>
          <w:lang w:val="cs-CZ"/>
        </w:rPr>
        <w:t xml:space="preserve">MV následně uznávalo hodnoty plnění těchto OFT včetně navýšení o </w:t>
      </w:r>
      <w:r w:rsidR="0033187C">
        <w:rPr>
          <w:rFonts w:cs="Arial"/>
          <w:b w:val="0"/>
          <w:szCs w:val="22"/>
          <w:lang w:val="cs-CZ"/>
        </w:rPr>
        <w:t>příslušnou</w:t>
      </w:r>
      <w:r>
        <w:rPr>
          <w:rFonts w:cs="Arial"/>
          <w:b w:val="0"/>
          <w:szCs w:val="22"/>
          <w:lang w:val="cs-CZ"/>
        </w:rPr>
        <w:t xml:space="preserve"> valorizaci.</w:t>
      </w:r>
      <w:r w:rsidR="00AE3B25">
        <w:rPr>
          <w:rFonts w:cs="Arial"/>
          <w:b w:val="0"/>
          <w:szCs w:val="22"/>
          <w:lang w:val="cs-CZ"/>
        </w:rPr>
        <w:t xml:space="preserve"> </w:t>
      </w:r>
      <w:r w:rsidRPr="003D0AF1">
        <w:rPr>
          <w:rFonts w:cs="Arial"/>
          <w:b w:val="0"/>
          <w:szCs w:val="22"/>
          <w:lang w:val="cs-CZ"/>
        </w:rPr>
        <w:t>Kontrolním výpočtem NKÚ bylo zjištěno, že v případě pěti OFT (</w:t>
      </w:r>
      <w:r w:rsidRPr="003D0AF1">
        <w:rPr>
          <w:b w:val="0"/>
          <w:lang w:val="cs-CZ"/>
        </w:rPr>
        <w:t xml:space="preserve">OF/102, OF/103, OF/147, OF/213 a OF/249) </w:t>
      </w:r>
      <w:r w:rsidR="0033187C" w:rsidRPr="003D0AF1">
        <w:rPr>
          <w:b w:val="0"/>
          <w:lang w:val="cs-CZ"/>
        </w:rPr>
        <w:t xml:space="preserve">uznalo </w:t>
      </w:r>
      <w:r w:rsidRPr="003D0AF1">
        <w:rPr>
          <w:b w:val="0"/>
          <w:lang w:val="cs-CZ"/>
        </w:rPr>
        <w:t xml:space="preserve">MV </w:t>
      </w:r>
      <w:r w:rsidRPr="003D0AF1">
        <w:rPr>
          <w:b w:val="0"/>
          <w:lang w:val="cs-CZ"/>
        </w:rPr>
        <w:lastRenderedPageBreak/>
        <w:t xml:space="preserve">navýšení skutečně dosažené hodnoty plnění </w:t>
      </w:r>
      <w:r w:rsidR="008B3D8B" w:rsidRPr="003D0AF1">
        <w:rPr>
          <w:rFonts w:cs="Arial"/>
          <w:b w:val="0"/>
          <w:szCs w:val="22"/>
          <w:lang w:val="cs-CZ"/>
        </w:rPr>
        <w:t xml:space="preserve">o </w:t>
      </w:r>
      <w:r w:rsidRPr="003D0AF1">
        <w:rPr>
          <w:rFonts w:cs="Arial"/>
          <w:b w:val="0"/>
          <w:szCs w:val="22"/>
          <w:lang w:val="cs-CZ"/>
        </w:rPr>
        <w:t>1</w:t>
      </w:r>
      <w:r w:rsidR="008B3D8B" w:rsidRPr="003D0AF1">
        <w:rPr>
          <w:rFonts w:cs="Arial"/>
          <w:b w:val="0"/>
          <w:szCs w:val="22"/>
          <w:lang w:val="cs-CZ"/>
        </w:rPr>
        <w:t xml:space="preserve"> </w:t>
      </w:r>
      <w:r w:rsidRPr="003D0AF1">
        <w:rPr>
          <w:rFonts w:cs="Arial"/>
          <w:b w:val="0"/>
          <w:szCs w:val="22"/>
          <w:lang w:val="cs-CZ"/>
        </w:rPr>
        <w:t xml:space="preserve">789 025 EUR. </w:t>
      </w:r>
      <w:r w:rsidR="00D920E5">
        <w:rPr>
          <w:rFonts w:cs="Arial"/>
          <w:b w:val="0"/>
          <w:szCs w:val="22"/>
          <w:lang w:val="cs-CZ"/>
        </w:rPr>
        <w:t>V </w:t>
      </w:r>
      <w:r w:rsidRPr="003D0AF1">
        <w:rPr>
          <w:rFonts w:cs="Arial"/>
          <w:b w:val="0"/>
          <w:szCs w:val="22"/>
          <w:lang w:val="cs-CZ"/>
        </w:rPr>
        <w:t>případě ostatních valorizovaných OFT nebylo z předložených dokumentů možné rozdíl přesně zjistit.</w:t>
      </w:r>
    </w:p>
    <w:p w14:paraId="607C50B8" w14:textId="77777777" w:rsidR="005F0E6A" w:rsidRDefault="005F0E6A" w:rsidP="00AD3061">
      <w:pPr>
        <w:jc w:val="both"/>
        <w:rPr>
          <w:rFonts w:cs="Arial"/>
          <w:sz w:val="22"/>
          <w:szCs w:val="22"/>
        </w:rPr>
      </w:pPr>
    </w:p>
    <w:p w14:paraId="3F25ACB5" w14:textId="5EA933A6" w:rsidR="008975CA" w:rsidRDefault="008975CA" w:rsidP="00AD3061">
      <w:pPr>
        <w:jc w:val="both"/>
        <w:rPr>
          <w:rFonts w:cs="Arial"/>
          <w:sz w:val="22"/>
          <w:szCs w:val="22"/>
        </w:rPr>
      </w:pPr>
      <w:r w:rsidRPr="003D0AF1">
        <w:rPr>
          <w:rFonts w:cs="Arial"/>
          <w:sz w:val="22"/>
          <w:szCs w:val="22"/>
        </w:rPr>
        <w:t xml:space="preserve">U </w:t>
      </w:r>
      <w:r w:rsidRPr="003D0AF1">
        <w:rPr>
          <w:rFonts w:cs="Arial"/>
          <w:b/>
          <w:sz w:val="22"/>
          <w:szCs w:val="22"/>
        </w:rPr>
        <w:t>PPS EUROCOPTER</w:t>
      </w:r>
      <w:r w:rsidRPr="003D0AF1">
        <w:rPr>
          <w:rFonts w:cs="Arial"/>
          <w:sz w:val="22"/>
          <w:szCs w:val="22"/>
        </w:rPr>
        <w:t xml:space="preserve"> uznalo MV v rozporu s podmínkami </w:t>
      </w:r>
      <w:r w:rsidR="0033187C">
        <w:rPr>
          <w:rFonts w:cs="Arial"/>
          <w:sz w:val="22"/>
          <w:szCs w:val="22"/>
        </w:rPr>
        <w:t>„d</w:t>
      </w:r>
      <w:r w:rsidRPr="003D0AF1">
        <w:rPr>
          <w:rFonts w:cs="Arial"/>
          <w:sz w:val="22"/>
          <w:szCs w:val="22"/>
        </w:rPr>
        <w:t>ohody EUROCOPTER</w:t>
      </w:r>
      <w:r w:rsidR="0033187C">
        <w:rPr>
          <w:rFonts w:cs="Arial"/>
          <w:sz w:val="22"/>
          <w:szCs w:val="22"/>
        </w:rPr>
        <w:t>“</w:t>
      </w:r>
      <w:r w:rsidRPr="003D0AF1">
        <w:rPr>
          <w:rFonts w:cs="Arial"/>
          <w:sz w:val="22"/>
          <w:szCs w:val="22"/>
        </w:rPr>
        <w:t xml:space="preserve"> plnění v</w:t>
      </w:r>
      <w:r w:rsidR="0001442A">
        <w:rPr>
          <w:rFonts w:cs="Arial"/>
          <w:sz w:val="22"/>
          <w:szCs w:val="22"/>
        </w:rPr>
        <w:t> </w:t>
      </w:r>
      <w:r w:rsidRPr="003D0AF1">
        <w:rPr>
          <w:rFonts w:cs="Arial"/>
          <w:sz w:val="22"/>
          <w:szCs w:val="22"/>
        </w:rPr>
        <w:t xml:space="preserve">celkové výši </w:t>
      </w:r>
      <w:r w:rsidR="00313371" w:rsidRPr="00313371">
        <w:rPr>
          <w:rFonts w:cs="Arial"/>
          <w:color w:val="000000"/>
          <w:sz w:val="22"/>
          <w:szCs w:val="22"/>
        </w:rPr>
        <w:t>679 371</w:t>
      </w:r>
      <w:r w:rsidR="00625B8C">
        <w:rPr>
          <w:rFonts w:cs="Arial"/>
          <w:color w:val="000000"/>
          <w:sz w:val="22"/>
          <w:szCs w:val="22"/>
        </w:rPr>
        <w:t> </w:t>
      </w:r>
      <w:r w:rsidR="00313371" w:rsidRPr="00313371">
        <w:rPr>
          <w:rFonts w:cs="Arial"/>
          <w:color w:val="000000"/>
          <w:sz w:val="22"/>
          <w:szCs w:val="22"/>
        </w:rPr>
        <w:t>580</w:t>
      </w:r>
      <w:r w:rsidR="00625B8C">
        <w:rPr>
          <w:rFonts w:cs="Arial"/>
          <w:color w:val="000000"/>
          <w:sz w:val="22"/>
          <w:szCs w:val="22"/>
        </w:rPr>
        <w:t xml:space="preserve"> </w:t>
      </w:r>
      <w:r w:rsidRPr="003D0AF1">
        <w:rPr>
          <w:rFonts w:cs="Arial"/>
          <w:sz w:val="22"/>
          <w:szCs w:val="22"/>
        </w:rPr>
        <w:t>Kč u 10 OFT, aniž by vyžadovalo doklady prokazující toto plnění.</w:t>
      </w:r>
    </w:p>
    <w:p w14:paraId="43D167F2" w14:textId="77777777" w:rsidR="0033187C" w:rsidRPr="003D0AF1" w:rsidRDefault="0033187C" w:rsidP="00AD3061">
      <w:pPr>
        <w:jc w:val="both"/>
        <w:rPr>
          <w:rFonts w:cs="Arial"/>
          <w:bCs/>
          <w:sz w:val="22"/>
          <w:szCs w:val="22"/>
        </w:rPr>
      </w:pPr>
    </w:p>
    <w:p w14:paraId="3F25ACB6" w14:textId="3FBCA236" w:rsidR="008975CA" w:rsidRPr="003D0AF1" w:rsidRDefault="007733B4" w:rsidP="00AD3061">
      <w:pPr>
        <w:jc w:val="both"/>
        <w:rPr>
          <w:rFonts w:cs="Arial"/>
          <w:sz w:val="22"/>
          <w:szCs w:val="22"/>
        </w:rPr>
      </w:pPr>
      <w:r w:rsidRPr="003D0AF1">
        <w:rPr>
          <w:rFonts w:cs="Arial"/>
          <w:sz w:val="22"/>
          <w:szCs w:val="22"/>
        </w:rPr>
        <w:t xml:space="preserve">MV </w:t>
      </w:r>
      <w:r w:rsidR="008975CA" w:rsidRPr="003D0AF1">
        <w:rPr>
          <w:rFonts w:cs="Arial"/>
          <w:sz w:val="22"/>
          <w:szCs w:val="22"/>
        </w:rPr>
        <w:t xml:space="preserve">dále u PPS EUROCOPTER uznalo </w:t>
      </w:r>
      <w:r w:rsidRPr="003D0AF1">
        <w:rPr>
          <w:rFonts w:cs="Arial"/>
          <w:sz w:val="22"/>
          <w:szCs w:val="22"/>
        </w:rPr>
        <w:t xml:space="preserve">plnění </w:t>
      </w:r>
      <w:r w:rsidR="00C75BF1" w:rsidRPr="003D0AF1">
        <w:rPr>
          <w:rFonts w:cs="Arial"/>
          <w:sz w:val="22"/>
          <w:szCs w:val="22"/>
        </w:rPr>
        <w:t>dvou OFT (</w:t>
      </w:r>
      <w:r w:rsidRPr="003D0AF1">
        <w:rPr>
          <w:rFonts w:cs="Arial"/>
          <w:sz w:val="22"/>
          <w:szCs w:val="22"/>
        </w:rPr>
        <w:t>OF/143</w:t>
      </w:r>
      <w:r w:rsidR="00C75BF1" w:rsidRPr="003D0AF1">
        <w:rPr>
          <w:rFonts w:cs="Arial"/>
          <w:sz w:val="22"/>
          <w:szCs w:val="22"/>
        </w:rPr>
        <w:t>,</w:t>
      </w:r>
      <w:r w:rsidRPr="003D0AF1">
        <w:rPr>
          <w:rFonts w:cs="Arial"/>
          <w:sz w:val="22"/>
          <w:szCs w:val="22"/>
        </w:rPr>
        <w:t xml:space="preserve"> OF/209</w:t>
      </w:r>
      <w:r w:rsidR="00C75BF1" w:rsidRPr="003D0AF1">
        <w:rPr>
          <w:rFonts w:cs="Arial"/>
          <w:sz w:val="22"/>
          <w:szCs w:val="22"/>
        </w:rPr>
        <w:t>)</w:t>
      </w:r>
      <w:r w:rsidR="0099281A" w:rsidRPr="003D0AF1">
        <w:rPr>
          <w:rFonts w:cs="Arial"/>
          <w:sz w:val="22"/>
          <w:szCs w:val="22"/>
        </w:rPr>
        <w:t xml:space="preserve">, které český partner </w:t>
      </w:r>
      <w:r w:rsidR="0033187C" w:rsidRPr="003D0AF1">
        <w:rPr>
          <w:rFonts w:cs="Arial"/>
          <w:sz w:val="22"/>
          <w:szCs w:val="22"/>
        </w:rPr>
        <w:t xml:space="preserve">fakturoval </w:t>
      </w:r>
      <w:r w:rsidR="0099281A" w:rsidRPr="003D0AF1">
        <w:rPr>
          <w:rFonts w:cs="Arial"/>
          <w:sz w:val="22"/>
          <w:szCs w:val="22"/>
        </w:rPr>
        <w:t xml:space="preserve">jiným společnostem, než </w:t>
      </w:r>
      <w:r w:rsidRPr="003D0AF1">
        <w:rPr>
          <w:rFonts w:cs="Arial"/>
          <w:sz w:val="22"/>
          <w:szCs w:val="22"/>
        </w:rPr>
        <w:t xml:space="preserve">byl </w:t>
      </w:r>
      <w:r w:rsidR="0099281A" w:rsidRPr="003D0AF1">
        <w:rPr>
          <w:rFonts w:cs="Arial"/>
          <w:sz w:val="22"/>
          <w:szCs w:val="22"/>
        </w:rPr>
        <w:t>zahraniční partner transakce schválený offsetovou komisí</w:t>
      </w:r>
      <w:r w:rsidR="008975CA" w:rsidRPr="003D0AF1">
        <w:rPr>
          <w:rFonts w:cs="Arial"/>
          <w:sz w:val="22"/>
          <w:szCs w:val="22"/>
        </w:rPr>
        <w:t xml:space="preserve">. </w:t>
      </w:r>
      <w:r w:rsidR="0099281A" w:rsidRPr="003D0AF1">
        <w:rPr>
          <w:rFonts w:cs="Arial"/>
          <w:sz w:val="22"/>
          <w:szCs w:val="22"/>
        </w:rPr>
        <w:t xml:space="preserve">MV </w:t>
      </w:r>
      <w:r w:rsidR="008975CA" w:rsidRPr="003D0AF1">
        <w:rPr>
          <w:rFonts w:cs="Arial"/>
          <w:sz w:val="22"/>
          <w:szCs w:val="22"/>
        </w:rPr>
        <w:t>v rozporu se schváleným</w:t>
      </w:r>
      <w:r w:rsidR="00C75BF1" w:rsidRPr="003D0AF1">
        <w:rPr>
          <w:rFonts w:cs="Arial"/>
          <w:sz w:val="22"/>
          <w:szCs w:val="22"/>
        </w:rPr>
        <w:t>i</w:t>
      </w:r>
      <w:r w:rsidR="008975CA" w:rsidRPr="003D0AF1">
        <w:rPr>
          <w:rFonts w:cs="Arial"/>
          <w:sz w:val="22"/>
          <w:szCs w:val="22"/>
        </w:rPr>
        <w:t xml:space="preserve"> </w:t>
      </w:r>
      <w:r w:rsidR="0033187C">
        <w:rPr>
          <w:rFonts w:cs="Arial"/>
          <w:sz w:val="22"/>
          <w:szCs w:val="22"/>
        </w:rPr>
        <w:t>„n</w:t>
      </w:r>
      <w:r w:rsidR="008975CA" w:rsidRPr="003D0AF1">
        <w:rPr>
          <w:rFonts w:cs="Arial"/>
          <w:sz w:val="22"/>
          <w:szCs w:val="22"/>
        </w:rPr>
        <w:t>ávrh</w:t>
      </w:r>
      <w:r w:rsidR="00C75BF1" w:rsidRPr="003D0AF1">
        <w:rPr>
          <w:rFonts w:cs="Arial"/>
          <w:sz w:val="22"/>
          <w:szCs w:val="22"/>
        </w:rPr>
        <w:t>y</w:t>
      </w:r>
      <w:r w:rsidR="0033187C">
        <w:rPr>
          <w:rFonts w:cs="Arial"/>
          <w:sz w:val="22"/>
          <w:szCs w:val="22"/>
        </w:rPr>
        <w:t xml:space="preserve"> transakce“</w:t>
      </w:r>
      <w:r w:rsidR="008975CA" w:rsidRPr="003D0AF1">
        <w:rPr>
          <w:rFonts w:cs="Arial"/>
          <w:sz w:val="22"/>
          <w:szCs w:val="22"/>
        </w:rPr>
        <w:t xml:space="preserve"> a </w:t>
      </w:r>
      <w:r w:rsidR="0033187C">
        <w:rPr>
          <w:rFonts w:cs="Arial"/>
          <w:sz w:val="22"/>
          <w:szCs w:val="22"/>
        </w:rPr>
        <w:t>„p</w:t>
      </w:r>
      <w:r w:rsidR="008975CA" w:rsidRPr="003D0AF1">
        <w:rPr>
          <w:rFonts w:cs="Arial"/>
          <w:sz w:val="22"/>
          <w:szCs w:val="22"/>
        </w:rPr>
        <w:t>otvrzením</w:t>
      </w:r>
      <w:r w:rsidR="00C75BF1" w:rsidRPr="003D0AF1">
        <w:rPr>
          <w:rFonts w:cs="Arial"/>
          <w:sz w:val="22"/>
          <w:szCs w:val="22"/>
        </w:rPr>
        <w:t xml:space="preserve">i </w:t>
      </w:r>
      <w:r w:rsidR="0033187C">
        <w:rPr>
          <w:rFonts w:cs="Arial"/>
          <w:sz w:val="22"/>
          <w:szCs w:val="22"/>
        </w:rPr>
        <w:t xml:space="preserve">offsetové transakce“ </w:t>
      </w:r>
      <w:r w:rsidR="0033187C" w:rsidRPr="003D0AF1">
        <w:rPr>
          <w:rFonts w:cs="Arial"/>
          <w:sz w:val="22"/>
          <w:szCs w:val="22"/>
        </w:rPr>
        <w:t xml:space="preserve">uznalo </w:t>
      </w:r>
      <w:r w:rsidR="008975CA" w:rsidRPr="003D0AF1">
        <w:rPr>
          <w:rFonts w:cs="Arial"/>
          <w:sz w:val="22"/>
          <w:szCs w:val="22"/>
        </w:rPr>
        <w:t xml:space="preserve">hodnotu plnění </w:t>
      </w:r>
      <w:r w:rsidR="00C75BF1" w:rsidRPr="003D0AF1">
        <w:rPr>
          <w:rFonts w:cs="Arial"/>
          <w:sz w:val="22"/>
          <w:szCs w:val="22"/>
        </w:rPr>
        <w:t xml:space="preserve">těchto OFT </w:t>
      </w:r>
      <w:r w:rsidR="008975CA" w:rsidRPr="003D0AF1">
        <w:rPr>
          <w:rFonts w:cs="Arial"/>
          <w:sz w:val="22"/>
          <w:szCs w:val="22"/>
        </w:rPr>
        <w:t xml:space="preserve">v celkové výši </w:t>
      </w:r>
      <w:r w:rsidR="00313371" w:rsidRPr="00313371">
        <w:rPr>
          <w:rFonts w:cs="Arial"/>
          <w:sz w:val="22"/>
          <w:szCs w:val="22"/>
        </w:rPr>
        <w:t>70</w:t>
      </w:r>
      <w:r w:rsidR="00313371">
        <w:rPr>
          <w:rFonts w:cs="Arial"/>
          <w:sz w:val="22"/>
          <w:szCs w:val="22"/>
        </w:rPr>
        <w:t> </w:t>
      </w:r>
      <w:r w:rsidR="00313371" w:rsidRPr="00313371">
        <w:rPr>
          <w:rFonts w:cs="Arial"/>
          <w:sz w:val="22"/>
          <w:szCs w:val="22"/>
        </w:rPr>
        <w:t>851</w:t>
      </w:r>
      <w:r w:rsidR="00313371">
        <w:rPr>
          <w:rFonts w:cs="Arial"/>
          <w:sz w:val="22"/>
          <w:szCs w:val="22"/>
        </w:rPr>
        <w:t xml:space="preserve"> </w:t>
      </w:r>
      <w:r w:rsidR="00313371" w:rsidRPr="00313371">
        <w:rPr>
          <w:rFonts w:cs="Arial"/>
          <w:sz w:val="22"/>
          <w:szCs w:val="22"/>
        </w:rPr>
        <w:t>545</w:t>
      </w:r>
      <w:r w:rsidR="008975CA" w:rsidRPr="003D0AF1">
        <w:rPr>
          <w:rFonts w:cs="Arial"/>
          <w:sz w:val="22"/>
          <w:szCs w:val="22"/>
        </w:rPr>
        <w:t xml:space="preserve"> Kč.</w:t>
      </w:r>
      <w:r w:rsidR="0001442A">
        <w:rPr>
          <w:rFonts w:cs="Arial"/>
          <w:sz w:val="22"/>
          <w:szCs w:val="22"/>
        </w:rPr>
        <w:t xml:space="preserve"> </w:t>
      </w:r>
    </w:p>
    <w:p w14:paraId="1C31970F" w14:textId="77777777" w:rsidR="005F0E6A" w:rsidRDefault="005F0E6A" w:rsidP="00AD3061">
      <w:pPr>
        <w:pStyle w:val="Zkladntext2"/>
        <w:spacing w:after="0" w:line="240" w:lineRule="auto"/>
        <w:jc w:val="both"/>
        <w:rPr>
          <w:sz w:val="22"/>
          <w:szCs w:val="22"/>
        </w:rPr>
      </w:pPr>
    </w:p>
    <w:p w14:paraId="3F25ACB7" w14:textId="327161BC" w:rsidR="0099281A" w:rsidRPr="00453CE0" w:rsidRDefault="0099281A" w:rsidP="00AD3061">
      <w:pPr>
        <w:pStyle w:val="Zkladntext2"/>
        <w:spacing w:after="0" w:line="240" w:lineRule="auto"/>
        <w:jc w:val="both"/>
        <w:rPr>
          <w:sz w:val="22"/>
          <w:szCs w:val="22"/>
        </w:rPr>
      </w:pPr>
      <w:r w:rsidRPr="0076434B">
        <w:rPr>
          <w:sz w:val="22"/>
          <w:szCs w:val="22"/>
        </w:rPr>
        <w:t xml:space="preserve">MV zvolilo nevýhodný </w:t>
      </w:r>
      <w:r w:rsidRPr="0076434B">
        <w:rPr>
          <w:rFonts w:cs="Arial"/>
          <w:sz w:val="22"/>
          <w:szCs w:val="22"/>
        </w:rPr>
        <w:t xml:space="preserve">způsob smluvního vymezení offsetového závazku, </w:t>
      </w:r>
      <w:r w:rsidR="0033187C">
        <w:rPr>
          <w:rFonts w:cs="Arial"/>
          <w:sz w:val="22"/>
          <w:szCs w:val="22"/>
        </w:rPr>
        <w:t>v důsledku čehož nemohlo</w:t>
      </w:r>
      <w:r w:rsidRPr="0076434B">
        <w:rPr>
          <w:rFonts w:cs="Arial"/>
          <w:sz w:val="22"/>
          <w:szCs w:val="22"/>
        </w:rPr>
        <w:t xml:space="preserve"> ověřit a</w:t>
      </w:r>
      <w:r w:rsidR="0033187C">
        <w:rPr>
          <w:rFonts w:cs="Arial"/>
          <w:sz w:val="22"/>
          <w:szCs w:val="22"/>
        </w:rPr>
        <w:t>ni</w:t>
      </w:r>
      <w:r w:rsidRPr="0076434B">
        <w:rPr>
          <w:rFonts w:cs="Arial"/>
          <w:sz w:val="22"/>
          <w:szCs w:val="22"/>
        </w:rPr>
        <w:t xml:space="preserve"> zaručit, že offsetový závazek zahraničního výrobce bude odpovídat ceně dodávek zahraničního zboží a služeb souvisejících s</w:t>
      </w:r>
      <w:r w:rsidR="0033187C">
        <w:rPr>
          <w:rFonts w:cs="Arial"/>
          <w:sz w:val="22"/>
          <w:szCs w:val="22"/>
        </w:rPr>
        <w:t> veřejnou zakázkou</w:t>
      </w:r>
      <w:r w:rsidRPr="0076434B">
        <w:rPr>
          <w:rFonts w:cs="Arial"/>
          <w:sz w:val="22"/>
          <w:szCs w:val="22"/>
        </w:rPr>
        <w:t>.</w:t>
      </w:r>
      <w:r w:rsidRPr="0076434B">
        <w:rPr>
          <w:sz w:val="22"/>
          <w:szCs w:val="22"/>
        </w:rPr>
        <w:t xml:space="preserve"> </w:t>
      </w:r>
      <w:r w:rsidR="009332A6">
        <w:rPr>
          <w:sz w:val="22"/>
          <w:szCs w:val="22"/>
        </w:rPr>
        <w:t>C</w:t>
      </w:r>
      <w:r w:rsidRPr="0076434B">
        <w:rPr>
          <w:rFonts w:cs="Arial"/>
          <w:sz w:val="22"/>
          <w:szCs w:val="22"/>
        </w:rPr>
        <w:t>en</w:t>
      </w:r>
      <w:r w:rsidR="009332A6">
        <w:rPr>
          <w:rFonts w:cs="Arial"/>
          <w:sz w:val="22"/>
          <w:szCs w:val="22"/>
        </w:rPr>
        <w:t>a</w:t>
      </w:r>
      <w:r w:rsidRPr="0076434B">
        <w:rPr>
          <w:rFonts w:cs="Arial"/>
          <w:sz w:val="22"/>
          <w:szCs w:val="22"/>
        </w:rPr>
        <w:t xml:space="preserve"> zahraničního zboží a služeb</w:t>
      </w:r>
      <w:r w:rsidR="0001442A">
        <w:rPr>
          <w:rFonts w:cs="Arial"/>
          <w:sz w:val="22"/>
          <w:szCs w:val="22"/>
        </w:rPr>
        <w:t xml:space="preserve"> </w:t>
      </w:r>
      <w:r w:rsidR="00CB7C96">
        <w:rPr>
          <w:rFonts w:cs="Arial"/>
          <w:sz w:val="22"/>
          <w:szCs w:val="22"/>
        </w:rPr>
        <w:t xml:space="preserve">smluvně </w:t>
      </w:r>
      <w:r w:rsidR="009332A6">
        <w:rPr>
          <w:rFonts w:cs="Arial"/>
          <w:sz w:val="22"/>
          <w:szCs w:val="22"/>
        </w:rPr>
        <w:t>ne</w:t>
      </w:r>
      <w:r w:rsidRPr="0076434B">
        <w:rPr>
          <w:rFonts w:cs="Arial"/>
          <w:sz w:val="22"/>
          <w:szCs w:val="22"/>
        </w:rPr>
        <w:t>zajištěn</w:t>
      </w:r>
      <w:r w:rsidR="009332A6">
        <w:rPr>
          <w:rFonts w:cs="Arial"/>
          <w:sz w:val="22"/>
          <w:szCs w:val="22"/>
        </w:rPr>
        <w:t>á</w:t>
      </w:r>
      <w:r w:rsidRPr="0076434B">
        <w:rPr>
          <w:rFonts w:cs="Arial"/>
          <w:sz w:val="22"/>
          <w:szCs w:val="22"/>
        </w:rPr>
        <w:t xml:space="preserve"> offsetov</w:t>
      </w:r>
      <w:r w:rsidR="009332A6">
        <w:rPr>
          <w:rFonts w:cs="Arial"/>
          <w:sz w:val="22"/>
          <w:szCs w:val="22"/>
        </w:rPr>
        <w:t xml:space="preserve">ým závazkem </w:t>
      </w:r>
      <w:r w:rsidR="00CB7C96">
        <w:rPr>
          <w:rFonts w:cs="Arial"/>
          <w:sz w:val="22"/>
          <w:szCs w:val="22"/>
        </w:rPr>
        <w:t xml:space="preserve">ve prospěch ČR </w:t>
      </w:r>
      <w:r w:rsidR="009332A6">
        <w:rPr>
          <w:rFonts w:cs="Arial"/>
          <w:sz w:val="22"/>
          <w:szCs w:val="22"/>
        </w:rPr>
        <w:t>činila 2 011 175</w:t>
      </w:r>
      <w:r w:rsidR="00545943">
        <w:rPr>
          <w:rFonts w:cs="Arial"/>
          <w:sz w:val="22"/>
          <w:szCs w:val="22"/>
        </w:rPr>
        <w:t> </w:t>
      </w:r>
      <w:r w:rsidR="009332A6">
        <w:rPr>
          <w:rFonts w:cs="Arial"/>
          <w:sz w:val="22"/>
          <w:szCs w:val="22"/>
        </w:rPr>
        <w:t>EUR</w:t>
      </w:r>
      <w:r w:rsidR="00CB7C96">
        <w:rPr>
          <w:rStyle w:val="Znakapoznpodarou"/>
          <w:rFonts w:cs="Arial"/>
          <w:sz w:val="22"/>
          <w:szCs w:val="22"/>
        </w:rPr>
        <w:footnoteReference w:id="39"/>
      </w:r>
      <w:r w:rsidR="009332A6">
        <w:rPr>
          <w:rFonts w:cs="Arial"/>
          <w:sz w:val="22"/>
          <w:szCs w:val="22"/>
        </w:rPr>
        <w:t>.</w:t>
      </w:r>
    </w:p>
    <w:p w14:paraId="357CE9B9" w14:textId="77777777" w:rsidR="005F0E6A" w:rsidRDefault="005F0E6A" w:rsidP="0001442A">
      <w:pPr>
        <w:jc w:val="both"/>
        <w:rPr>
          <w:rFonts w:cs="Arial"/>
          <w:sz w:val="22"/>
          <w:szCs w:val="22"/>
        </w:rPr>
      </w:pPr>
    </w:p>
    <w:p w14:paraId="3F25ACB8" w14:textId="1E94E97F" w:rsidR="0099281A" w:rsidRPr="009332A6" w:rsidRDefault="0099281A" w:rsidP="0001442A">
      <w:pPr>
        <w:jc w:val="both"/>
        <w:rPr>
          <w:rFonts w:cs="Arial"/>
          <w:sz w:val="22"/>
          <w:szCs w:val="22"/>
        </w:rPr>
      </w:pPr>
      <w:r w:rsidRPr="009332A6">
        <w:rPr>
          <w:rFonts w:cs="Arial"/>
          <w:sz w:val="22"/>
          <w:szCs w:val="22"/>
        </w:rPr>
        <w:t xml:space="preserve">MV nepostupovalo </w:t>
      </w:r>
      <w:r w:rsidR="00D920E5">
        <w:rPr>
          <w:rFonts w:cs="Arial"/>
          <w:sz w:val="22"/>
          <w:szCs w:val="22"/>
        </w:rPr>
        <w:t>v </w:t>
      </w:r>
      <w:r w:rsidRPr="009332A6">
        <w:rPr>
          <w:rFonts w:cs="Arial"/>
          <w:sz w:val="22"/>
          <w:szCs w:val="22"/>
        </w:rPr>
        <w:t xml:space="preserve">souladu </w:t>
      </w:r>
      <w:r w:rsidR="00D920E5">
        <w:rPr>
          <w:rFonts w:cs="Arial"/>
          <w:sz w:val="22"/>
          <w:szCs w:val="22"/>
        </w:rPr>
        <w:t>s </w:t>
      </w:r>
      <w:r w:rsidRPr="009332A6">
        <w:rPr>
          <w:rFonts w:cs="Arial"/>
          <w:sz w:val="22"/>
          <w:szCs w:val="22"/>
        </w:rPr>
        <w:t xml:space="preserve">platnými Pravidly 1998, </w:t>
      </w:r>
      <w:r w:rsidR="000C709A">
        <w:rPr>
          <w:rFonts w:cs="Arial"/>
          <w:sz w:val="22"/>
          <w:szCs w:val="22"/>
        </w:rPr>
        <w:t>která v jednom z principů stanovila, že offsetový program nesmí mít za následek zvýšení kupní ceny. MV tyto skutečnosti neověřovalo</w:t>
      </w:r>
      <w:r w:rsidR="0033187C">
        <w:rPr>
          <w:rFonts w:cs="Arial"/>
          <w:sz w:val="22"/>
          <w:szCs w:val="22"/>
        </w:rPr>
        <w:t>,</w:t>
      </w:r>
      <w:r w:rsidR="000C709A">
        <w:rPr>
          <w:rFonts w:cs="Arial"/>
          <w:sz w:val="22"/>
          <w:szCs w:val="22"/>
        </w:rPr>
        <w:t xml:space="preserve"> v</w:t>
      </w:r>
      <w:r w:rsidR="000C709A" w:rsidRPr="009332A6">
        <w:rPr>
          <w:rFonts w:cs="Arial"/>
          <w:sz w:val="22"/>
          <w:szCs w:val="22"/>
        </w:rPr>
        <w:t xml:space="preserve">ycházelo pouze z předpokladu, že podmínka plnění offsetového programu </w:t>
      </w:r>
      <w:r w:rsidR="0033187C">
        <w:rPr>
          <w:rFonts w:cs="Arial"/>
          <w:sz w:val="22"/>
          <w:szCs w:val="22"/>
        </w:rPr>
        <w:t>se do</w:t>
      </w:r>
      <w:r w:rsidR="000C709A" w:rsidRPr="009332A6">
        <w:rPr>
          <w:rFonts w:cs="Arial"/>
          <w:sz w:val="22"/>
          <w:szCs w:val="22"/>
        </w:rPr>
        <w:t xml:space="preserve"> cen</w:t>
      </w:r>
      <w:r w:rsidR="0033187C">
        <w:rPr>
          <w:rFonts w:cs="Arial"/>
          <w:sz w:val="22"/>
          <w:szCs w:val="22"/>
        </w:rPr>
        <w:t>y</w:t>
      </w:r>
      <w:r w:rsidR="000C709A" w:rsidRPr="009332A6">
        <w:rPr>
          <w:rFonts w:cs="Arial"/>
          <w:sz w:val="22"/>
          <w:szCs w:val="22"/>
        </w:rPr>
        <w:t xml:space="preserve"> zahraničního zboží </w:t>
      </w:r>
      <w:r w:rsidR="000C709A">
        <w:rPr>
          <w:rFonts w:cs="Arial"/>
          <w:sz w:val="22"/>
          <w:szCs w:val="22"/>
        </w:rPr>
        <w:t xml:space="preserve">a </w:t>
      </w:r>
      <w:r w:rsidR="000C709A" w:rsidRPr="009332A6">
        <w:rPr>
          <w:rFonts w:cs="Arial"/>
          <w:sz w:val="22"/>
          <w:szCs w:val="22"/>
        </w:rPr>
        <w:t>služeb</w:t>
      </w:r>
      <w:r w:rsidR="000C709A">
        <w:rPr>
          <w:rFonts w:cs="Arial"/>
          <w:sz w:val="22"/>
          <w:szCs w:val="22"/>
        </w:rPr>
        <w:t xml:space="preserve"> </w:t>
      </w:r>
      <w:r w:rsidR="0033187C">
        <w:rPr>
          <w:rFonts w:cs="Arial"/>
          <w:sz w:val="22"/>
          <w:szCs w:val="22"/>
        </w:rPr>
        <w:t>nijak nepromítne</w:t>
      </w:r>
      <w:r w:rsidR="000C709A" w:rsidRPr="009332A6">
        <w:rPr>
          <w:rFonts w:cs="Arial"/>
          <w:sz w:val="22"/>
          <w:szCs w:val="22"/>
        </w:rPr>
        <w:t>.</w:t>
      </w:r>
      <w:r w:rsidR="0001442A">
        <w:rPr>
          <w:rFonts w:cs="Arial"/>
          <w:sz w:val="22"/>
          <w:szCs w:val="22"/>
        </w:rPr>
        <w:t xml:space="preserve"> </w:t>
      </w:r>
      <w:r w:rsidR="000C709A">
        <w:rPr>
          <w:rFonts w:cs="Arial"/>
          <w:sz w:val="22"/>
          <w:szCs w:val="22"/>
        </w:rPr>
        <w:t xml:space="preserve">Kontrolou nebylo možné zjistit, </w:t>
      </w:r>
      <w:r w:rsidRPr="009332A6">
        <w:rPr>
          <w:rFonts w:cs="Arial"/>
          <w:sz w:val="22"/>
          <w:szCs w:val="22"/>
        </w:rPr>
        <w:t xml:space="preserve">zda offsetový závazek spojený </w:t>
      </w:r>
      <w:r w:rsidR="00D920E5">
        <w:rPr>
          <w:rFonts w:cs="Arial"/>
          <w:sz w:val="22"/>
          <w:szCs w:val="22"/>
        </w:rPr>
        <w:t>s </w:t>
      </w:r>
      <w:r w:rsidRPr="009332A6">
        <w:rPr>
          <w:rFonts w:cs="Arial"/>
          <w:sz w:val="22"/>
          <w:szCs w:val="22"/>
        </w:rPr>
        <w:t>nákup</w:t>
      </w:r>
      <w:r w:rsidR="000C709A">
        <w:rPr>
          <w:rFonts w:cs="Arial"/>
          <w:sz w:val="22"/>
          <w:szCs w:val="22"/>
        </w:rPr>
        <w:t>em</w:t>
      </w:r>
      <w:r w:rsidRPr="009332A6">
        <w:rPr>
          <w:rFonts w:cs="Arial"/>
          <w:sz w:val="22"/>
          <w:szCs w:val="22"/>
        </w:rPr>
        <w:t xml:space="preserve"> </w:t>
      </w:r>
      <w:r w:rsidRPr="009332A6">
        <w:rPr>
          <w:sz w:val="22"/>
          <w:szCs w:val="22"/>
        </w:rPr>
        <w:t>vrtulníků</w:t>
      </w:r>
      <w:r w:rsidR="000C709A">
        <w:rPr>
          <w:sz w:val="22"/>
          <w:szCs w:val="22"/>
        </w:rPr>
        <w:t xml:space="preserve"> </w:t>
      </w:r>
      <w:r w:rsidRPr="009332A6">
        <w:rPr>
          <w:rFonts w:cs="Arial"/>
          <w:sz w:val="22"/>
          <w:szCs w:val="22"/>
        </w:rPr>
        <w:t xml:space="preserve">měl za následek zvýšení kupní ceny. </w:t>
      </w:r>
    </w:p>
    <w:p w14:paraId="141F3ECB" w14:textId="77777777" w:rsidR="005F0E6A" w:rsidRDefault="005F0E6A" w:rsidP="00AD3061">
      <w:pPr>
        <w:pStyle w:val="Zkladntext2"/>
        <w:spacing w:after="0" w:line="240" w:lineRule="auto"/>
        <w:jc w:val="both"/>
        <w:rPr>
          <w:sz w:val="22"/>
          <w:szCs w:val="22"/>
        </w:rPr>
      </w:pPr>
    </w:p>
    <w:p w14:paraId="3F25ACB9" w14:textId="13C946F1" w:rsidR="008975CA" w:rsidRDefault="00D920E5" w:rsidP="00AD3061">
      <w:pPr>
        <w:pStyle w:val="Zkladntext2"/>
        <w:spacing w:after="0" w:line="240" w:lineRule="auto"/>
        <w:jc w:val="both"/>
        <w:rPr>
          <w:sz w:val="22"/>
          <w:szCs w:val="22"/>
        </w:rPr>
      </w:pPr>
      <w:r>
        <w:rPr>
          <w:sz w:val="22"/>
          <w:szCs w:val="22"/>
        </w:rPr>
        <w:t>V </w:t>
      </w:r>
      <w:r w:rsidR="0099281A" w:rsidRPr="0076434B">
        <w:rPr>
          <w:sz w:val="22"/>
          <w:szCs w:val="22"/>
        </w:rPr>
        <w:t xml:space="preserve">případě přímých OFT na podporu provozu vrtulníků neschválila </w:t>
      </w:r>
      <w:r w:rsidR="0033187C" w:rsidRPr="0076434B">
        <w:rPr>
          <w:sz w:val="22"/>
          <w:szCs w:val="22"/>
        </w:rPr>
        <w:t xml:space="preserve">OFK </w:t>
      </w:r>
      <w:r w:rsidR="0099281A" w:rsidRPr="0076434B">
        <w:rPr>
          <w:sz w:val="22"/>
          <w:szCs w:val="22"/>
        </w:rPr>
        <w:t xml:space="preserve">vysoký koeficient 8, jímž měla být </w:t>
      </w:r>
      <w:r w:rsidR="0033187C">
        <w:rPr>
          <w:sz w:val="22"/>
          <w:szCs w:val="22"/>
        </w:rPr>
        <w:t xml:space="preserve">dle požadavku zahraničního výrobce </w:t>
      </w:r>
      <w:r w:rsidR="009061AF">
        <w:rPr>
          <w:sz w:val="22"/>
          <w:szCs w:val="22"/>
        </w:rPr>
        <w:t xml:space="preserve">valorizována </w:t>
      </w:r>
      <w:r w:rsidR="0099281A" w:rsidRPr="0076434B">
        <w:rPr>
          <w:sz w:val="22"/>
          <w:szCs w:val="22"/>
        </w:rPr>
        <w:t>skutečná hodnota těchto transakcí</w:t>
      </w:r>
      <w:r w:rsidR="002B2943">
        <w:rPr>
          <w:sz w:val="22"/>
          <w:szCs w:val="22"/>
        </w:rPr>
        <w:t xml:space="preserve"> (1,3 mil. EUR)</w:t>
      </w:r>
      <w:r w:rsidR="009061AF">
        <w:rPr>
          <w:sz w:val="22"/>
          <w:szCs w:val="22"/>
        </w:rPr>
        <w:t>.</w:t>
      </w:r>
      <w:r w:rsidR="0099281A" w:rsidRPr="0076434B">
        <w:rPr>
          <w:sz w:val="22"/>
          <w:szCs w:val="22"/>
        </w:rPr>
        <w:t xml:space="preserve"> </w:t>
      </w:r>
      <w:r w:rsidR="009061AF">
        <w:rPr>
          <w:sz w:val="22"/>
          <w:szCs w:val="22"/>
        </w:rPr>
        <w:t xml:space="preserve">OFK </w:t>
      </w:r>
      <w:r w:rsidR="0099281A" w:rsidRPr="0076434B">
        <w:rPr>
          <w:sz w:val="22"/>
          <w:szCs w:val="22"/>
        </w:rPr>
        <w:t xml:space="preserve">požadovala </w:t>
      </w:r>
      <w:r w:rsidR="0033187C">
        <w:rPr>
          <w:sz w:val="22"/>
          <w:szCs w:val="22"/>
        </w:rPr>
        <w:t xml:space="preserve">po </w:t>
      </w:r>
      <w:r w:rsidR="0033187C" w:rsidRPr="0076434B">
        <w:rPr>
          <w:sz w:val="22"/>
          <w:szCs w:val="22"/>
        </w:rPr>
        <w:t>MV</w:t>
      </w:r>
      <w:r w:rsidR="0033187C">
        <w:rPr>
          <w:sz w:val="22"/>
          <w:szCs w:val="22"/>
        </w:rPr>
        <w:t xml:space="preserve"> </w:t>
      </w:r>
      <w:r w:rsidR="0099281A" w:rsidRPr="0076434B">
        <w:rPr>
          <w:sz w:val="22"/>
          <w:szCs w:val="22"/>
        </w:rPr>
        <w:t xml:space="preserve">vyčíslení úspor, kterých bude prostřednictvím předmětných transakcí dosaženo. </w:t>
      </w:r>
      <w:r>
        <w:rPr>
          <w:sz w:val="22"/>
          <w:szCs w:val="22"/>
        </w:rPr>
        <w:t>S </w:t>
      </w:r>
      <w:r w:rsidR="004118C2">
        <w:rPr>
          <w:sz w:val="22"/>
          <w:szCs w:val="22"/>
        </w:rPr>
        <w:t>cílem</w:t>
      </w:r>
      <w:r w:rsidR="009061AF" w:rsidRPr="0076434B">
        <w:rPr>
          <w:sz w:val="22"/>
          <w:szCs w:val="22"/>
        </w:rPr>
        <w:t xml:space="preserve"> </w:t>
      </w:r>
      <w:r w:rsidR="0099281A" w:rsidRPr="0076434B">
        <w:rPr>
          <w:sz w:val="22"/>
          <w:szCs w:val="22"/>
        </w:rPr>
        <w:t xml:space="preserve">zcela </w:t>
      </w:r>
      <w:r w:rsidR="004118C2">
        <w:rPr>
          <w:sz w:val="22"/>
          <w:szCs w:val="22"/>
        </w:rPr>
        <w:t xml:space="preserve">vyhovět </w:t>
      </w:r>
      <w:r w:rsidR="0099281A" w:rsidRPr="0076434B">
        <w:rPr>
          <w:sz w:val="22"/>
          <w:szCs w:val="22"/>
        </w:rPr>
        <w:t>zahraničnímu výrobci</w:t>
      </w:r>
      <w:r w:rsidR="004118C2">
        <w:rPr>
          <w:sz w:val="22"/>
          <w:szCs w:val="22"/>
        </w:rPr>
        <w:t xml:space="preserve"> </w:t>
      </w:r>
      <w:r w:rsidR="001E3AF3">
        <w:rPr>
          <w:sz w:val="22"/>
          <w:szCs w:val="22"/>
        </w:rPr>
        <w:t xml:space="preserve">nastavilo </w:t>
      </w:r>
      <w:r w:rsidR="008975CA">
        <w:rPr>
          <w:sz w:val="22"/>
          <w:szCs w:val="22"/>
        </w:rPr>
        <w:t>MV parametry a způsob</w:t>
      </w:r>
      <w:r w:rsidR="004118C2">
        <w:rPr>
          <w:sz w:val="22"/>
          <w:szCs w:val="22"/>
        </w:rPr>
        <w:t xml:space="preserve"> výpočtu úspor tak, aby </w:t>
      </w:r>
      <w:r w:rsidR="0099281A" w:rsidRPr="0076434B">
        <w:rPr>
          <w:rFonts w:cs="Arial"/>
          <w:bCs/>
          <w:sz w:val="22"/>
          <w:szCs w:val="22"/>
        </w:rPr>
        <w:t>došlo k</w:t>
      </w:r>
      <w:r w:rsidR="004118C2">
        <w:rPr>
          <w:rFonts w:cs="Arial"/>
          <w:bCs/>
          <w:sz w:val="22"/>
          <w:szCs w:val="22"/>
        </w:rPr>
        <w:t xml:space="preserve"> dosažení </w:t>
      </w:r>
      <w:r w:rsidR="0099281A" w:rsidRPr="0076434B">
        <w:rPr>
          <w:rFonts w:cs="Arial"/>
          <w:bCs/>
          <w:sz w:val="22"/>
          <w:szCs w:val="22"/>
        </w:rPr>
        <w:t>hodnoty</w:t>
      </w:r>
      <w:r w:rsidR="004118C2">
        <w:rPr>
          <w:rFonts w:cs="Arial"/>
          <w:bCs/>
          <w:sz w:val="22"/>
          <w:szCs w:val="22"/>
        </w:rPr>
        <w:t xml:space="preserve"> OFT</w:t>
      </w:r>
      <w:r w:rsidR="001E3AF3">
        <w:rPr>
          <w:rFonts w:cs="Arial"/>
          <w:bCs/>
          <w:sz w:val="22"/>
          <w:szCs w:val="22"/>
        </w:rPr>
        <w:t>,</w:t>
      </w:r>
      <w:r w:rsidR="004118C2">
        <w:rPr>
          <w:rFonts w:cs="Arial"/>
          <w:bCs/>
          <w:sz w:val="22"/>
          <w:szCs w:val="22"/>
        </w:rPr>
        <w:t xml:space="preserve"> jakou požadoval zahraniční výrobce za použití koeficientu</w:t>
      </w:r>
      <w:r w:rsidR="002B2943">
        <w:rPr>
          <w:rFonts w:cs="Arial"/>
          <w:bCs/>
          <w:sz w:val="22"/>
          <w:szCs w:val="22"/>
        </w:rPr>
        <w:t xml:space="preserve"> (10,9 mil</w:t>
      </w:r>
      <w:r w:rsidR="00BE4723">
        <w:rPr>
          <w:rFonts w:cs="Arial"/>
          <w:bCs/>
          <w:sz w:val="22"/>
          <w:szCs w:val="22"/>
        </w:rPr>
        <w:t>.</w:t>
      </w:r>
      <w:r w:rsidR="002B2943">
        <w:rPr>
          <w:rFonts w:cs="Arial"/>
          <w:bCs/>
          <w:sz w:val="22"/>
          <w:szCs w:val="22"/>
        </w:rPr>
        <w:t xml:space="preserve"> EUR)</w:t>
      </w:r>
      <w:r w:rsidR="004118C2">
        <w:rPr>
          <w:rFonts w:cs="Arial"/>
          <w:bCs/>
          <w:sz w:val="22"/>
          <w:szCs w:val="22"/>
        </w:rPr>
        <w:t>.</w:t>
      </w:r>
      <w:r w:rsidR="0099281A" w:rsidRPr="0076434B">
        <w:rPr>
          <w:sz w:val="22"/>
          <w:szCs w:val="22"/>
        </w:rPr>
        <w:t xml:space="preserve"> </w:t>
      </w:r>
    </w:p>
    <w:p w14:paraId="0DB8AA65" w14:textId="77777777" w:rsidR="005F0E6A" w:rsidRDefault="005F0E6A" w:rsidP="00AD3061">
      <w:pPr>
        <w:pStyle w:val="Zkladntext2"/>
        <w:spacing w:after="0" w:line="240" w:lineRule="auto"/>
        <w:jc w:val="both"/>
        <w:rPr>
          <w:rFonts w:cs="Arial"/>
          <w:sz w:val="22"/>
          <w:szCs w:val="22"/>
        </w:rPr>
      </w:pPr>
    </w:p>
    <w:p w14:paraId="3F25ACBA" w14:textId="2BB35522" w:rsidR="0099281A" w:rsidRDefault="00503251" w:rsidP="00AD3061">
      <w:pPr>
        <w:pStyle w:val="Zkladntext2"/>
        <w:spacing w:after="0" w:line="240" w:lineRule="auto"/>
        <w:jc w:val="both"/>
        <w:rPr>
          <w:rFonts w:cs="Arial"/>
          <w:sz w:val="22"/>
          <w:szCs w:val="22"/>
        </w:rPr>
      </w:pPr>
      <w:r>
        <w:rPr>
          <w:rFonts w:cs="Arial"/>
          <w:sz w:val="22"/>
          <w:szCs w:val="22"/>
        </w:rPr>
        <w:t xml:space="preserve">V souvislosti </w:t>
      </w:r>
      <w:r w:rsidR="00D920E5">
        <w:rPr>
          <w:rFonts w:cs="Arial"/>
          <w:sz w:val="22"/>
          <w:szCs w:val="22"/>
        </w:rPr>
        <w:t>s </w:t>
      </w:r>
      <w:r>
        <w:rPr>
          <w:rFonts w:cs="Arial"/>
          <w:sz w:val="22"/>
          <w:szCs w:val="22"/>
        </w:rPr>
        <w:t xml:space="preserve">plněním OFT na podporu provozu vrtulníků bylo dále zjištěno, že MV do uznaného plnění započetlo i budoucí uvažované úspory, a to nejméně ve výši </w:t>
      </w:r>
      <w:r w:rsidR="00215BB0" w:rsidRPr="00215BB0">
        <w:rPr>
          <w:rFonts w:cs="Arial"/>
          <w:sz w:val="22"/>
          <w:szCs w:val="22"/>
        </w:rPr>
        <w:t>193</w:t>
      </w:r>
      <w:r w:rsidR="00215BB0">
        <w:rPr>
          <w:rFonts w:cs="Arial"/>
          <w:sz w:val="22"/>
          <w:szCs w:val="22"/>
        </w:rPr>
        <w:t> </w:t>
      </w:r>
      <w:r w:rsidR="00215BB0" w:rsidRPr="00215BB0">
        <w:rPr>
          <w:rFonts w:cs="Arial"/>
          <w:sz w:val="22"/>
          <w:szCs w:val="22"/>
        </w:rPr>
        <w:t>642</w:t>
      </w:r>
      <w:r w:rsidR="00545943">
        <w:rPr>
          <w:rFonts w:cs="Arial"/>
          <w:sz w:val="22"/>
          <w:szCs w:val="22"/>
        </w:rPr>
        <w:t> </w:t>
      </w:r>
      <w:r w:rsidR="00215BB0" w:rsidRPr="00215BB0">
        <w:rPr>
          <w:rFonts w:cs="Arial"/>
          <w:sz w:val="22"/>
          <w:szCs w:val="22"/>
        </w:rPr>
        <w:t>292</w:t>
      </w:r>
      <w:r>
        <w:rPr>
          <w:rFonts w:cs="Arial"/>
          <w:sz w:val="22"/>
          <w:szCs w:val="22"/>
        </w:rPr>
        <w:t xml:space="preserve"> Kč. Toto plnění mělo být uznáno teprve </w:t>
      </w:r>
      <w:r w:rsidR="00D920E5">
        <w:rPr>
          <w:rFonts w:cs="Arial"/>
          <w:sz w:val="22"/>
          <w:szCs w:val="22"/>
        </w:rPr>
        <w:t>v </w:t>
      </w:r>
      <w:r>
        <w:rPr>
          <w:rFonts w:cs="Arial"/>
          <w:sz w:val="22"/>
          <w:szCs w:val="22"/>
        </w:rPr>
        <w:t>případě, pokud by bylo úspor skutečně dosaženo.</w:t>
      </w:r>
      <w:r w:rsidRPr="0076434B" w:rsidDel="00503251">
        <w:rPr>
          <w:rFonts w:cs="Arial"/>
          <w:sz w:val="22"/>
          <w:szCs w:val="22"/>
        </w:rPr>
        <w:t xml:space="preserve"> </w:t>
      </w:r>
    </w:p>
    <w:p w14:paraId="3F25ACBB" w14:textId="0ACC69CF" w:rsidR="00F6465D" w:rsidRDefault="00F6465D" w:rsidP="00AD3061">
      <w:pPr>
        <w:pStyle w:val="Zkladntext2"/>
        <w:spacing w:after="0" w:line="240" w:lineRule="auto"/>
        <w:jc w:val="both"/>
        <w:rPr>
          <w:sz w:val="22"/>
          <w:szCs w:val="22"/>
        </w:rPr>
      </w:pPr>
    </w:p>
    <w:p w14:paraId="094AE616" w14:textId="77777777" w:rsidR="005F0E6A" w:rsidRDefault="005F0E6A" w:rsidP="00AD3061">
      <w:pPr>
        <w:pStyle w:val="Zkladntext2"/>
        <w:spacing w:after="0" w:line="240" w:lineRule="auto"/>
        <w:jc w:val="both"/>
        <w:rPr>
          <w:sz w:val="22"/>
          <w:szCs w:val="22"/>
        </w:rPr>
      </w:pPr>
    </w:p>
    <w:p w14:paraId="3F25ACBC" w14:textId="77777777" w:rsidR="002A31B4" w:rsidRPr="00AD3061" w:rsidRDefault="0001442A" w:rsidP="00AD3061">
      <w:pPr>
        <w:pStyle w:val="Nadpis1"/>
        <w:spacing w:before="0" w:after="0"/>
        <w:ind w:left="360"/>
        <w:jc w:val="center"/>
        <w:rPr>
          <w:sz w:val="24"/>
          <w:szCs w:val="24"/>
        </w:rPr>
      </w:pPr>
      <w:r w:rsidRPr="00AD3061">
        <w:rPr>
          <w:sz w:val="24"/>
          <w:szCs w:val="24"/>
        </w:rPr>
        <w:t xml:space="preserve">III. </w:t>
      </w:r>
      <w:r w:rsidR="00AF2C90" w:rsidRPr="00AD3061">
        <w:rPr>
          <w:sz w:val="24"/>
          <w:szCs w:val="24"/>
        </w:rPr>
        <w:t>S</w:t>
      </w:r>
      <w:r w:rsidR="009C1291" w:rsidRPr="00AD3061">
        <w:rPr>
          <w:sz w:val="24"/>
          <w:szCs w:val="24"/>
        </w:rPr>
        <w:t>hrnutí</w:t>
      </w:r>
      <w:r w:rsidR="009B6CB8" w:rsidRPr="00AD3061">
        <w:rPr>
          <w:sz w:val="24"/>
          <w:szCs w:val="24"/>
        </w:rPr>
        <w:t xml:space="preserve"> </w:t>
      </w:r>
    </w:p>
    <w:p w14:paraId="006DA476" w14:textId="77777777" w:rsidR="005F0E6A" w:rsidRPr="00AD3061" w:rsidRDefault="005F0E6A" w:rsidP="00AD3061"/>
    <w:p w14:paraId="3F25ACBD" w14:textId="1BBEC245" w:rsidR="00707F5B" w:rsidRPr="00707F5B" w:rsidRDefault="00600DA5" w:rsidP="00AD3061">
      <w:pPr>
        <w:jc w:val="both"/>
        <w:rPr>
          <w:sz w:val="22"/>
          <w:szCs w:val="22"/>
        </w:rPr>
      </w:pPr>
      <w:r w:rsidRPr="00707F5B">
        <w:rPr>
          <w:sz w:val="22"/>
          <w:szCs w:val="22"/>
        </w:rPr>
        <w:t>Offsety (</w:t>
      </w:r>
      <w:r w:rsidR="002F2915">
        <w:rPr>
          <w:sz w:val="22"/>
          <w:szCs w:val="22"/>
        </w:rPr>
        <w:t xml:space="preserve">tj. </w:t>
      </w:r>
      <w:r w:rsidRPr="00707F5B">
        <w:rPr>
          <w:sz w:val="22"/>
          <w:szCs w:val="22"/>
        </w:rPr>
        <w:t xml:space="preserve">kompenzace výdajů státu na </w:t>
      </w:r>
      <w:r w:rsidR="00CC0707" w:rsidRPr="00707F5B">
        <w:rPr>
          <w:sz w:val="22"/>
          <w:szCs w:val="22"/>
        </w:rPr>
        <w:t xml:space="preserve">obrannou a </w:t>
      </w:r>
      <w:r w:rsidRPr="00707F5B">
        <w:rPr>
          <w:sz w:val="22"/>
          <w:szCs w:val="22"/>
        </w:rPr>
        <w:t xml:space="preserve">bezpečnostní </w:t>
      </w:r>
      <w:r w:rsidR="002F2915">
        <w:rPr>
          <w:sz w:val="22"/>
          <w:szCs w:val="22"/>
        </w:rPr>
        <w:t>oblast</w:t>
      </w:r>
      <w:r w:rsidRPr="00707F5B">
        <w:rPr>
          <w:sz w:val="22"/>
          <w:szCs w:val="22"/>
        </w:rPr>
        <w:t>) mají sloužit jako nástroj podpory českého průmyslu. Touto problematikou se zabývá také evropská legislativa, která doznáv</w:t>
      </w:r>
      <w:r w:rsidR="001A2EDA">
        <w:rPr>
          <w:sz w:val="22"/>
          <w:szCs w:val="22"/>
        </w:rPr>
        <w:t xml:space="preserve">ala </w:t>
      </w:r>
      <w:r w:rsidRPr="00707F5B">
        <w:rPr>
          <w:sz w:val="22"/>
          <w:szCs w:val="22"/>
        </w:rPr>
        <w:t xml:space="preserve">určitých změn, </w:t>
      </w:r>
      <w:r w:rsidR="002F2915">
        <w:rPr>
          <w:sz w:val="22"/>
          <w:szCs w:val="22"/>
        </w:rPr>
        <w:t xml:space="preserve">jež </w:t>
      </w:r>
      <w:r w:rsidRPr="00707F5B">
        <w:rPr>
          <w:sz w:val="22"/>
          <w:szCs w:val="22"/>
        </w:rPr>
        <w:t>postupně ved</w:t>
      </w:r>
      <w:r w:rsidR="002F2915">
        <w:rPr>
          <w:sz w:val="22"/>
          <w:szCs w:val="22"/>
        </w:rPr>
        <w:t>ly</w:t>
      </w:r>
      <w:r w:rsidRPr="00707F5B">
        <w:rPr>
          <w:sz w:val="22"/>
          <w:szCs w:val="22"/>
        </w:rPr>
        <w:t xml:space="preserve"> ke striktnějšímu vymezení možn</w:t>
      </w:r>
      <w:r w:rsidR="00247249" w:rsidRPr="00707F5B">
        <w:rPr>
          <w:sz w:val="22"/>
          <w:szCs w:val="22"/>
        </w:rPr>
        <w:t>o</w:t>
      </w:r>
      <w:r w:rsidRPr="00707F5B">
        <w:rPr>
          <w:sz w:val="22"/>
          <w:szCs w:val="22"/>
        </w:rPr>
        <w:t>stí využívání offsetů ve prospěch evropského trhu. Z toho</w:t>
      </w:r>
      <w:r w:rsidR="002F2915">
        <w:rPr>
          <w:sz w:val="22"/>
          <w:szCs w:val="22"/>
        </w:rPr>
        <w:t>to</w:t>
      </w:r>
      <w:r w:rsidRPr="00707F5B">
        <w:rPr>
          <w:sz w:val="22"/>
          <w:szCs w:val="22"/>
        </w:rPr>
        <w:t xml:space="preserve"> důvodu se </w:t>
      </w:r>
      <w:r w:rsidR="00247249" w:rsidRPr="00707F5B">
        <w:rPr>
          <w:sz w:val="22"/>
          <w:szCs w:val="22"/>
        </w:rPr>
        <w:t>vyvíj</w:t>
      </w:r>
      <w:r w:rsidR="002F2915">
        <w:rPr>
          <w:sz w:val="22"/>
          <w:szCs w:val="22"/>
        </w:rPr>
        <w:t>ejí</w:t>
      </w:r>
      <w:r w:rsidRPr="00707F5B">
        <w:rPr>
          <w:sz w:val="22"/>
          <w:szCs w:val="22"/>
        </w:rPr>
        <w:t xml:space="preserve"> také </w:t>
      </w:r>
      <w:r w:rsidR="00247249" w:rsidRPr="00707F5B">
        <w:rPr>
          <w:sz w:val="22"/>
          <w:szCs w:val="22"/>
        </w:rPr>
        <w:t xml:space="preserve">regulatorní </w:t>
      </w:r>
      <w:r w:rsidR="00760176" w:rsidRPr="00707F5B">
        <w:rPr>
          <w:sz w:val="22"/>
          <w:szCs w:val="22"/>
        </w:rPr>
        <w:t>nástroje</w:t>
      </w:r>
      <w:r w:rsidRPr="00707F5B">
        <w:rPr>
          <w:sz w:val="22"/>
          <w:szCs w:val="22"/>
        </w:rPr>
        <w:t xml:space="preserve"> pro uplatnění offsetů v ČR.</w:t>
      </w:r>
      <w:r w:rsidR="00CC0707" w:rsidRPr="00707F5B">
        <w:rPr>
          <w:sz w:val="22"/>
          <w:szCs w:val="22"/>
        </w:rPr>
        <w:t xml:space="preserve"> </w:t>
      </w:r>
      <w:r w:rsidR="00CC0707" w:rsidRPr="007C66B7">
        <w:rPr>
          <w:b/>
          <w:sz w:val="22"/>
          <w:szCs w:val="22"/>
        </w:rPr>
        <w:t>Od</w:t>
      </w:r>
      <w:r w:rsidR="00707F5B" w:rsidRPr="007C66B7">
        <w:rPr>
          <w:b/>
          <w:sz w:val="22"/>
          <w:szCs w:val="22"/>
        </w:rPr>
        <w:t xml:space="preserve"> srpna </w:t>
      </w:r>
      <w:r w:rsidR="00CC0707" w:rsidRPr="007C66B7">
        <w:rPr>
          <w:b/>
          <w:sz w:val="22"/>
          <w:szCs w:val="22"/>
        </w:rPr>
        <w:t>2012 vláda uložila svým členům nevyžadovat nové offsetové závazky.</w:t>
      </w:r>
      <w:r w:rsidR="00CC0707" w:rsidRPr="00707F5B">
        <w:rPr>
          <w:sz w:val="22"/>
          <w:szCs w:val="22"/>
        </w:rPr>
        <w:t xml:space="preserve"> </w:t>
      </w:r>
    </w:p>
    <w:p w14:paraId="19699BB5" w14:textId="77777777" w:rsidR="005F0E6A" w:rsidRDefault="005F0E6A" w:rsidP="00AD3061">
      <w:pPr>
        <w:jc w:val="both"/>
        <w:rPr>
          <w:sz w:val="22"/>
          <w:szCs w:val="22"/>
        </w:rPr>
      </w:pPr>
    </w:p>
    <w:p w14:paraId="3F25ACBE" w14:textId="522162E5" w:rsidR="00F958A3" w:rsidRDefault="00247249" w:rsidP="00AD3061">
      <w:pPr>
        <w:jc w:val="both"/>
        <w:rPr>
          <w:sz w:val="22"/>
          <w:szCs w:val="22"/>
        </w:rPr>
      </w:pPr>
      <w:r w:rsidRPr="00707F5B">
        <w:rPr>
          <w:sz w:val="22"/>
          <w:szCs w:val="22"/>
        </w:rPr>
        <w:t>Za přípravu, realizaci</w:t>
      </w:r>
      <w:r w:rsidR="001A2EDA">
        <w:rPr>
          <w:sz w:val="22"/>
          <w:szCs w:val="22"/>
        </w:rPr>
        <w:t>, kontrolu a</w:t>
      </w:r>
      <w:r w:rsidRPr="00707F5B">
        <w:rPr>
          <w:sz w:val="22"/>
          <w:szCs w:val="22"/>
        </w:rPr>
        <w:t xml:space="preserve"> vyh</w:t>
      </w:r>
      <w:r w:rsidR="008430F1" w:rsidRPr="00707F5B">
        <w:rPr>
          <w:sz w:val="22"/>
          <w:szCs w:val="22"/>
        </w:rPr>
        <w:t>odnoc</w:t>
      </w:r>
      <w:r w:rsidR="002F2915">
        <w:rPr>
          <w:sz w:val="22"/>
          <w:szCs w:val="22"/>
        </w:rPr>
        <w:t>ování</w:t>
      </w:r>
      <w:r w:rsidR="008430F1" w:rsidRPr="00707F5B">
        <w:rPr>
          <w:sz w:val="22"/>
          <w:szCs w:val="22"/>
        </w:rPr>
        <w:t xml:space="preserve"> offsetových programů bylo</w:t>
      </w:r>
      <w:r w:rsidRPr="00707F5B">
        <w:rPr>
          <w:sz w:val="22"/>
          <w:szCs w:val="22"/>
        </w:rPr>
        <w:t xml:space="preserve"> zodpovědné MPO</w:t>
      </w:r>
      <w:r w:rsidR="007C1B6A">
        <w:rPr>
          <w:sz w:val="22"/>
          <w:szCs w:val="22"/>
        </w:rPr>
        <w:t>, které</w:t>
      </w:r>
      <w:r w:rsidR="00724BC8">
        <w:rPr>
          <w:sz w:val="22"/>
          <w:szCs w:val="22"/>
        </w:rPr>
        <w:t>mu podléhá</w:t>
      </w:r>
      <w:r w:rsidR="007C1B6A" w:rsidRPr="00707F5B">
        <w:rPr>
          <w:rStyle w:val="st"/>
          <w:rFonts w:cs="Arial"/>
          <w:color w:val="222222"/>
          <w:sz w:val="22"/>
          <w:szCs w:val="22"/>
        </w:rPr>
        <w:t xml:space="preserve"> státní průmyslov</w:t>
      </w:r>
      <w:r w:rsidR="00724BC8">
        <w:rPr>
          <w:rStyle w:val="st"/>
          <w:rFonts w:cs="Arial"/>
          <w:color w:val="222222"/>
          <w:sz w:val="22"/>
          <w:szCs w:val="22"/>
        </w:rPr>
        <w:t>á</w:t>
      </w:r>
      <w:r w:rsidR="007C1B6A" w:rsidRPr="00707F5B">
        <w:rPr>
          <w:rStyle w:val="st"/>
          <w:rFonts w:cs="Arial"/>
          <w:color w:val="222222"/>
          <w:sz w:val="22"/>
          <w:szCs w:val="22"/>
        </w:rPr>
        <w:t xml:space="preserve"> politik</w:t>
      </w:r>
      <w:r w:rsidR="00724BC8">
        <w:rPr>
          <w:rStyle w:val="st"/>
          <w:rFonts w:cs="Arial"/>
          <w:color w:val="222222"/>
          <w:sz w:val="22"/>
          <w:szCs w:val="22"/>
        </w:rPr>
        <w:t>a</w:t>
      </w:r>
      <w:r w:rsidR="007C1B6A" w:rsidRPr="00707F5B">
        <w:rPr>
          <w:rStyle w:val="st"/>
          <w:rFonts w:cs="Arial"/>
          <w:color w:val="222222"/>
          <w:sz w:val="22"/>
          <w:szCs w:val="22"/>
        </w:rPr>
        <w:t>, obchodní politik</w:t>
      </w:r>
      <w:r w:rsidR="00724BC8">
        <w:rPr>
          <w:rStyle w:val="st"/>
          <w:rFonts w:cs="Arial"/>
          <w:color w:val="222222"/>
          <w:sz w:val="22"/>
          <w:szCs w:val="22"/>
        </w:rPr>
        <w:t>a</w:t>
      </w:r>
      <w:r w:rsidR="007C1B6A" w:rsidRPr="00707F5B">
        <w:rPr>
          <w:rStyle w:val="st"/>
          <w:rFonts w:cs="Arial"/>
          <w:color w:val="222222"/>
          <w:sz w:val="22"/>
          <w:szCs w:val="22"/>
        </w:rPr>
        <w:t>, podpor</w:t>
      </w:r>
      <w:r w:rsidR="00724BC8">
        <w:rPr>
          <w:rStyle w:val="st"/>
          <w:rFonts w:cs="Arial"/>
          <w:color w:val="222222"/>
          <w:sz w:val="22"/>
          <w:szCs w:val="22"/>
        </w:rPr>
        <w:t>a</w:t>
      </w:r>
      <w:r w:rsidR="007C1B6A" w:rsidRPr="00707F5B">
        <w:rPr>
          <w:rStyle w:val="st"/>
          <w:rFonts w:cs="Arial"/>
          <w:color w:val="222222"/>
          <w:sz w:val="22"/>
          <w:szCs w:val="22"/>
        </w:rPr>
        <w:t xml:space="preserve"> exportu, průmyslový výzkum, rozvoj techniky a technologií atd</w:t>
      </w:r>
      <w:r w:rsidR="007C1B6A">
        <w:rPr>
          <w:rStyle w:val="st"/>
          <w:rFonts w:cs="Arial"/>
          <w:color w:val="222222"/>
          <w:sz w:val="22"/>
          <w:szCs w:val="22"/>
        </w:rPr>
        <w:t>.</w:t>
      </w:r>
      <w:r w:rsidR="007C1B6A">
        <w:rPr>
          <w:rStyle w:val="Znakapoznpodarou"/>
          <w:rFonts w:cs="Arial"/>
          <w:color w:val="222222"/>
          <w:sz w:val="22"/>
          <w:szCs w:val="22"/>
        </w:rPr>
        <w:footnoteReference w:id="40"/>
      </w:r>
      <w:r w:rsidR="008430F1" w:rsidRPr="00707F5B">
        <w:rPr>
          <w:sz w:val="22"/>
          <w:szCs w:val="22"/>
        </w:rPr>
        <w:t xml:space="preserve"> Od roku 2005</w:t>
      </w:r>
      <w:r w:rsidR="002F2915">
        <w:rPr>
          <w:sz w:val="22"/>
          <w:szCs w:val="22"/>
        </w:rPr>
        <w:t xml:space="preserve"> v důsledku</w:t>
      </w:r>
      <w:r w:rsidR="008430F1" w:rsidRPr="00707F5B">
        <w:rPr>
          <w:sz w:val="22"/>
          <w:szCs w:val="22"/>
        </w:rPr>
        <w:t xml:space="preserve"> </w:t>
      </w:r>
      <w:r w:rsidR="007C1B6A" w:rsidRPr="00707F5B">
        <w:rPr>
          <w:rStyle w:val="st"/>
          <w:rFonts w:cs="Arial"/>
          <w:color w:val="222222"/>
          <w:sz w:val="22"/>
          <w:szCs w:val="22"/>
        </w:rPr>
        <w:t>úprav</w:t>
      </w:r>
      <w:r w:rsidR="002F2915">
        <w:rPr>
          <w:rStyle w:val="st"/>
          <w:rFonts w:cs="Arial"/>
          <w:color w:val="222222"/>
          <w:sz w:val="22"/>
          <w:szCs w:val="22"/>
        </w:rPr>
        <w:t>y</w:t>
      </w:r>
      <w:r w:rsidR="007C1B6A" w:rsidRPr="00707F5B">
        <w:rPr>
          <w:rStyle w:val="st"/>
          <w:rFonts w:cs="Arial"/>
          <w:color w:val="222222"/>
          <w:sz w:val="22"/>
          <w:szCs w:val="22"/>
        </w:rPr>
        <w:t xml:space="preserve"> Zásad 2005 a </w:t>
      </w:r>
      <w:r w:rsidR="002F2915" w:rsidRPr="00707F5B">
        <w:rPr>
          <w:rStyle w:val="st"/>
          <w:rFonts w:cs="Arial"/>
          <w:color w:val="222222"/>
          <w:sz w:val="22"/>
          <w:szCs w:val="22"/>
        </w:rPr>
        <w:t xml:space="preserve">Zásad </w:t>
      </w:r>
      <w:r w:rsidR="007C1B6A" w:rsidRPr="00707F5B">
        <w:rPr>
          <w:rStyle w:val="st"/>
          <w:rFonts w:cs="Arial"/>
          <w:color w:val="222222"/>
          <w:sz w:val="22"/>
          <w:szCs w:val="22"/>
        </w:rPr>
        <w:t xml:space="preserve">2010 přeneslo </w:t>
      </w:r>
      <w:r w:rsidR="007C1B6A">
        <w:rPr>
          <w:rStyle w:val="st"/>
          <w:rFonts w:cs="Arial"/>
          <w:color w:val="222222"/>
          <w:sz w:val="22"/>
          <w:szCs w:val="22"/>
        </w:rPr>
        <w:t xml:space="preserve">MPO </w:t>
      </w:r>
      <w:r w:rsidR="007C1B6A" w:rsidRPr="00707F5B">
        <w:rPr>
          <w:rStyle w:val="st"/>
          <w:rFonts w:cs="Arial"/>
          <w:color w:val="222222"/>
          <w:sz w:val="22"/>
          <w:szCs w:val="22"/>
        </w:rPr>
        <w:t>těž</w:t>
      </w:r>
      <w:r w:rsidR="007C1B6A">
        <w:rPr>
          <w:rStyle w:val="st"/>
          <w:rFonts w:cs="Arial"/>
          <w:color w:val="222222"/>
          <w:sz w:val="22"/>
          <w:szCs w:val="22"/>
        </w:rPr>
        <w:t xml:space="preserve">iště odpovědnosti na zadavatele, tedy </w:t>
      </w:r>
      <w:r w:rsidR="002F2915">
        <w:rPr>
          <w:rStyle w:val="st"/>
          <w:rFonts w:cs="Arial"/>
          <w:color w:val="222222"/>
          <w:sz w:val="22"/>
          <w:szCs w:val="22"/>
        </w:rPr>
        <w:t xml:space="preserve">na </w:t>
      </w:r>
      <w:r w:rsidR="007C1B6A">
        <w:rPr>
          <w:rStyle w:val="st"/>
          <w:rFonts w:cs="Arial"/>
          <w:color w:val="222222"/>
          <w:sz w:val="22"/>
          <w:szCs w:val="22"/>
        </w:rPr>
        <w:t>MO a</w:t>
      </w:r>
      <w:r w:rsidR="002F2915">
        <w:rPr>
          <w:rStyle w:val="st"/>
          <w:rFonts w:cs="Arial"/>
          <w:color w:val="222222"/>
          <w:sz w:val="22"/>
          <w:szCs w:val="22"/>
        </w:rPr>
        <w:t> </w:t>
      </w:r>
      <w:r w:rsidR="007C1B6A">
        <w:rPr>
          <w:rStyle w:val="st"/>
          <w:rFonts w:cs="Arial"/>
          <w:color w:val="222222"/>
          <w:sz w:val="22"/>
          <w:szCs w:val="22"/>
        </w:rPr>
        <w:t xml:space="preserve">MV. </w:t>
      </w:r>
      <w:r w:rsidR="007C1B6A" w:rsidRPr="007C66B7">
        <w:rPr>
          <w:b/>
          <w:sz w:val="22"/>
          <w:szCs w:val="22"/>
        </w:rPr>
        <w:t>MPO</w:t>
      </w:r>
      <w:r w:rsidR="002E6532" w:rsidRPr="007C66B7">
        <w:rPr>
          <w:b/>
          <w:sz w:val="22"/>
          <w:szCs w:val="22"/>
        </w:rPr>
        <w:t xml:space="preserve"> </w:t>
      </w:r>
      <w:r w:rsidR="007C1B6A" w:rsidRPr="007C66B7">
        <w:rPr>
          <w:b/>
          <w:sz w:val="22"/>
          <w:szCs w:val="22"/>
        </w:rPr>
        <w:t xml:space="preserve">jako klíčový ústřední orgán státní správy nemělo pod kontrolou a ani </w:t>
      </w:r>
      <w:r w:rsidR="007C1B6A" w:rsidRPr="007C66B7">
        <w:rPr>
          <w:b/>
          <w:sz w:val="22"/>
          <w:szCs w:val="22"/>
        </w:rPr>
        <w:lastRenderedPageBreak/>
        <w:t xml:space="preserve">nemohlo efektivně ovlivnit směřování offsetů do oblastí, </w:t>
      </w:r>
      <w:r w:rsidR="002F2915">
        <w:rPr>
          <w:b/>
          <w:sz w:val="22"/>
          <w:szCs w:val="22"/>
        </w:rPr>
        <w:t>jež jsou pro</w:t>
      </w:r>
      <w:r w:rsidR="007C1B6A" w:rsidRPr="007C66B7">
        <w:rPr>
          <w:b/>
          <w:sz w:val="22"/>
          <w:szCs w:val="22"/>
        </w:rPr>
        <w:t xml:space="preserve"> Česk</w:t>
      </w:r>
      <w:r w:rsidR="002F2915">
        <w:rPr>
          <w:b/>
          <w:sz w:val="22"/>
          <w:szCs w:val="22"/>
        </w:rPr>
        <w:t>ou</w:t>
      </w:r>
      <w:r w:rsidR="007C1B6A" w:rsidRPr="007C66B7">
        <w:rPr>
          <w:b/>
          <w:sz w:val="22"/>
          <w:szCs w:val="22"/>
        </w:rPr>
        <w:t xml:space="preserve"> republik</w:t>
      </w:r>
      <w:r w:rsidR="002F2915">
        <w:rPr>
          <w:b/>
          <w:sz w:val="22"/>
          <w:szCs w:val="22"/>
        </w:rPr>
        <w:t>u</w:t>
      </w:r>
      <w:r w:rsidR="007C1B6A" w:rsidRPr="007C66B7">
        <w:rPr>
          <w:b/>
          <w:sz w:val="22"/>
          <w:szCs w:val="22"/>
        </w:rPr>
        <w:t xml:space="preserve"> prioritní.</w:t>
      </w:r>
    </w:p>
    <w:p w14:paraId="03873933" w14:textId="77777777" w:rsidR="005F0E6A" w:rsidRDefault="005F0E6A" w:rsidP="00AD3061">
      <w:pPr>
        <w:jc w:val="both"/>
        <w:rPr>
          <w:sz w:val="22"/>
          <w:szCs w:val="22"/>
        </w:rPr>
      </w:pPr>
    </w:p>
    <w:p w14:paraId="3F25ACBF" w14:textId="65913D4F" w:rsidR="003D0AF1" w:rsidRDefault="008430F1" w:rsidP="00AD3061">
      <w:pPr>
        <w:jc w:val="both"/>
        <w:rPr>
          <w:sz w:val="22"/>
          <w:szCs w:val="22"/>
          <w:lang w:eastAsia="en-US"/>
        </w:rPr>
      </w:pPr>
      <w:r w:rsidRPr="000B1374">
        <w:rPr>
          <w:sz w:val="22"/>
          <w:szCs w:val="22"/>
        </w:rPr>
        <w:t>V ČR bylo realizováno v letech 1998 až 2012 celkem 11 offset</w:t>
      </w:r>
      <w:r w:rsidR="009B6CB8">
        <w:rPr>
          <w:sz w:val="22"/>
          <w:szCs w:val="22"/>
        </w:rPr>
        <w:t>ových programů</w:t>
      </w:r>
      <w:r w:rsidRPr="000B1374">
        <w:rPr>
          <w:sz w:val="22"/>
          <w:szCs w:val="22"/>
        </w:rPr>
        <w:t xml:space="preserve"> (8 </w:t>
      </w:r>
      <w:r w:rsidR="003D0AF1">
        <w:rPr>
          <w:sz w:val="22"/>
          <w:szCs w:val="22"/>
        </w:rPr>
        <w:t>u</w:t>
      </w:r>
      <w:r w:rsidRPr="000B1374">
        <w:rPr>
          <w:sz w:val="22"/>
          <w:szCs w:val="22"/>
        </w:rPr>
        <w:t xml:space="preserve"> MO, 2</w:t>
      </w:r>
      <w:r w:rsidR="0001442A">
        <w:rPr>
          <w:sz w:val="22"/>
          <w:szCs w:val="22"/>
        </w:rPr>
        <w:t> </w:t>
      </w:r>
      <w:r w:rsidR="003D0AF1">
        <w:rPr>
          <w:sz w:val="22"/>
          <w:szCs w:val="22"/>
        </w:rPr>
        <w:t>u</w:t>
      </w:r>
      <w:r w:rsidR="0001442A">
        <w:rPr>
          <w:sz w:val="22"/>
          <w:szCs w:val="22"/>
        </w:rPr>
        <w:t> </w:t>
      </w:r>
      <w:r w:rsidRPr="000B1374">
        <w:rPr>
          <w:sz w:val="22"/>
          <w:szCs w:val="22"/>
        </w:rPr>
        <w:t xml:space="preserve">MV a 1 </w:t>
      </w:r>
      <w:r w:rsidR="003D0AF1">
        <w:rPr>
          <w:sz w:val="22"/>
          <w:szCs w:val="22"/>
        </w:rPr>
        <w:t>u</w:t>
      </w:r>
      <w:r w:rsidRPr="000B1374">
        <w:rPr>
          <w:sz w:val="22"/>
          <w:szCs w:val="22"/>
        </w:rPr>
        <w:t xml:space="preserve"> ČD</w:t>
      </w:r>
      <w:r w:rsidR="002F2915">
        <w:rPr>
          <w:sz w:val="22"/>
          <w:szCs w:val="22"/>
        </w:rPr>
        <w:t>,</w:t>
      </w:r>
      <w:r w:rsidRPr="000B1374">
        <w:rPr>
          <w:sz w:val="22"/>
          <w:szCs w:val="22"/>
        </w:rPr>
        <w:t xml:space="preserve"> s.o.). Kontrole bylo podrobeno 10 </w:t>
      </w:r>
      <w:r w:rsidR="009B6CB8">
        <w:rPr>
          <w:sz w:val="22"/>
          <w:szCs w:val="22"/>
        </w:rPr>
        <w:t xml:space="preserve">programů </w:t>
      </w:r>
      <w:r w:rsidR="003D0AF1">
        <w:rPr>
          <w:sz w:val="22"/>
          <w:szCs w:val="22"/>
        </w:rPr>
        <w:t>u</w:t>
      </w:r>
      <w:r w:rsidRPr="000B1374">
        <w:rPr>
          <w:sz w:val="22"/>
          <w:szCs w:val="22"/>
        </w:rPr>
        <w:t xml:space="preserve"> MO a MV.</w:t>
      </w:r>
      <w:r w:rsidR="006E29AB" w:rsidRPr="000B1374">
        <w:rPr>
          <w:sz w:val="22"/>
          <w:szCs w:val="22"/>
        </w:rPr>
        <w:t xml:space="preserve"> </w:t>
      </w:r>
      <w:r w:rsidRPr="000B1374">
        <w:rPr>
          <w:sz w:val="22"/>
          <w:szCs w:val="22"/>
          <w:lang w:eastAsia="en-US"/>
        </w:rPr>
        <w:t>Celková hodnota offsetových závazků</w:t>
      </w:r>
      <w:r w:rsidRPr="000B1374">
        <w:rPr>
          <w:rStyle w:val="Znakapoznpodarou"/>
          <w:sz w:val="22"/>
          <w:szCs w:val="22"/>
          <w:lang w:eastAsia="en-US"/>
        </w:rPr>
        <w:footnoteReference w:id="41"/>
      </w:r>
      <w:r w:rsidRPr="000B1374">
        <w:rPr>
          <w:sz w:val="22"/>
          <w:szCs w:val="22"/>
          <w:lang w:eastAsia="en-US"/>
        </w:rPr>
        <w:t xml:space="preserve"> činila 57 413 mil. Kč, z toho MV a MO uzna</w:t>
      </w:r>
      <w:r w:rsidR="002F2915">
        <w:rPr>
          <w:sz w:val="22"/>
          <w:szCs w:val="22"/>
          <w:lang w:eastAsia="en-US"/>
        </w:rPr>
        <w:t>ly</w:t>
      </w:r>
      <w:r w:rsidRPr="000B1374">
        <w:rPr>
          <w:sz w:val="22"/>
          <w:szCs w:val="22"/>
          <w:lang w:eastAsia="en-US"/>
        </w:rPr>
        <w:t xml:space="preserve"> hodnot</w:t>
      </w:r>
      <w:r w:rsidR="002F2915">
        <w:rPr>
          <w:sz w:val="22"/>
          <w:szCs w:val="22"/>
          <w:lang w:eastAsia="en-US"/>
        </w:rPr>
        <w:t>u</w:t>
      </w:r>
      <w:r w:rsidRPr="000B1374">
        <w:rPr>
          <w:sz w:val="22"/>
          <w:szCs w:val="22"/>
          <w:lang w:eastAsia="en-US"/>
        </w:rPr>
        <w:t xml:space="preserve"> plnění </w:t>
      </w:r>
      <w:r w:rsidR="00BB1C24">
        <w:rPr>
          <w:sz w:val="22"/>
          <w:szCs w:val="22"/>
          <w:lang w:eastAsia="en-US"/>
        </w:rPr>
        <w:t>ve</w:t>
      </w:r>
      <w:r w:rsidR="002F2915">
        <w:rPr>
          <w:sz w:val="22"/>
          <w:szCs w:val="22"/>
          <w:lang w:eastAsia="en-US"/>
        </w:rPr>
        <w:t xml:space="preserve"> výši</w:t>
      </w:r>
      <w:r w:rsidRPr="000B1374">
        <w:rPr>
          <w:sz w:val="22"/>
          <w:szCs w:val="22"/>
          <w:lang w:eastAsia="en-US"/>
        </w:rPr>
        <w:t xml:space="preserve"> 42</w:t>
      </w:r>
      <w:r w:rsidR="00BB1C24">
        <w:rPr>
          <w:sz w:val="22"/>
          <w:szCs w:val="22"/>
          <w:lang w:eastAsia="en-US"/>
        </w:rPr>
        <w:t> </w:t>
      </w:r>
      <w:r w:rsidRPr="000B1374">
        <w:rPr>
          <w:sz w:val="22"/>
          <w:szCs w:val="22"/>
          <w:lang w:eastAsia="en-US"/>
        </w:rPr>
        <w:t>831</w:t>
      </w:r>
      <w:r w:rsidR="00BB1C24">
        <w:rPr>
          <w:sz w:val="22"/>
          <w:szCs w:val="22"/>
          <w:lang w:eastAsia="en-US"/>
        </w:rPr>
        <w:t> </w:t>
      </w:r>
      <w:r w:rsidRPr="000B1374">
        <w:rPr>
          <w:sz w:val="22"/>
          <w:szCs w:val="22"/>
          <w:lang w:eastAsia="en-US"/>
        </w:rPr>
        <w:t>mil.</w:t>
      </w:r>
      <w:r w:rsidR="00BB1C24">
        <w:rPr>
          <w:sz w:val="22"/>
          <w:szCs w:val="22"/>
          <w:lang w:eastAsia="en-US"/>
        </w:rPr>
        <w:t> </w:t>
      </w:r>
      <w:r w:rsidRPr="000B1374">
        <w:rPr>
          <w:sz w:val="22"/>
          <w:szCs w:val="22"/>
          <w:lang w:eastAsia="en-US"/>
        </w:rPr>
        <w:t>Kč</w:t>
      </w:r>
      <w:r w:rsidR="00F57F22">
        <w:rPr>
          <w:sz w:val="22"/>
          <w:szCs w:val="22"/>
          <w:lang w:eastAsia="en-US"/>
        </w:rPr>
        <w:t>,</w:t>
      </w:r>
      <w:r w:rsidRPr="000B1374">
        <w:rPr>
          <w:sz w:val="22"/>
          <w:szCs w:val="22"/>
          <w:lang w:eastAsia="en-US"/>
        </w:rPr>
        <w:t xml:space="preserve"> </w:t>
      </w:r>
      <w:r w:rsidR="00F57F22">
        <w:rPr>
          <w:sz w:val="22"/>
          <w:szCs w:val="22"/>
          <w:lang w:eastAsia="en-US"/>
        </w:rPr>
        <w:t xml:space="preserve">přičemž přibližně </w:t>
      </w:r>
      <w:r w:rsidR="001C3BE2" w:rsidRPr="009D5AEB">
        <w:rPr>
          <w:sz w:val="22"/>
          <w:szCs w:val="22"/>
          <w:lang w:eastAsia="en-US"/>
        </w:rPr>
        <w:t>38</w:t>
      </w:r>
      <w:r w:rsidR="00F57F22" w:rsidRPr="00C04A13">
        <w:rPr>
          <w:sz w:val="22"/>
          <w:szCs w:val="22"/>
          <w:lang w:eastAsia="en-US"/>
        </w:rPr>
        <w:t xml:space="preserve"> %</w:t>
      </w:r>
      <w:r w:rsidR="00F57F22">
        <w:rPr>
          <w:sz w:val="22"/>
          <w:szCs w:val="22"/>
          <w:lang w:eastAsia="en-US"/>
        </w:rPr>
        <w:t xml:space="preserve"> této hodnoty bylo naplněno předoffsety.</w:t>
      </w:r>
      <w:r w:rsidR="006E29AB" w:rsidRPr="000B1374">
        <w:rPr>
          <w:sz w:val="22"/>
          <w:szCs w:val="22"/>
          <w:lang w:eastAsia="en-US"/>
        </w:rPr>
        <w:t xml:space="preserve"> </w:t>
      </w:r>
    </w:p>
    <w:p w14:paraId="75AA0B77" w14:textId="77777777" w:rsidR="005F0E6A" w:rsidRDefault="005F0E6A" w:rsidP="00AD3061">
      <w:pPr>
        <w:jc w:val="both"/>
        <w:rPr>
          <w:sz w:val="22"/>
          <w:szCs w:val="22"/>
          <w:lang w:eastAsia="en-US"/>
        </w:rPr>
      </w:pPr>
    </w:p>
    <w:p w14:paraId="3F25ACC0" w14:textId="697A915A" w:rsidR="009B6CB8" w:rsidRDefault="009B6CB8" w:rsidP="00AD3061">
      <w:pPr>
        <w:jc w:val="both"/>
        <w:rPr>
          <w:sz w:val="22"/>
          <w:szCs w:val="22"/>
          <w:lang w:eastAsia="en-US"/>
        </w:rPr>
      </w:pPr>
      <w:r>
        <w:rPr>
          <w:sz w:val="22"/>
          <w:szCs w:val="22"/>
          <w:lang w:eastAsia="en-US"/>
        </w:rPr>
        <w:t>MV a MO nezajistil</w:t>
      </w:r>
      <w:r w:rsidR="002F2915">
        <w:rPr>
          <w:sz w:val="22"/>
          <w:szCs w:val="22"/>
          <w:lang w:eastAsia="en-US"/>
        </w:rPr>
        <w:t>y</w:t>
      </w:r>
      <w:r>
        <w:rPr>
          <w:sz w:val="22"/>
          <w:szCs w:val="22"/>
          <w:lang w:eastAsia="en-US"/>
        </w:rPr>
        <w:t xml:space="preserve"> úpravu výše offsetových závazků, která měla odpovídat navýšené hodnotě zahraničních dodávek a služeb na základě uzavřených smluv a dodatků. NKÚ </w:t>
      </w:r>
      <w:r w:rsidR="00BB1C24">
        <w:rPr>
          <w:sz w:val="22"/>
          <w:szCs w:val="22"/>
          <w:lang w:eastAsia="en-US"/>
        </w:rPr>
        <w:t>zjistil</w:t>
      </w:r>
      <w:r>
        <w:rPr>
          <w:sz w:val="22"/>
          <w:szCs w:val="22"/>
          <w:lang w:eastAsia="en-US"/>
        </w:rPr>
        <w:t xml:space="preserve"> celkov</w:t>
      </w:r>
      <w:r w:rsidR="00BB1C24">
        <w:rPr>
          <w:sz w:val="22"/>
          <w:szCs w:val="22"/>
          <w:lang w:eastAsia="en-US"/>
        </w:rPr>
        <w:t>ou</w:t>
      </w:r>
      <w:r>
        <w:rPr>
          <w:sz w:val="22"/>
          <w:szCs w:val="22"/>
          <w:lang w:eastAsia="en-US"/>
        </w:rPr>
        <w:t xml:space="preserve"> hodnot</w:t>
      </w:r>
      <w:r w:rsidR="00BB1C24">
        <w:rPr>
          <w:sz w:val="22"/>
          <w:szCs w:val="22"/>
          <w:lang w:eastAsia="en-US"/>
        </w:rPr>
        <w:t>u</w:t>
      </w:r>
      <w:r>
        <w:rPr>
          <w:sz w:val="22"/>
          <w:szCs w:val="22"/>
          <w:lang w:eastAsia="en-US"/>
        </w:rPr>
        <w:t xml:space="preserve"> zahraničních dodávek a služeb nezajištěných offsetovými závazky </w:t>
      </w:r>
      <w:r w:rsidR="00BB1C24">
        <w:rPr>
          <w:sz w:val="22"/>
          <w:szCs w:val="22"/>
          <w:lang w:eastAsia="en-US"/>
        </w:rPr>
        <w:t>ve výši</w:t>
      </w:r>
      <w:r>
        <w:rPr>
          <w:sz w:val="22"/>
          <w:szCs w:val="22"/>
          <w:lang w:eastAsia="en-US"/>
        </w:rPr>
        <w:t xml:space="preserve"> přibližně </w:t>
      </w:r>
      <w:r w:rsidRPr="007C66B7">
        <w:rPr>
          <w:b/>
          <w:sz w:val="22"/>
          <w:szCs w:val="22"/>
          <w:lang w:eastAsia="en-US"/>
        </w:rPr>
        <w:t>1 017,9 mil. Kč</w:t>
      </w:r>
      <w:r w:rsidRPr="00AD3061">
        <w:rPr>
          <w:b/>
          <w:sz w:val="22"/>
          <w:szCs w:val="22"/>
          <w:lang w:eastAsia="en-US"/>
        </w:rPr>
        <w:t>.</w:t>
      </w:r>
      <w:r w:rsidRPr="00F958A3">
        <w:rPr>
          <w:sz w:val="22"/>
          <w:szCs w:val="22"/>
          <w:lang w:eastAsia="en-US"/>
        </w:rPr>
        <w:t xml:space="preserve"> </w:t>
      </w:r>
      <w:r>
        <w:rPr>
          <w:sz w:val="22"/>
          <w:szCs w:val="22"/>
          <w:lang w:eastAsia="en-US"/>
        </w:rPr>
        <w:t xml:space="preserve">Dále </w:t>
      </w:r>
      <w:r w:rsidRPr="000B1374">
        <w:rPr>
          <w:sz w:val="22"/>
          <w:szCs w:val="22"/>
          <w:lang w:eastAsia="en-US"/>
        </w:rPr>
        <w:t xml:space="preserve">NKÚ zpochybňuje </w:t>
      </w:r>
      <w:r>
        <w:rPr>
          <w:sz w:val="22"/>
          <w:szCs w:val="22"/>
          <w:lang w:eastAsia="en-US"/>
        </w:rPr>
        <w:t xml:space="preserve">správnost </w:t>
      </w:r>
      <w:r w:rsidRPr="000B1374">
        <w:rPr>
          <w:sz w:val="22"/>
          <w:szCs w:val="22"/>
          <w:lang w:eastAsia="en-US"/>
        </w:rPr>
        <w:t xml:space="preserve">uznání </w:t>
      </w:r>
      <w:r>
        <w:rPr>
          <w:sz w:val="22"/>
          <w:szCs w:val="22"/>
          <w:lang w:eastAsia="en-US"/>
        </w:rPr>
        <w:t>plnění offsetových programů ve</w:t>
      </w:r>
      <w:r w:rsidR="00BB1C24">
        <w:rPr>
          <w:sz w:val="22"/>
          <w:szCs w:val="22"/>
          <w:lang w:eastAsia="en-US"/>
        </w:rPr>
        <w:t xml:space="preserve"> </w:t>
      </w:r>
      <w:r>
        <w:rPr>
          <w:sz w:val="22"/>
          <w:szCs w:val="22"/>
          <w:lang w:eastAsia="en-US"/>
        </w:rPr>
        <w:t xml:space="preserve">výši </w:t>
      </w:r>
      <w:r w:rsidRPr="003F7F9D">
        <w:rPr>
          <w:sz w:val="22"/>
          <w:szCs w:val="22"/>
          <w:lang w:eastAsia="en-US"/>
        </w:rPr>
        <w:t xml:space="preserve">nejméně </w:t>
      </w:r>
      <w:r w:rsidR="003F7F9D" w:rsidRPr="007C66B7">
        <w:rPr>
          <w:rFonts w:cs="Arial"/>
          <w:b/>
          <w:color w:val="000000"/>
          <w:sz w:val="22"/>
          <w:szCs w:val="22"/>
        </w:rPr>
        <w:t>1 146,2</w:t>
      </w:r>
      <w:r w:rsidR="00625B8C" w:rsidRPr="007C66B7">
        <w:rPr>
          <w:rFonts w:cs="Arial"/>
          <w:b/>
          <w:color w:val="000000"/>
          <w:sz w:val="22"/>
          <w:szCs w:val="22"/>
        </w:rPr>
        <w:t xml:space="preserve"> </w:t>
      </w:r>
      <w:r w:rsidRPr="007C66B7">
        <w:rPr>
          <w:b/>
          <w:sz w:val="22"/>
          <w:szCs w:val="22"/>
          <w:lang w:eastAsia="en-US"/>
        </w:rPr>
        <w:t>mil. Kč</w:t>
      </w:r>
      <w:r w:rsidRPr="00AD3061">
        <w:rPr>
          <w:b/>
          <w:sz w:val="22"/>
          <w:szCs w:val="22"/>
          <w:lang w:eastAsia="en-US"/>
        </w:rPr>
        <w:t>.</w:t>
      </w:r>
      <w:r w:rsidRPr="000B1374">
        <w:rPr>
          <w:sz w:val="22"/>
          <w:szCs w:val="22"/>
          <w:lang w:eastAsia="en-US"/>
        </w:rPr>
        <w:t xml:space="preserve"> </w:t>
      </w:r>
    </w:p>
    <w:p w14:paraId="1786C3B0" w14:textId="77777777" w:rsidR="005F0E6A" w:rsidRDefault="005F0E6A" w:rsidP="00AD3061">
      <w:pPr>
        <w:jc w:val="both"/>
        <w:rPr>
          <w:rStyle w:val="st"/>
          <w:rFonts w:cs="Arial"/>
          <w:color w:val="222222"/>
          <w:sz w:val="22"/>
          <w:szCs w:val="22"/>
        </w:rPr>
      </w:pPr>
    </w:p>
    <w:p w14:paraId="3F25ACC1" w14:textId="576C907E" w:rsidR="00D61401" w:rsidRDefault="00D61401" w:rsidP="00AD3061">
      <w:pPr>
        <w:jc w:val="both"/>
        <w:rPr>
          <w:rStyle w:val="st"/>
          <w:rFonts w:cs="Arial"/>
          <w:color w:val="222222"/>
          <w:sz w:val="22"/>
          <w:szCs w:val="22"/>
        </w:rPr>
      </w:pPr>
      <w:r w:rsidRPr="00707F5B">
        <w:rPr>
          <w:rStyle w:val="st"/>
          <w:rFonts w:cs="Arial"/>
          <w:color w:val="222222"/>
          <w:sz w:val="22"/>
          <w:szCs w:val="22"/>
        </w:rPr>
        <w:t xml:space="preserve">MO a MV </w:t>
      </w:r>
      <w:r w:rsidR="00D920E5">
        <w:rPr>
          <w:rStyle w:val="st"/>
          <w:rFonts w:cs="Arial"/>
          <w:color w:val="222222"/>
          <w:sz w:val="22"/>
          <w:szCs w:val="22"/>
        </w:rPr>
        <w:t>k </w:t>
      </w:r>
      <w:r w:rsidRPr="00707F5B">
        <w:rPr>
          <w:rStyle w:val="st"/>
          <w:rFonts w:cs="Arial"/>
          <w:color w:val="222222"/>
          <w:sz w:val="22"/>
          <w:szCs w:val="22"/>
        </w:rPr>
        <w:t>plnění offsetových povinností přistupoval</w:t>
      </w:r>
      <w:r w:rsidR="00BB1C24">
        <w:rPr>
          <w:rStyle w:val="st"/>
          <w:rFonts w:cs="Arial"/>
          <w:color w:val="222222"/>
          <w:sz w:val="22"/>
          <w:szCs w:val="22"/>
        </w:rPr>
        <w:t>y</w:t>
      </w:r>
      <w:r w:rsidRPr="00707F5B">
        <w:rPr>
          <w:rStyle w:val="st"/>
          <w:rFonts w:cs="Arial"/>
          <w:color w:val="222222"/>
          <w:sz w:val="22"/>
          <w:szCs w:val="22"/>
        </w:rPr>
        <w:t xml:space="preserve"> </w:t>
      </w:r>
      <w:r w:rsidR="00CE5C40">
        <w:rPr>
          <w:rStyle w:val="st"/>
          <w:rFonts w:cs="Arial"/>
          <w:color w:val="222222"/>
          <w:sz w:val="22"/>
          <w:szCs w:val="22"/>
        </w:rPr>
        <w:t xml:space="preserve">zejména </w:t>
      </w:r>
      <w:r w:rsidRPr="00707F5B">
        <w:rPr>
          <w:rStyle w:val="st"/>
          <w:rFonts w:cs="Arial"/>
          <w:color w:val="222222"/>
          <w:sz w:val="22"/>
          <w:szCs w:val="22"/>
        </w:rPr>
        <w:t xml:space="preserve">na základě příslušných usnesení vlády. </w:t>
      </w:r>
      <w:r w:rsidRPr="007C66B7">
        <w:rPr>
          <w:rStyle w:val="st"/>
          <w:rFonts w:cs="Arial"/>
          <w:b/>
          <w:color w:val="222222"/>
          <w:sz w:val="22"/>
          <w:szCs w:val="22"/>
        </w:rPr>
        <w:t xml:space="preserve">Pravidla offsetové politiky, která představují interní normativní </w:t>
      </w:r>
      <w:r w:rsidR="00BB1C24">
        <w:rPr>
          <w:rStyle w:val="st"/>
          <w:rFonts w:cs="Arial"/>
          <w:b/>
          <w:color w:val="222222"/>
          <w:sz w:val="22"/>
          <w:szCs w:val="22"/>
        </w:rPr>
        <w:t>předpisy</w:t>
      </w:r>
      <w:r w:rsidRPr="007C66B7">
        <w:rPr>
          <w:rStyle w:val="st"/>
          <w:rFonts w:cs="Arial"/>
          <w:b/>
          <w:color w:val="222222"/>
          <w:sz w:val="22"/>
          <w:szCs w:val="22"/>
        </w:rPr>
        <w:t xml:space="preserve"> MPO, nemohla spolu se Zásadami účinně nahradit neexistující právní rámec offsetové politiky.</w:t>
      </w:r>
      <w:r w:rsidRPr="00707F5B">
        <w:rPr>
          <w:rStyle w:val="st"/>
          <w:rFonts w:cs="Arial"/>
          <w:color w:val="222222"/>
          <w:sz w:val="22"/>
          <w:szCs w:val="22"/>
        </w:rPr>
        <w:t xml:space="preserve"> Důsledkem je například skutečnost, že zahraniční smluvní strana </w:t>
      </w:r>
      <w:r w:rsidR="00D920E5">
        <w:rPr>
          <w:rStyle w:val="st"/>
          <w:rFonts w:cs="Arial"/>
          <w:color w:val="222222"/>
          <w:sz w:val="22"/>
          <w:szCs w:val="22"/>
        </w:rPr>
        <w:t>v </w:t>
      </w:r>
      <w:r w:rsidRPr="00707F5B">
        <w:rPr>
          <w:rStyle w:val="st"/>
          <w:rFonts w:cs="Arial"/>
          <w:color w:val="222222"/>
          <w:sz w:val="22"/>
          <w:szCs w:val="22"/>
        </w:rPr>
        <w:t xml:space="preserve">offsetové dohodě PPS GRIPEN nepřistoupila na výslovné použití Zásad nebo Pravidel, </w:t>
      </w:r>
      <w:r w:rsidR="00BB1C24">
        <w:rPr>
          <w:rStyle w:val="st"/>
          <w:rFonts w:cs="Arial"/>
          <w:color w:val="222222"/>
          <w:sz w:val="22"/>
          <w:szCs w:val="22"/>
        </w:rPr>
        <w:t xml:space="preserve">v důsledku čehož nedošlo </w:t>
      </w:r>
      <w:r w:rsidR="00BB1C24" w:rsidRPr="00707F5B">
        <w:rPr>
          <w:rStyle w:val="st"/>
          <w:rFonts w:cs="Arial"/>
          <w:color w:val="222222"/>
          <w:sz w:val="22"/>
          <w:szCs w:val="22"/>
        </w:rPr>
        <w:t>v</w:t>
      </w:r>
      <w:r w:rsidR="00BB1C24">
        <w:rPr>
          <w:rStyle w:val="st"/>
          <w:rFonts w:cs="Arial"/>
          <w:color w:val="222222"/>
          <w:sz w:val="22"/>
          <w:szCs w:val="22"/>
        </w:rPr>
        <w:t> příslušné offsetové dohodě k </w:t>
      </w:r>
      <w:r w:rsidR="00BB1C24" w:rsidRPr="00707F5B">
        <w:rPr>
          <w:rStyle w:val="st"/>
          <w:rFonts w:cs="Arial"/>
          <w:color w:val="222222"/>
          <w:sz w:val="22"/>
          <w:szCs w:val="22"/>
        </w:rPr>
        <w:t>jednoznačn</w:t>
      </w:r>
      <w:r w:rsidR="00BB1C24">
        <w:rPr>
          <w:rStyle w:val="st"/>
          <w:rFonts w:cs="Arial"/>
          <w:color w:val="222222"/>
          <w:sz w:val="22"/>
          <w:szCs w:val="22"/>
        </w:rPr>
        <w:t>ému</w:t>
      </w:r>
      <w:r w:rsidR="00BB1C24" w:rsidRPr="00707F5B">
        <w:rPr>
          <w:rStyle w:val="st"/>
          <w:rFonts w:cs="Arial"/>
          <w:color w:val="222222"/>
          <w:sz w:val="22"/>
          <w:szCs w:val="22"/>
        </w:rPr>
        <w:t xml:space="preserve"> vymez</w:t>
      </w:r>
      <w:r w:rsidR="00BB1C24">
        <w:rPr>
          <w:rStyle w:val="st"/>
          <w:rFonts w:cs="Arial"/>
          <w:color w:val="222222"/>
          <w:sz w:val="22"/>
          <w:szCs w:val="22"/>
        </w:rPr>
        <w:t>ení</w:t>
      </w:r>
      <w:r w:rsidR="00BB1C24" w:rsidRPr="00707F5B">
        <w:rPr>
          <w:rStyle w:val="st"/>
          <w:rFonts w:cs="Arial"/>
          <w:color w:val="222222"/>
          <w:sz w:val="22"/>
          <w:szCs w:val="22"/>
        </w:rPr>
        <w:t xml:space="preserve"> práv a</w:t>
      </w:r>
      <w:r w:rsidR="00BB1C24">
        <w:rPr>
          <w:rStyle w:val="st"/>
          <w:rFonts w:cs="Arial"/>
          <w:color w:val="222222"/>
          <w:sz w:val="22"/>
          <w:szCs w:val="22"/>
        </w:rPr>
        <w:t> povinností</w:t>
      </w:r>
      <w:r w:rsidR="00BB1C24" w:rsidRPr="00707F5B">
        <w:rPr>
          <w:rStyle w:val="st"/>
          <w:rFonts w:cs="Arial"/>
          <w:color w:val="222222"/>
          <w:sz w:val="22"/>
          <w:szCs w:val="22"/>
        </w:rPr>
        <w:t xml:space="preserve"> OFK</w:t>
      </w:r>
      <w:r w:rsidR="00BB1C24">
        <w:rPr>
          <w:rStyle w:val="st"/>
          <w:rFonts w:cs="Arial"/>
          <w:color w:val="222222"/>
          <w:sz w:val="22"/>
          <w:szCs w:val="22"/>
        </w:rPr>
        <w:t>.</w:t>
      </w:r>
    </w:p>
    <w:p w14:paraId="280E04F1" w14:textId="77777777" w:rsidR="005F0E6A" w:rsidRDefault="005F0E6A" w:rsidP="007B3454">
      <w:pPr>
        <w:jc w:val="both"/>
        <w:rPr>
          <w:sz w:val="22"/>
          <w:szCs w:val="22"/>
        </w:rPr>
      </w:pPr>
    </w:p>
    <w:p w14:paraId="3F25ACC2" w14:textId="6A1CBC38" w:rsidR="00096853" w:rsidRDefault="00096853" w:rsidP="007B3454">
      <w:pPr>
        <w:jc w:val="both"/>
        <w:rPr>
          <w:rFonts w:cs="Arial"/>
          <w:bCs/>
          <w:sz w:val="22"/>
          <w:szCs w:val="22"/>
        </w:rPr>
      </w:pPr>
      <w:r w:rsidRPr="00707F5B">
        <w:rPr>
          <w:sz w:val="22"/>
          <w:szCs w:val="22"/>
        </w:rPr>
        <w:t>Za celou dobu uplatňování offsetové politiky nebyly provedeny žádné analýzy, na jejichž základě by bylo možné zjistit možnosti a kapacity českého průmyslu zejména ve vazbě na potenciál přímých offse</w:t>
      </w:r>
      <w:r>
        <w:rPr>
          <w:sz w:val="22"/>
          <w:szCs w:val="22"/>
        </w:rPr>
        <w:t xml:space="preserve">tů. Tyto činnosti byly </w:t>
      </w:r>
      <w:r w:rsidRPr="00707F5B">
        <w:rPr>
          <w:sz w:val="22"/>
          <w:szCs w:val="22"/>
        </w:rPr>
        <w:t xml:space="preserve">závislé na iniciativě nositelů offsetových závazků bez patřičné snahy státu získat maximální přidanou hodnotu z těchto </w:t>
      </w:r>
      <w:r>
        <w:rPr>
          <w:sz w:val="22"/>
          <w:szCs w:val="22"/>
        </w:rPr>
        <w:t xml:space="preserve">offsetových </w:t>
      </w:r>
      <w:r w:rsidRPr="00707F5B">
        <w:rPr>
          <w:sz w:val="22"/>
          <w:szCs w:val="22"/>
        </w:rPr>
        <w:t>transakcí.</w:t>
      </w:r>
      <w:r>
        <w:rPr>
          <w:sz w:val="22"/>
          <w:szCs w:val="22"/>
        </w:rPr>
        <w:t xml:space="preserve"> </w:t>
      </w:r>
      <w:r w:rsidRPr="007C66B7">
        <w:rPr>
          <w:rFonts w:cs="Arial"/>
          <w:b/>
          <w:bCs/>
          <w:sz w:val="22"/>
          <w:szCs w:val="22"/>
        </w:rPr>
        <w:t xml:space="preserve">Žádný efektivní způsob použití stimulů, který by motivoval k podávání návrhů </w:t>
      </w:r>
      <w:r w:rsidRPr="00E75CA0">
        <w:rPr>
          <w:rFonts w:cs="Arial"/>
          <w:b/>
          <w:bCs/>
          <w:spacing w:val="-2"/>
          <w:sz w:val="22"/>
          <w:szCs w:val="22"/>
        </w:rPr>
        <w:t>of</w:t>
      </w:r>
      <w:r w:rsidR="00BB1C24" w:rsidRPr="00E75CA0">
        <w:rPr>
          <w:rFonts w:cs="Arial"/>
          <w:b/>
          <w:bCs/>
          <w:spacing w:val="-2"/>
          <w:sz w:val="22"/>
          <w:szCs w:val="22"/>
        </w:rPr>
        <w:t>f</w:t>
      </w:r>
      <w:r w:rsidRPr="00E75CA0">
        <w:rPr>
          <w:rFonts w:cs="Arial"/>
          <w:b/>
          <w:bCs/>
          <w:spacing w:val="-2"/>
          <w:sz w:val="22"/>
          <w:szCs w:val="22"/>
        </w:rPr>
        <w:t>setových transakcí s vysokým přínosem pro ČR, MPO nevytvořilo a</w:t>
      </w:r>
      <w:r w:rsidR="00BB1C24" w:rsidRPr="00E75CA0">
        <w:rPr>
          <w:rFonts w:cs="Arial"/>
          <w:b/>
          <w:bCs/>
          <w:spacing w:val="-2"/>
          <w:sz w:val="22"/>
          <w:szCs w:val="22"/>
        </w:rPr>
        <w:t>ni</w:t>
      </w:r>
      <w:r w:rsidRPr="00E75CA0">
        <w:rPr>
          <w:rFonts w:cs="Arial"/>
          <w:b/>
          <w:bCs/>
          <w:spacing w:val="-2"/>
          <w:sz w:val="22"/>
          <w:szCs w:val="22"/>
        </w:rPr>
        <w:t xml:space="preserve"> neuplatňovalo</w:t>
      </w:r>
      <w:r w:rsidRPr="007C66B7">
        <w:rPr>
          <w:rFonts w:cs="Arial"/>
          <w:b/>
          <w:bCs/>
          <w:sz w:val="22"/>
          <w:szCs w:val="22"/>
        </w:rPr>
        <w:t>.</w:t>
      </w:r>
    </w:p>
    <w:p w14:paraId="3CE04866" w14:textId="77777777" w:rsidR="005F0E6A" w:rsidRDefault="005F0E6A" w:rsidP="007B3454">
      <w:pPr>
        <w:jc w:val="both"/>
        <w:rPr>
          <w:sz w:val="22"/>
          <w:szCs w:val="22"/>
        </w:rPr>
      </w:pPr>
    </w:p>
    <w:p w14:paraId="3F25ACC3" w14:textId="77777777" w:rsidR="00096853" w:rsidRDefault="00096853" w:rsidP="007B3454">
      <w:pPr>
        <w:jc w:val="both"/>
        <w:rPr>
          <w:sz w:val="22"/>
          <w:szCs w:val="22"/>
        </w:rPr>
      </w:pPr>
      <w:r w:rsidRPr="00707F5B">
        <w:rPr>
          <w:sz w:val="22"/>
          <w:szCs w:val="22"/>
        </w:rPr>
        <w:t xml:space="preserve">Závažné nedostatky na úrovni přípravy a realizace většiny </w:t>
      </w:r>
      <w:r>
        <w:rPr>
          <w:sz w:val="22"/>
          <w:szCs w:val="22"/>
        </w:rPr>
        <w:t xml:space="preserve">offsetových programů </w:t>
      </w:r>
      <w:r w:rsidRPr="00707F5B">
        <w:rPr>
          <w:sz w:val="22"/>
          <w:szCs w:val="22"/>
        </w:rPr>
        <w:t>svědčí o</w:t>
      </w:r>
      <w:r>
        <w:rPr>
          <w:sz w:val="22"/>
          <w:szCs w:val="22"/>
        </w:rPr>
        <w:t> </w:t>
      </w:r>
      <w:r w:rsidRPr="00707F5B">
        <w:rPr>
          <w:sz w:val="22"/>
          <w:szCs w:val="22"/>
        </w:rPr>
        <w:t xml:space="preserve">nedostatečné koordinaci všech subjektů zapojených do uplatňování offsetové politiky. </w:t>
      </w:r>
    </w:p>
    <w:p w14:paraId="3F25ACC4" w14:textId="77777777" w:rsidR="00D61401" w:rsidRDefault="00D61401" w:rsidP="007B3454">
      <w:pPr>
        <w:jc w:val="both"/>
        <w:rPr>
          <w:rStyle w:val="st"/>
          <w:rFonts w:cs="Arial"/>
          <w:color w:val="222222"/>
          <w:sz w:val="22"/>
          <w:szCs w:val="22"/>
        </w:rPr>
      </w:pPr>
    </w:p>
    <w:p w14:paraId="03464966" w14:textId="77777777" w:rsidR="005F0E6A" w:rsidRDefault="005F0E6A" w:rsidP="007B3454">
      <w:pPr>
        <w:jc w:val="both"/>
        <w:rPr>
          <w:rStyle w:val="st"/>
          <w:rFonts w:cs="Arial"/>
          <w:color w:val="222222"/>
          <w:sz w:val="22"/>
          <w:szCs w:val="22"/>
        </w:rPr>
      </w:pPr>
    </w:p>
    <w:p w14:paraId="3F25ACC5" w14:textId="77777777" w:rsidR="00D61401" w:rsidRPr="007B3454" w:rsidRDefault="0001442A" w:rsidP="007B3454">
      <w:pPr>
        <w:ind w:left="360"/>
        <w:jc w:val="center"/>
        <w:rPr>
          <w:rStyle w:val="st"/>
          <w:rFonts w:cs="Arial"/>
          <w:b/>
          <w:color w:val="222222"/>
        </w:rPr>
      </w:pPr>
      <w:r w:rsidRPr="007B3454">
        <w:rPr>
          <w:rStyle w:val="st"/>
          <w:rFonts w:cs="Arial"/>
          <w:b/>
          <w:color w:val="222222"/>
        </w:rPr>
        <w:t xml:space="preserve">IV. </w:t>
      </w:r>
      <w:r w:rsidR="00EE375C" w:rsidRPr="007B3454">
        <w:rPr>
          <w:rStyle w:val="st"/>
          <w:rFonts w:cs="Arial"/>
          <w:b/>
          <w:color w:val="222222"/>
        </w:rPr>
        <w:t>Vyhodnocení</w:t>
      </w:r>
    </w:p>
    <w:p w14:paraId="3A7A8773" w14:textId="77777777" w:rsidR="005F0E6A" w:rsidRPr="0001442A" w:rsidRDefault="005F0E6A" w:rsidP="007B3454">
      <w:pPr>
        <w:ind w:left="360"/>
        <w:jc w:val="center"/>
        <w:rPr>
          <w:rStyle w:val="st"/>
          <w:rFonts w:cs="Arial"/>
          <w:b/>
          <w:color w:val="222222"/>
          <w:sz w:val="22"/>
          <w:szCs w:val="22"/>
        </w:rPr>
      </w:pPr>
    </w:p>
    <w:p w14:paraId="3F25ACC6" w14:textId="77777777" w:rsidR="00D61401" w:rsidRDefault="00D61401" w:rsidP="007B3454">
      <w:pPr>
        <w:jc w:val="both"/>
        <w:rPr>
          <w:sz w:val="22"/>
          <w:szCs w:val="22"/>
        </w:rPr>
      </w:pPr>
      <w:r w:rsidRPr="00707F5B">
        <w:rPr>
          <w:sz w:val="22"/>
          <w:szCs w:val="22"/>
        </w:rPr>
        <w:t>Dosavadní způsob realizace offsetových programů byl ovlivněn nesystémovým a partikulárním přístupem k národnímu obrannému a bezpečnostnímu průmyslu</w:t>
      </w:r>
      <w:r w:rsidR="009D3397">
        <w:rPr>
          <w:sz w:val="22"/>
          <w:szCs w:val="22"/>
        </w:rPr>
        <w:t xml:space="preserve"> a absencí </w:t>
      </w:r>
      <w:r w:rsidRPr="00707F5B">
        <w:rPr>
          <w:sz w:val="22"/>
          <w:szCs w:val="22"/>
        </w:rPr>
        <w:t>strategick</w:t>
      </w:r>
      <w:r w:rsidR="009D3397">
        <w:rPr>
          <w:sz w:val="22"/>
          <w:szCs w:val="22"/>
        </w:rPr>
        <w:t>ých</w:t>
      </w:r>
      <w:r w:rsidRPr="00707F5B">
        <w:rPr>
          <w:sz w:val="22"/>
          <w:szCs w:val="22"/>
        </w:rPr>
        <w:t xml:space="preserve"> dokument</w:t>
      </w:r>
      <w:r w:rsidR="009D3397">
        <w:rPr>
          <w:sz w:val="22"/>
          <w:szCs w:val="22"/>
        </w:rPr>
        <w:t>ů</w:t>
      </w:r>
      <w:r w:rsidRPr="00707F5B">
        <w:rPr>
          <w:sz w:val="22"/>
          <w:szCs w:val="22"/>
        </w:rPr>
        <w:t xml:space="preserve">, které by jednoznačně ukotvily úlohu tohoto specifického průmyslu ve vazbě na potřeby a zájmy státu. </w:t>
      </w:r>
    </w:p>
    <w:p w14:paraId="09AB25DE" w14:textId="77777777" w:rsidR="005F0E6A" w:rsidRDefault="005F0E6A" w:rsidP="009F0BEA">
      <w:pPr>
        <w:pStyle w:val="Bn"/>
        <w:spacing w:before="0" w:line="240" w:lineRule="auto"/>
        <w:ind w:firstLine="0"/>
        <w:rPr>
          <w:rFonts w:eastAsia="Times New Roman"/>
          <w:b/>
        </w:rPr>
      </w:pPr>
    </w:p>
    <w:p w14:paraId="3F25ACC7" w14:textId="574E4117" w:rsidR="00F57F22" w:rsidRPr="00F57F22" w:rsidRDefault="00F57F22" w:rsidP="009F0BEA">
      <w:pPr>
        <w:pStyle w:val="Bn"/>
        <w:spacing w:before="0" w:line="240" w:lineRule="auto"/>
        <w:ind w:firstLine="0"/>
        <w:rPr>
          <w:rFonts w:eastAsia="Times New Roman"/>
        </w:rPr>
      </w:pPr>
      <w:r w:rsidRPr="007C66B7">
        <w:rPr>
          <w:rFonts w:eastAsia="Times New Roman"/>
          <w:b/>
        </w:rPr>
        <w:t>Vyhodnocování plnění cílů a priorit offsetů bylo v podstatě redukováno na vykazování hodnot plnění offsetových transakcí.</w:t>
      </w:r>
      <w:r w:rsidRPr="00F57F22">
        <w:rPr>
          <w:rFonts w:eastAsia="Times New Roman"/>
        </w:rPr>
        <w:t xml:space="preserve"> Míru plnění priorit a cílů offsetové politiky prostřednictvím offsetů tak nebylo možné vyhodnotit. Stejně tomu je v případě ekonomických přínosů, neboť</w:t>
      </w:r>
      <w:r w:rsidR="00C35936">
        <w:rPr>
          <w:rFonts w:eastAsia="Times New Roman"/>
        </w:rPr>
        <w:t xml:space="preserve"> </w:t>
      </w:r>
      <w:r w:rsidRPr="00F57F22">
        <w:rPr>
          <w:rFonts w:eastAsia="Times New Roman"/>
        </w:rPr>
        <w:t>finanční objem zakázek, na kterých se podíleli čeští partneři</w:t>
      </w:r>
      <w:r w:rsidR="00C35936">
        <w:rPr>
          <w:rFonts w:eastAsia="Times New Roman"/>
        </w:rPr>
        <w:t>,</w:t>
      </w:r>
      <w:r w:rsidRPr="00F57F22">
        <w:rPr>
          <w:rFonts w:eastAsia="Times New Roman"/>
        </w:rPr>
        <w:t xml:space="preserve"> má v tomto ohledu malou vypovídací schopnost v důsledku </w:t>
      </w:r>
      <w:r w:rsidR="00C35936">
        <w:rPr>
          <w:rFonts w:eastAsia="Times New Roman"/>
        </w:rPr>
        <w:t xml:space="preserve">příliš </w:t>
      </w:r>
      <w:r w:rsidR="002E6532">
        <w:rPr>
          <w:rFonts w:eastAsia="Times New Roman"/>
        </w:rPr>
        <w:t>voln</w:t>
      </w:r>
      <w:r w:rsidR="00C35936">
        <w:rPr>
          <w:rFonts w:eastAsia="Times New Roman"/>
        </w:rPr>
        <w:t>ě vymezen</w:t>
      </w:r>
      <w:r w:rsidR="002E6532">
        <w:rPr>
          <w:rFonts w:eastAsia="Times New Roman"/>
        </w:rPr>
        <w:t xml:space="preserve">ých </w:t>
      </w:r>
      <w:r w:rsidRPr="00F57F22">
        <w:rPr>
          <w:rFonts w:eastAsia="Times New Roman"/>
        </w:rPr>
        <w:t xml:space="preserve">podmínek realizace jednotlivých </w:t>
      </w:r>
      <w:r w:rsidR="009B6CB8">
        <w:rPr>
          <w:rFonts w:eastAsia="Times New Roman"/>
        </w:rPr>
        <w:t>offsetových transakcí</w:t>
      </w:r>
      <w:r w:rsidRPr="00F57F22">
        <w:rPr>
          <w:rFonts w:eastAsia="Times New Roman"/>
        </w:rPr>
        <w:t>.</w:t>
      </w:r>
    </w:p>
    <w:p w14:paraId="05D86D06" w14:textId="77777777" w:rsidR="005F0E6A" w:rsidRDefault="005F0E6A" w:rsidP="009F0BEA">
      <w:pPr>
        <w:jc w:val="both"/>
        <w:rPr>
          <w:sz w:val="22"/>
          <w:szCs w:val="22"/>
        </w:rPr>
      </w:pPr>
    </w:p>
    <w:p w14:paraId="3F25ACC8" w14:textId="30CC45C3" w:rsidR="00F57F22" w:rsidRDefault="00F57F22" w:rsidP="009F0BEA">
      <w:pPr>
        <w:jc w:val="both"/>
        <w:rPr>
          <w:sz w:val="22"/>
          <w:szCs w:val="22"/>
        </w:rPr>
      </w:pPr>
      <w:r w:rsidRPr="00F57F22">
        <w:rPr>
          <w:sz w:val="22"/>
          <w:szCs w:val="22"/>
        </w:rPr>
        <w:t>Ačkoli celkový objem plnění offsetových závazků za kontrolované období (</w:t>
      </w:r>
      <w:r w:rsidR="009D22E5">
        <w:rPr>
          <w:sz w:val="22"/>
          <w:szCs w:val="22"/>
        </w:rPr>
        <w:t xml:space="preserve">od roku 1999 </w:t>
      </w:r>
      <w:r w:rsidRPr="00F57F22">
        <w:rPr>
          <w:sz w:val="22"/>
          <w:szCs w:val="22"/>
        </w:rPr>
        <w:t xml:space="preserve">do 31. 12. </w:t>
      </w:r>
      <w:r w:rsidR="000B5AC3" w:rsidRPr="00F57F22">
        <w:rPr>
          <w:sz w:val="22"/>
          <w:szCs w:val="22"/>
        </w:rPr>
        <w:t>201</w:t>
      </w:r>
      <w:r w:rsidR="000B5AC3">
        <w:rPr>
          <w:sz w:val="22"/>
          <w:szCs w:val="22"/>
        </w:rPr>
        <w:t>1</w:t>
      </w:r>
      <w:r w:rsidRPr="00F57F22">
        <w:rPr>
          <w:sz w:val="22"/>
          <w:szCs w:val="22"/>
        </w:rPr>
        <w:t xml:space="preserve">) převýšil 42 mld. Kč, lze mít na </w:t>
      </w:r>
      <w:r w:rsidR="00C35936">
        <w:rPr>
          <w:sz w:val="22"/>
          <w:szCs w:val="22"/>
        </w:rPr>
        <w:t>zá</w:t>
      </w:r>
      <w:r w:rsidRPr="00F57F22">
        <w:rPr>
          <w:sz w:val="22"/>
          <w:szCs w:val="22"/>
        </w:rPr>
        <w:t xml:space="preserve">kladě zjištěných skutečností </w:t>
      </w:r>
      <w:r w:rsidR="00C35936">
        <w:rPr>
          <w:sz w:val="22"/>
          <w:szCs w:val="22"/>
        </w:rPr>
        <w:t xml:space="preserve">oprávněné </w:t>
      </w:r>
      <w:r w:rsidRPr="00F57F22">
        <w:rPr>
          <w:sz w:val="22"/>
          <w:szCs w:val="22"/>
        </w:rPr>
        <w:t>pochybnosti o</w:t>
      </w:r>
      <w:r w:rsidR="009B6CB8">
        <w:rPr>
          <w:sz w:val="22"/>
          <w:szCs w:val="22"/>
        </w:rPr>
        <w:t> </w:t>
      </w:r>
      <w:r w:rsidRPr="00F57F22">
        <w:rPr>
          <w:sz w:val="22"/>
          <w:szCs w:val="22"/>
        </w:rPr>
        <w:t xml:space="preserve">efektivnosti </w:t>
      </w:r>
      <w:r w:rsidR="009D3397">
        <w:rPr>
          <w:sz w:val="22"/>
          <w:szCs w:val="22"/>
        </w:rPr>
        <w:t xml:space="preserve">takto pojatých </w:t>
      </w:r>
      <w:r w:rsidRPr="00F57F22">
        <w:rPr>
          <w:sz w:val="22"/>
          <w:szCs w:val="22"/>
        </w:rPr>
        <w:t>kompenzací výdajů státního rozpočtu</w:t>
      </w:r>
      <w:r w:rsidR="00C35936">
        <w:rPr>
          <w:sz w:val="22"/>
          <w:szCs w:val="22"/>
        </w:rPr>
        <w:t>,</w:t>
      </w:r>
      <w:r w:rsidR="0008325E">
        <w:rPr>
          <w:sz w:val="22"/>
          <w:szCs w:val="22"/>
        </w:rPr>
        <w:t xml:space="preserve"> a to i</w:t>
      </w:r>
      <w:r w:rsidR="00C35936">
        <w:rPr>
          <w:sz w:val="22"/>
          <w:szCs w:val="22"/>
        </w:rPr>
        <w:t> </w:t>
      </w:r>
      <w:r w:rsidR="0008325E">
        <w:rPr>
          <w:sz w:val="22"/>
          <w:szCs w:val="22"/>
        </w:rPr>
        <w:t>s ohledem na možný vliv offsetů na cenu veřejné zakázky.</w:t>
      </w:r>
    </w:p>
    <w:p w14:paraId="5ADB3B92" w14:textId="77777777" w:rsidR="005F0E6A" w:rsidRDefault="005F0E6A" w:rsidP="009F0BEA">
      <w:pPr>
        <w:jc w:val="both"/>
        <w:rPr>
          <w:sz w:val="22"/>
          <w:szCs w:val="22"/>
        </w:rPr>
      </w:pPr>
    </w:p>
    <w:p w14:paraId="3F25ACC9" w14:textId="77777777" w:rsidR="009526D0" w:rsidRDefault="00442D5B" w:rsidP="009F0BEA">
      <w:pPr>
        <w:jc w:val="both"/>
        <w:rPr>
          <w:sz w:val="22"/>
          <w:szCs w:val="22"/>
        </w:rPr>
      </w:pPr>
      <w:r w:rsidRPr="00707F5B">
        <w:rPr>
          <w:sz w:val="22"/>
          <w:szCs w:val="22"/>
        </w:rPr>
        <w:lastRenderedPageBreak/>
        <w:t xml:space="preserve">V současnosti zbývá k naplnění offsetových závazků dosud neuzavřených </w:t>
      </w:r>
      <w:r w:rsidR="009B6CB8">
        <w:rPr>
          <w:sz w:val="22"/>
          <w:szCs w:val="22"/>
        </w:rPr>
        <w:t>offsetových programů</w:t>
      </w:r>
      <w:r w:rsidRPr="00707F5B">
        <w:rPr>
          <w:sz w:val="22"/>
          <w:szCs w:val="22"/>
        </w:rPr>
        <w:t xml:space="preserve"> </w:t>
      </w:r>
      <w:r w:rsidR="0097648A" w:rsidRPr="00707F5B">
        <w:rPr>
          <w:sz w:val="22"/>
          <w:szCs w:val="22"/>
        </w:rPr>
        <w:t>přibližně 10</w:t>
      </w:r>
      <w:r w:rsidR="0008325E">
        <w:rPr>
          <w:sz w:val="22"/>
          <w:szCs w:val="22"/>
        </w:rPr>
        <w:t> </w:t>
      </w:r>
      <w:r w:rsidRPr="00707F5B">
        <w:rPr>
          <w:sz w:val="22"/>
          <w:szCs w:val="22"/>
        </w:rPr>
        <w:t>miliard Kč</w:t>
      </w:r>
      <w:r w:rsidR="0097648A" w:rsidRPr="00707F5B">
        <w:rPr>
          <w:sz w:val="22"/>
          <w:szCs w:val="22"/>
        </w:rPr>
        <w:t>.</w:t>
      </w:r>
      <w:r w:rsidR="0097648A" w:rsidRPr="00707F5B">
        <w:rPr>
          <w:rStyle w:val="Znakapoznpodarou"/>
          <w:sz w:val="22"/>
          <w:szCs w:val="22"/>
        </w:rPr>
        <w:footnoteReference w:id="42"/>
      </w:r>
      <w:r w:rsidR="0001442A">
        <w:rPr>
          <w:sz w:val="22"/>
          <w:szCs w:val="22"/>
        </w:rPr>
        <w:t xml:space="preserve"> </w:t>
      </w:r>
      <w:r w:rsidR="0097648A" w:rsidRPr="00707F5B">
        <w:rPr>
          <w:sz w:val="22"/>
          <w:szCs w:val="22"/>
        </w:rPr>
        <w:t>Jedná se tak o příležitost, která nemusí plnit pouze statisticko-ekonomické parametry exportu, ale může významně přispět k využití kapacit obranného a</w:t>
      </w:r>
      <w:r w:rsidR="00E82115">
        <w:rPr>
          <w:sz w:val="22"/>
          <w:szCs w:val="22"/>
        </w:rPr>
        <w:t> </w:t>
      </w:r>
      <w:r w:rsidR="0097648A" w:rsidRPr="00707F5B">
        <w:rPr>
          <w:sz w:val="22"/>
          <w:szCs w:val="22"/>
        </w:rPr>
        <w:t>bezpečnostního průmyslu, aniž by t</w:t>
      </w:r>
      <w:r w:rsidR="00F57F22">
        <w:rPr>
          <w:sz w:val="22"/>
          <w:szCs w:val="22"/>
        </w:rPr>
        <w:t>yto aktivity</w:t>
      </w:r>
      <w:r w:rsidR="0097648A" w:rsidRPr="00707F5B">
        <w:rPr>
          <w:sz w:val="22"/>
          <w:szCs w:val="22"/>
        </w:rPr>
        <w:t xml:space="preserve"> představoval</w:t>
      </w:r>
      <w:r w:rsidR="00F57F22">
        <w:rPr>
          <w:sz w:val="22"/>
          <w:szCs w:val="22"/>
        </w:rPr>
        <w:t>y</w:t>
      </w:r>
      <w:r w:rsidR="0097648A" w:rsidRPr="00707F5B">
        <w:rPr>
          <w:sz w:val="22"/>
          <w:szCs w:val="22"/>
        </w:rPr>
        <w:t xml:space="preserve"> </w:t>
      </w:r>
      <w:r w:rsidR="00F57F22">
        <w:rPr>
          <w:sz w:val="22"/>
          <w:szCs w:val="22"/>
        </w:rPr>
        <w:t xml:space="preserve">přímé </w:t>
      </w:r>
      <w:r w:rsidR="0097648A" w:rsidRPr="00707F5B">
        <w:rPr>
          <w:sz w:val="22"/>
          <w:szCs w:val="22"/>
        </w:rPr>
        <w:t>výdaje státního rozpočtu.</w:t>
      </w:r>
      <w:r w:rsidRPr="00707F5B">
        <w:rPr>
          <w:sz w:val="22"/>
          <w:szCs w:val="22"/>
        </w:rPr>
        <w:t xml:space="preserve"> </w:t>
      </w:r>
    </w:p>
    <w:p w14:paraId="27893951" w14:textId="77777777" w:rsidR="005F0E6A" w:rsidRDefault="005F0E6A" w:rsidP="009F0BEA">
      <w:pPr>
        <w:jc w:val="both"/>
        <w:rPr>
          <w:sz w:val="22"/>
          <w:szCs w:val="22"/>
        </w:rPr>
      </w:pPr>
    </w:p>
    <w:p w14:paraId="3F25ACCA" w14:textId="66A7CFEB" w:rsidR="00F57F22" w:rsidRDefault="00F57F22" w:rsidP="009F0BEA">
      <w:pPr>
        <w:jc w:val="both"/>
        <w:rPr>
          <w:sz w:val="22"/>
          <w:szCs w:val="22"/>
        </w:rPr>
      </w:pPr>
      <w:r>
        <w:rPr>
          <w:sz w:val="22"/>
          <w:szCs w:val="22"/>
        </w:rPr>
        <w:t>V této souvislosti NKÚ doporučuje</w:t>
      </w:r>
      <w:r w:rsidR="009D22E5">
        <w:rPr>
          <w:sz w:val="22"/>
          <w:szCs w:val="22"/>
        </w:rPr>
        <w:t xml:space="preserve"> </w:t>
      </w:r>
      <w:r w:rsidR="00C35936">
        <w:rPr>
          <w:sz w:val="22"/>
          <w:szCs w:val="22"/>
        </w:rPr>
        <w:t>kontrolovaným ministerstvům (</w:t>
      </w:r>
      <w:r w:rsidR="009D22E5">
        <w:rPr>
          <w:sz w:val="22"/>
          <w:szCs w:val="22"/>
        </w:rPr>
        <w:t>MPO, MO a MV</w:t>
      </w:r>
      <w:r w:rsidR="00C35936">
        <w:rPr>
          <w:sz w:val="22"/>
          <w:szCs w:val="22"/>
        </w:rPr>
        <w:t>)</w:t>
      </w:r>
      <w:r>
        <w:rPr>
          <w:sz w:val="22"/>
          <w:szCs w:val="22"/>
        </w:rPr>
        <w:t>:</w:t>
      </w:r>
    </w:p>
    <w:p w14:paraId="3F25ACCB" w14:textId="7C6B08D4" w:rsidR="00C36FD6" w:rsidRDefault="00C35936" w:rsidP="009F0BEA">
      <w:pPr>
        <w:pStyle w:val="Odstavecseseznamem"/>
        <w:numPr>
          <w:ilvl w:val="0"/>
          <w:numId w:val="27"/>
        </w:numPr>
        <w:ind w:left="284" w:hanging="284"/>
        <w:jc w:val="both"/>
        <w:rPr>
          <w:sz w:val="22"/>
          <w:szCs w:val="22"/>
        </w:rPr>
      </w:pPr>
      <w:r>
        <w:rPr>
          <w:sz w:val="22"/>
          <w:szCs w:val="22"/>
        </w:rPr>
        <w:t>z</w:t>
      </w:r>
      <w:r w:rsidR="00C36FD6" w:rsidRPr="00C36FD6">
        <w:rPr>
          <w:sz w:val="22"/>
          <w:szCs w:val="22"/>
        </w:rPr>
        <w:t>pracovat a přijmou</w:t>
      </w:r>
      <w:r w:rsidR="00C36FD6">
        <w:rPr>
          <w:sz w:val="22"/>
          <w:szCs w:val="22"/>
        </w:rPr>
        <w:t>t</w:t>
      </w:r>
      <w:r w:rsidR="00C36FD6" w:rsidRPr="00C36FD6">
        <w:rPr>
          <w:sz w:val="22"/>
          <w:szCs w:val="22"/>
        </w:rPr>
        <w:t xml:space="preserve"> </w:t>
      </w:r>
      <w:r>
        <w:rPr>
          <w:sz w:val="22"/>
          <w:szCs w:val="22"/>
        </w:rPr>
        <w:t>s</w:t>
      </w:r>
      <w:r w:rsidR="00C36FD6" w:rsidRPr="00C36FD6">
        <w:rPr>
          <w:sz w:val="22"/>
          <w:szCs w:val="22"/>
        </w:rPr>
        <w:t>trategii obranného a bezpečnostního průmyslu</w:t>
      </w:r>
      <w:r w:rsidR="00C36FD6">
        <w:rPr>
          <w:sz w:val="22"/>
          <w:szCs w:val="22"/>
        </w:rPr>
        <w:t xml:space="preserve">, která vytvoří předpoklady pro ekonomicky smysluplnou podporu rozvoje segmentu průmyslu důležitého </w:t>
      </w:r>
      <w:r w:rsidR="009D5AEB">
        <w:rPr>
          <w:sz w:val="22"/>
          <w:szCs w:val="22"/>
        </w:rPr>
        <w:t xml:space="preserve">pro řešení </w:t>
      </w:r>
      <w:r w:rsidR="00C36FD6">
        <w:rPr>
          <w:sz w:val="22"/>
          <w:szCs w:val="22"/>
        </w:rPr>
        <w:t>bezpečnostních potřeb České republiky</w:t>
      </w:r>
      <w:r>
        <w:rPr>
          <w:sz w:val="22"/>
          <w:szCs w:val="22"/>
        </w:rPr>
        <w:t>;</w:t>
      </w:r>
    </w:p>
    <w:p w14:paraId="3F25ACCC" w14:textId="6EECE6B1" w:rsidR="009526D0" w:rsidRDefault="00C35936" w:rsidP="009F0BEA">
      <w:pPr>
        <w:pStyle w:val="Odstavecseseznamem"/>
        <w:numPr>
          <w:ilvl w:val="0"/>
          <w:numId w:val="27"/>
        </w:numPr>
        <w:ind w:left="284" w:hanging="284"/>
        <w:jc w:val="both"/>
        <w:rPr>
          <w:sz w:val="22"/>
          <w:szCs w:val="22"/>
        </w:rPr>
      </w:pPr>
      <w:r>
        <w:rPr>
          <w:sz w:val="22"/>
          <w:szCs w:val="22"/>
        </w:rPr>
        <w:t>z</w:t>
      </w:r>
      <w:r w:rsidR="009526D0">
        <w:rPr>
          <w:sz w:val="22"/>
          <w:szCs w:val="22"/>
        </w:rPr>
        <w:t xml:space="preserve">ahájit jednání mezi zadavateli a jejich </w:t>
      </w:r>
      <w:r w:rsidR="00C36FD6">
        <w:rPr>
          <w:sz w:val="22"/>
          <w:szCs w:val="22"/>
        </w:rPr>
        <w:t>smluvními partnery</w:t>
      </w:r>
      <w:r w:rsidR="007632E0">
        <w:rPr>
          <w:sz w:val="22"/>
          <w:szCs w:val="22"/>
        </w:rPr>
        <w:t xml:space="preserve"> s cílem dosáhnout nápravy zjištěných nedostatků</w:t>
      </w:r>
      <w:r>
        <w:rPr>
          <w:sz w:val="22"/>
          <w:szCs w:val="22"/>
        </w:rPr>
        <w:t xml:space="preserve"> a</w:t>
      </w:r>
      <w:r w:rsidR="007632E0">
        <w:rPr>
          <w:sz w:val="22"/>
          <w:szCs w:val="22"/>
        </w:rPr>
        <w:t xml:space="preserve"> </w:t>
      </w:r>
      <w:r w:rsidR="00C75167">
        <w:rPr>
          <w:sz w:val="22"/>
          <w:szCs w:val="22"/>
        </w:rPr>
        <w:t>zároveň s</w:t>
      </w:r>
      <w:r w:rsidR="0071132B">
        <w:rPr>
          <w:sz w:val="22"/>
          <w:szCs w:val="22"/>
        </w:rPr>
        <w:t> </w:t>
      </w:r>
      <w:r w:rsidR="00C75167">
        <w:rPr>
          <w:sz w:val="22"/>
          <w:szCs w:val="22"/>
        </w:rPr>
        <w:t>cílem</w:t>
      </w:r>
      <w:r w:rsidR="007632E0">
        <w:rPr>
          <w:sz w:val="22"/>
          <w:szCs w:val="22"/>
        </w:rPr>
        <w:t xml:space="preserve"> navýš</w:t>
      </w:r>
      <w:r w:rsidR="00C75167">
        <w:rPr>
          <w:sz w:val="22"/>
          <w:szCs w:val="22"/>
        </w:rPr>
        <w:t>it</w:t>
      </w:r>
      <w:r w:rsidR="007632E0">
        <w:rPr>
          <w:sz w:val="22"/>
          <w:szCs w:val="22"/>
        </w:rPr>
        <w:t xml:space="preserve"> hodnot</w:t>
      </w:r>
      <w:r w:rsidR="00C75167">
        <w:rPr>
          <w:sz w:val="22"/>
          <w:szCs w:val="22"/>
        </w:rPr>
        <w:t>u</w:t>
      </w:r>
      <w:r w:rsidR="007632E0">
        <w:rPr>
          <w:sz w:val="22"/>
          <w:szCs w:val="22"/>
        </w:rPr>
        <w:t xml:space="preserve"> offsetových závazků </w:t>
      </w:r>
      <w:r w:rsidR="000B5AC3">
        <w:rPr>
          <w:sz w:val="22"/>
          <w:szCs w:val="22"/>
        </w:rPr>
        <w:t>(</w:t>
      </w:r>
      <w:r w:rsidR="003C5136">
        <w:rPr>
          <w:rFonts w:cs="Arial"/>
          <w:sz w:val="22"/>
          <w:szCs w:val="22"/>
        </w:rPr>
        <w:t>cca o </w:t>
      </w:r>
      <w:r w:rsidR="000B5AC3">
        <w:rPr>
          <w:sz w:val="22"/>
          <w:szCs w:val="22"/>
        </w:rPr>
        <w:t xml:space="preserve">1 017,9 mil. Kč) </w:t>
      </w:r>
      <w:r w:rsidR="007632E0">
        <w:rPr>
          <w:sz w:val="22"/>
          <w:szCs w:val="22"/>
        </w:rPr>
        <w:t xml:space="preserve">v souvislosti </w:t>
      </w:r>
      <w:r w:rsidR="00D920E5">
        <w:rPr>
          <w:sz w:val="22"/>
          <w:szCs w:val="22"/>
        </w:rPr>
        <w:t>s</w:t>
      </w:r>
      <w:r>
        <w:rPr>
          <w:sz w:val="22"/>
          <w:szCs w:val="22"/>
        </w:rPr>
        <w:t>e skutečně</w:t>
      </w:r>
      <w:r w:rsidR="009526D0">
        <w:rPr>
          <w:sz w:val="22"/>
          <w:szCs w:val="22"/>
        </w:rPr>
        <w:t xml:space="preserve"> realizovanou hodnotou zahraničních dodáve</w:t>
      </w:r>
      <w:r w:rsidR="00441AF2">
        <w:rPr>
          <w:sz w:val="22"/>
          <w:szCs w:val="22"/>
        </w:rPr>
        <w:t>k</w:t>
      </w:r>
      <w:r w:rsidR="009526D0">
        <w:rPr>
          <w:sz w:val="22"/>
          <w:szCs w:val="22"/>
        </w:rPr>
        <w:t xml:space="preserve"> a služeb</w:t>
      </w:r>
      <w:r>
        <w:rPr>
          <w:sz w:val="22"/>
          <w:szCs w:val="22"/>
        </w:rPr>
        <w:t>;</w:t>
      </w:r>
    </w:p>
    <w:p w14:paraId="3F25ACCE" w14:textId="2C8C6A3E" w:rsidR="00F57F22" w:rsidRDefault="00C35936" w:rsidP="009F0BEA">
      <w:pPr>
        <w:pStyle w:val="Odstavecseseznamem"/>
        <w:numPr>
          <w:ilvl w:val="0"/>
          <w:numId w:val="27"/>
        </w:numPr>
        <w:ind w:left="284" w:hanging="284"/>
        <w:jc w:val="both"/>
        <w:rPr>
          <w:sz w:val="22"/>
          <w:szCs w:val="22"/>
        </w:rPr>
      </w:pPr>
      <w:r>
        <w:rPr>
          <w:sz w:val="22"/>
          <w:szCs w:val="22"/>
        </w:rPr>
        <w:t>v</w:t>
      </w:r>
      <w:r w:rsidR="009526D0" w:rsidRPr="00AD4215">
        <w:rPr>
          <w:sz w:val="22"/>
          <w:szCs w:val="22"/>
        </w:rPr>
        <w:t>yužívat možnosti k uplatňování přímých offsetů na racionálním ekonomickém základě a</w:t>
      </w:r>
      <w:r w:rsidR="0001442A" w:rsidRPr="00AD4215">
        <w:rPr>
          <w:sz w:val="22"/>
          <w:szCs w:val="22"/>
        </w:rPr>
        <w:t> </w:t>
      </w:r>
      <w:r w:rsidR="009526D0" w:rsidRPr="00AD4215">
        <w:rPr>
          <w:sz w:val="22"/>
          <w:szCs w:val="22"/>
        </w:rPr>
        <w:t xml:space="preserve">v souladu </w:t>
      </w:r>
      <w:r w:rsidR="00D920E5">
        <w:rPr>
          <w:sz w:val="22"/>
          <w:szCs w:val="22"/>
        </w:rPr>
        <w:t>s </w:t>
      </w:r>
      <w:r w:rsidR="009526D0" w:rsidRPr="00AD4215">
        <w:rPr>
          <w:sz w:val="22"/>
          <w:szCs w:val="22"/>
        </w:rPr>
        <w:t>komunitárním právem, které takový postup umožňuje.</w:t>
      </w:r>
    </w:p>
    <w:p w14:paraId="24A05D7D" w14:textId="77777777" w:rsidR="000669F3" w:rsidRDefault="000669F3" w:rsidP="000669F3">
      <w:pPr>
        <w:spacing w:before="120" w:after="120"/>
        <w:jc w:val="both"/>
        <w:rPr>
          <w:sz w:val="22"/>
          <w:szCs w:val="22"/>
        </w:rPr>
      </w:pPr>
    </w:p>
    <w:p w14:paraId="60A2CD7C" w14:textId="77777777" w:rsidR="000669F3" w:rsidRDefault="000669F3" w:rsidP="000669F3">
      <w:pPr>
        <w:spacing w:before="120" w:after="120"/>
        <w:jc w:val="both"/>
        <w:rPr>
          <w:sz w:val="22"/>
          <w:szCs w:val="22"/>
        </w:rPr>
      </w:pPr>
    </w:p>
    <w:p w14:paraId="47BED8EF" w14:textId="77777777" w:rsidR="000669F3" w:rsidRDefault="000669F3">
      <w:pPr>
        <w:rPr>
          <w:sz w:val="22"/>
          <w:szCs w:val="22"/>
        </w:rPr>
        <w:sectPr w:rsidR="000669F3" w:rsidSect="005978E4">
          <w:footerReference w:type="default" r:id="rId16"/>
          <w:pgSz w:w="11907" w:h="16839" w:code="9"/>
          <w:pgMar w:top="1417" w:right="1417" w:bottom="1417" w:left="1417" w:header="680" w:footer="510" w:gutter="0"/>
          <w:cols w:space="708"/>
          <w:titlePg/>
          <w:docGrid w:linePitch="360"/>
        </w:sectPr>
      </w:pPr>
    </w:p>
    <w:p w14:paraId="60B1E855" w14:textId="5AF818D5" w:rsidR="000669F3" w:rsidRDefault="000669F3" w:rsidP="000669F3">
      <w:pPr>
        <w:jc w:val="right"/>
        <w:rPr>
          <w:sz w:val="22"/>
          <w:szCs w:val="22"/>
        </w:rPr>
      </w:pPr>
      <w:r>
        <w:rPr>
          <w:sz w:val="22"/>
          <w:szCs w:val="22"/>
        </w:rPr>
        <w:lastRenderedPageBreak/>
        <w:t xml:space="preserve">Příloha </w:t>
      </w:r>
      <w:r w:rsidR="00773C7A">
        <w:rPr>
          <w:sz w:val="22"/>
          <w:szCs w:val="22"/>
        </w:rPr>
        <w:t xml:space="preserve">č. </w:t>
      </w:r>
      <w:r>
        <w:rPr>
          <w:sz w:val="22"/>
          <w:szCs w:val="22"/>
        </w:rPr>
        <w:t>1</w:t>
      </w:r>
    </w:p>
    <w:p w14:paraId="21C52527" w14:textId="77777777" w:rsidR="006B5FBB" w:rsidRDefault="006B5FBB" w:rsidP="006B5FBB">
      <w:pPr>
        <w:rPr>
          <w:sz w:val="22"/>
          <w:szCs w:val="22"/>
        </w:rPr>
      </w:pPr>
    </w:p>
    <w:p w14:paraId="7A09E798" w14:textId="366E705B" w:rsidR="000669F3" w:rsidRPr="00FA53D6" w:rsidRDefault="000669F3" w:rsidP="00027617">
      <w:pPr>
        <w:pStyle w:val="Nadpis2"/>
        <w:spacing w:before="0" w:after="0"/>
        <w:jc w:val="center"/>
        <w:rPr>
          <w:szCs w:val="24"/>
        </w:rPr>
      </w:pPr>
      <w:r w:rsidRPr="00FA53D6">
        <w:rPr>
          <w:szCs w:val="24"/>
        </w:rPr>
        <w:t>Terminologické vymezení pojmů specifických pro realizaci</w:t>
      </w:r>
    </w:p>
    <w:p w14:paraId="69069E57" w14:textId="77777777" w:rsidR="000669F3" w:rsidRDefault="000669F3" w:rsidP="00027617">
      <w:pPr>
        <w:pStyle w:val="Nadpis2"/>
        <w:spacing w:before="0" w:after="0"/>
        <w:jc w:val="center"/>
        <w:rPr>
          <w:szCs w:val="24"/>
        </w:rPr>
      </w:pPr>
      <w:r w:rsidRPr="00FA53D6">
        <w:rPr>
          <w:szCs w:val="24"/>
        </w:rPr>
        <w:t>programů průmyslové spolupráce</w:t>
      </w:r>
    </w:p>
    <w:p w14:paraId="1250038B" w14:textId="77777777" w:rsidR="00027617" w:rsidRPr="00027617" w:rsidRDefault="00027617" w:rsidP="00027617"/>
    <w:p w14:paraId="3DF54DA4" w14:textId="768D1D0C" w:rsidR="000669F3" w:rsidRDefault="000669F3" w:rsidP="00136D02">
      <w:pPr>
        <w:jc w:val="both"/>
        <w:rPr>
          <w:sz w:val="22"/>
          <w:szCs w:val="22"/>
        </w:rPr>
      </w:pPr>
      <w:r w:rsidRPr="00FA53D6">
        <w:rPr>
          <w:b/>
          <w:sz w:val="22"/>
          <w:szCs w:val="22"/>
        </w:rPr>
        <w:t xml:space="preserve">Offsetový program </w:t>
      </w:r>
      <w:r w:rsidRPr="00FA53D6">
        <w:rPr>
          <w:sz w:val="22"/>
          <w:szCs w:val="22"/>
        </w:rPr>
        <w:t xml:space="preserve">– </w:t>
      </w:r>
      <w:r w:rsidR="0027008F">
        <w:rPr>
          <w:sz w:val="22"/>
          <w:szCs w:val="22"/>
        </w:rPr>
        <w:t>N</w:t>
      </w:r>
      <w:r w:rsidRPr="00FA53D6">
        <w:rPr>
          <w:sz w:val="22"/>
          <w:szCs w:val="22"/>
        </w:rPr>
        <w:t xml:space="preserve">ástroj ekonomické kompenzace výdajů státu na pořízení zboží, služeb nebo stavebních prací v rámci realizace veřejné zakázky pro obranné a bezpečnostní účely v celkové hodnotě přesahující vládou stanovený limit. Je plněn prostřednictvím jednotlivých offsetových transakcí </w:t>
      </w:r>
      <w:r w:rsidR="0027008F" w:rsidRPr="00FA53D6">
        <w:rPr>
          <w:sz w:val="22"/>
          <w:szCs w:val="22"/>
        </w:rPr>
        <w:t xml:space="preserve">označovaných </w:t>
      </w:r>
      <w:r w:rsidRPr="00FA53D6">
        <w:rPr>
          <w:sz w:val="22"/>
          <w:szCs w:val="22"/>
        </w:rPr>
        <w:t>zpravidla také jako projekty.</w:t>
      </w:r>
    </w:p>
    <w:p w14:paraId="440029C3" w14:textId="77777777" w:rsidR="00136D02" w:rsidRPr="00FA53D6" w:rsidRDefault="00136D02" w:rsidP="00136D02">
      <w:pPr>
        <w:jc w:val="both"/>
        <w:rPr>
          <w:sz w:val="22"/>
          <w:szCs w:val="22"/>
        </w:rPr>
      </w:pPr>
    </w:p>
    <w:p w14:paraId="06B064D9" w14:textId="1EA03BCA" w:rsidR="000669F3" w:rsidRDefault="000669F3" w:rsidP="00136D02">
      <w:pPr>
        <w:jc w:val="both"/>
        <w:rPr>
          <w:sz w:val="22"/>
          <w:szCs w:val="22"/>
        </w:rPr>
      </w:pPr>
      <w:r w:rsidRPr="00FA53D6">
        <w:rPr>
          <w:b/>
          <w:sz w:val="22"/>
          <w:szCs w:val="22"/>
        </w:rPr>
        <w:t>Předoffsetová transakce</w:t>
      </w:r>
      <w:r w:rsidRPr="00FA53D6">
        <w:rPr>
          <w:sz w:val="22"/>
          <w:szCs w:val="22"/>
        </w:rPr>
        <w:t xml:space="preserve"> – </w:t>
      </w:r>
      <w:r w:rsidR="0027008F">
        <w:rPr>
          <w:sz w:val="22"/>
          <w:szCs w:val="22"/>
        </w:rPr>
        <w:t>O</w:t>
      </w:r>
      <w:r w:rsidRPr="00FA53D6">
        <w:rPr>
          <w:sz w:val="22"/>
          <w:szCs w:val="22"/>
        </w:rPr>
        <w:t>ffsetová transakce předložená a schválená OFK</w:t>
      </w:r>
      <w:r w:rsidRPr="00FA53D6">
        <w:rPr>
          <w:rFonts w:cs="Arial"/>
          <w:sz w:val="22"/>
          <w:szCs w:val="22"/>
        </w:rPr>
        <w:t xml:space="preserve"> </w:t>
      </w:r>
      <w:r w:rsidRPr="00FA53D6">
        <w:rPr>
          <w:sz w:val="22"/>
          <w:szCs w:val="22"/>
        </w:rPr>
        <w:t xml:space="preserve">před zahájením kontraktačního jednání </w:t>
      </w:r>
      <w:r w:rsidR="00D920E5">
        <w:rPr>
          <w:sz w:val="22"/>
          <w:szCs w:val="22"/>
        </w:rPr>
        <w:t>s </w:t>
      </w:r>
      <w:r w:rsidRPr="00FA53D6">
        <w:rPr>
          <w:sz w:val="22"/>
          <w:szCs w:val="22"/>
        </w:rPr>
        <w:t xml:space="preserve">vybraným uchazečem o konkrétní veřejnou zakázku. </w:t>
      </w:r>
    </w:p>
    <w:p w14:paraId="554EEDA3" w14:textId="77777777" w:rsidR="00136D02" w:rsidRPr="00FA53D6" w:rsidRDefault="00136D02" w:rsidP="00136D02">
      <w:pPr>
        <w:jc w:val="both"/>
        <w:rPr>
          <w:sz w:val="22"/>
          <w:szCs w:val="22"/>
        </w:rPr>
      </w:pPr>
    </w:p>
    <w:p w14:paraId="38198B42" w14:textId="365CF675" w:rsidR="000669F3" w:rsidRDefault="000669F3" w:rsidP="00136D02">
      <w:pPr>
        <w:jc w:val="both"/>
        <w:rPr>
          <w:sz w:val="22"/>
          <w:szCs w:val="22"/>
        </w:rPr>
      </w:pPr>
      <w:r w:rsidRPr="00FA53D6">
        <w:rPr>
          <w:b/>
          <w:sz w:val="22"/>
          <w:szCs w:val="22"/>
        </w:rPr>
        <w:t>Offsetová transakce</w:t>
      </w:r>
      <w:r w:rsidRPr="00FA53D6">
        <w:rPr>
          <w:sz w:val="22"/>
          <w:szCs w:val="22"/>
        </w:rPr>
        <w:t xml:space="preserve"> – </w:t>
      </w:r>
      <w:r w:rsidR="0027008F">
        <w:rPr>
          <w:sz w:val="22"/>
          <w:szCs w:val="22"/>
        </w:rPr>
        <w:t>P</w:t>
      </w:r>
      <w:r w:rsidRPr="00FA53D6">
        <w:rPr>
          <w:sz w:val="22"/>
          <w:szCs w:val="22"/>
        </w:rPr>
        <w:t>ředstavuje konkrétní projekt průmyslové spolupráce mezi českým a</w:t>
      </w:r>
      <w:r w:rsidR="0027008F">
        <w:rPr>
          <w:sz w:val="22"/>
          <w:szCs w:val="22"/>
        </w:rPr>
        <w:t> </w:t>
      </w:r>
      <w:r w:rsidRPr="00FA53D6">
        <w:rPr>
          <w:sz w:val="22"/>
          <w:szCs w:val="22"/>
        </w:rPr>
        <w:t xml:space="preserve">zahraničním partnerem </w:t>
      </w:r>
      <w:r w:rsidR="0027008F">
        <w:rPr>
          <w:sz w:val="22"/>
          <w:szCs w:val="22"/>
        </w:rPr>
        <w:t>– tento projekt</w:t>
      </w:r>
      <w:r w:rsidRPr="00FA53D6">
        <w:rPr>
          <w:sz w:val="22"/>
          <w:szCs w:val="22"/>
        </w:rPr>
        <w:t xml:space="preserve"> zpravidla navrhne dodavatel veřejné zakázky nesoucí offsetový závazek (předkladatel návrhu OFT) na základě uzavřené</w:t>
      </w:r>
      <w:r w:rsidR="0027008F">
        <w:rPr>
          <w:sz w:val="22"/>
          <w:szCs w:val="22"/>
        </w:rPr>
        <w:t xml:space="preserve"> </w:t>
      </w:r>
      <w:r w:rsidRPr="00FA53D6">
        <w:rPr>
          <w:sz w:val="22"/>
          <w:szCs w:val="22"/>
        </w:rPr>
        <w:t>offsetové dohody</w:t>
      </w:r>
      <w:r w:rsidR="0027008F">
        <w:rPr>
          <w:sz w:val="22"/>
          <w:szCs w:val="22"/>
        </w:rPr>
        <w:t>;</w:t>
      </w:r>
      <w:r w:rsidRPr="00FA53D6">
        <w:rPr>
          <w:sz w:val="22"/>
          <w:szCs w:val="22"/>
        </w:rPr>
        <w:t xml:space="preserve"> </w:t>
      </w:r>
      <w:r w:rsidR="0027008F">
        <w:rPr>
          <w:sz w:val="22"/>
          <w:szCs w:val="22"/>
        </w:rPr>
        <w:t>návrh následně</w:t>
      </w:r>
      <w:r w:rsidRPr="00FA53D6">
        <w:rPr>
          <w:sz w:val="22"/>
          <w:szCs w:val="22"/>
        </w:rPr>
        <w:t xml:space="preserve"> </w:t>
      </w:r>
      <w:r w:rsidR="0027008F" w:rsidRPr="00FA53D6">
        <w:rPr>
          <w:sz w:val="22"/>
          <w:szCs w:val="22"/>
        </w:rPr>
        <w:t>schválí</w:t>
      </w:r>
      <w:r w:rsidR="0027008F">
        <w:rPr>
          <w:sz w:val="22"/>
          <w:szCs w:val="22"/>
        </w:rPr>
        <w:t xml:space="preserve"> </w:t>
      </w:r>
      <w:r w:rsidRPr="00FA53D6">
        <w:rPr>
          <w:sz w:val="22"/>
          <w:szCs w:val="22"/>
        </w:rPr>
        <w:t>offsetová komise.</w:t>
      </w:r>
    </w:p>
    <w:p w14:paraId="4FFF7136" w14:textId="77777777" w:rsidR="00136D02" w:rsidRPr="00FA53D6" w:rsidRDefault="00136D02" w:rsidP="00136D02">
      <w:pPr>
        <w:jc w:val="both"/>
        <w:rPr>
          <w:sz w:val="22"/>
          <w:szCs w:val="22"/>
        </w:rPr>
      </w:pPr>
    </w:p>
    <w:p w14:paraId="4700462E" w14:textId="47D43036" w:rsidR="000669F3" w:rsidRDefault="000669F3" w:rsidP="00136D02">
      <w:pPr>
        <w:jc w:val="both"/>
        <w:rPr>
          <w:sz w:val="22"/>
          <w:szCs w:val="22"/>
        </w:rPr>
      </w:pPr>
      <w:r w:rsidRPr="00FA53D6">
        <w:rPr>
          <w:b/>
          <w:sz w:val="22"/>
          <w:szCs w:val="22"/>
        </w:rPr>
        <w:t>Český partner</w:t>
      </w:r>
      <w:r w:rsidRPr="00FA53D6">
        <w:rPr>
          <w:sz w:val="22"/>
          <w:szCs w:val="22"/>
        </w:rPr>
        <w:t xml:space="preserve"> </w:t>
      </w:r>
      <w:r w:rsidR="0027008F">
        <w:rPr>
          <w:sz w:val="22"/>
          <w:szCs w:val="22"/>
        </w:rPr>
        <w:t>–</w:t>
      </w:r>
      <w:r w:rsidRPr="00FA53D6">
        <w:rPr>
          <w:sz w:val="22"/>
          <w:szCs w:val="22"/>
        </w:rPr>
        <w:t xml:space="preserve"> </w:t>
      </w:r>
      <w:r w:rsidR="0027008F">
        <w:rPr>
          <w:sz w:val="22"/>
          <w:szCs w:val="22"/>
        </w:rPr>
        <w:t>P</w:t>
      </w:r>
      <w:r w:rsidRPr="00FA53D6">
        <w:rPr>
          <w:sz w:val="22"/>
          <w:szCs w:val="22"/>
        </w:rPr>
        <w:t xml:space="preserve">rávnická osoba, fyzická osoba, organizace nebo organizační složka se sídlem / místem podnikání nebo činnosti v ČR, jíž plyne ekonomický prospěch z realizace offsetové transakce a která je schopna prokázat a doložit </w:t>
      </w:r>
      <w:r w:rsidR="0027008F">
        <w:rPr>
          <w:sz w:val="22"/>
          <w:szCs w:val="22"/>
        </w:rPr>
        <w:t>(</w:t>
      </w:r>
      <w:r w:rsidRPr="00FA53D6">
        <w:rPr>
          <w:sz w:val="22"/>
          <w:szCs w:val="22"/>
        </w:rPr>
        <w:t>na základě účetní nebo jiné dokumentace</w:t>
      </w:r>
      <w:r w:rsidR="0027008F">
        <w:rPr>
          <w:sz w:val="22"/>
          <w:szCs w:val="22"/>
        </w:rPr>
        <w:t>)</w:t>
      </w:r>
      <w:r w:rsidRPr="00FA53D6">
        <w:rPr>
          <w:sz w:val="22"/>
          <w:szCs w:val="22"/>
        </w:rPr>
        <w:t xml:space="preserve"> ekonomické efekty</w:t>
      </w:r>
      <w:r w:rsidR="0027008F">
        <w:rPr>
          <w:sz w:val="22"/>
          <w:szCs w:val="22"/>
        </w:rPr>
        <w:t xml:space="preserve"> této transakce</w:t>
      </w:r>
      <w:r w:rsidRPr="00FA53D6">
        <w:rPr>
          <w:sz w:val="22"/>
          <w:szCs w:val="22"/>
        </w:rPr>
        <w:t>.</w:t>
      </w:r>
    </w:p>
    <w:p w14:paraId="15A70D25" w14:textId="77777777" w:rsidR="00136D02" w:rsidRPr="00FA53D6" w:rsidRDefault="00136D02" w:rsidP="00136D02">
      <w:pPr>
        <w:jc w:val="both"/>
        <w:rPr>
          <w:sz w:val="22"/>
          <w:szCs w:val="22"/>
        </w:rPr>
      </w:pPr>
    </w:p>
    <w:p w14:paraId="70913F6E" w14:textId="68B22C62" w:rsidR="000669F3" w:rsidRDefault="000669F3" w:rsidP="00136D02">
      <w:pPr>
        <w:jc w:val="both"/>
        <w:rPr>
          <w:sz w:val="22"/>
          <w:szCs w:val="22"/>
        </w:rPr>
      </w:pPr>
      <w:r w:rsidRPr="00FA53D6">
        <w:rPr>
          <w:b/>
          <w:sz w:val="22"/>
          <w:szCs w:val="22"/>
        </w:rPr>
        <w:t>Zahraniční partner</w:t>
      </w:r>
      <w:r w:rsidRPr="00FA53D6">
        <w:rPr>
          <w:sz w:val="22"/>
          <w:szCs w:val="22"/>
        </w:rPr>
        <w:t xml:space="preserve"> – </w:t>
      </w:r>
      <w:r w:rsidR="00CE250B">
        <w:rPr>
          <w:sz w:val="22"/>
          <w:szCs w:val="22"/>
        </w:rPr>
        <w:t>P</w:t>
      </w:r>
      <w:r w:rsidRPr="00FA53D6">
        <w:rPr>
          <w:sz w:val="22"/>
          <w:szCs w:val="22"/>
        </w:rPr>
        <w:t>rávnická osoba, fyzická osoba, organizace nebo organizační složka se sídlem / místem podnikání nebo činnosti mimo ČR akceptovaná offsetovou komisí.</w:t>
      </w:r>
    </w:p>
    <w:p w14:paraId="44B006D4" w14:textId="77777777" w:rsidR="00136D02" w:rsidRPr="00FA53D6" w:rsidRDefault="00136D02" w:rsidP="00136D02">
      <w:pPr>
        <w:jc w:val="both"/>
        <w:rPr>
          <w:sz w:val="22"/>
          <w:szCs w:val="22"/>
        </w:rPr>
      </w:pPr>
    </w:p>
    <w:p w14:paraId="0F3B4E4F" w14:textId="77777777" w:rsidR="000669F3" w:rsidRPr="00FA53D6" w:rsidRDefault="000669F3" w:rsidP="000669F3">
      <w:pPr>
        <w:spacing w:after="60"/>
        <w:rPr>
          <w:sz w:val="22"/>
          <w:szCs w:val="22"/>
          <w:u w:val="single"/>
        </w:rPr>
      </w:pPr>
      <w:r w:rsidRPr="00FA53D6">
        <w:rPr>
          <w:sz w:val="22"/>
          <w:szCs w:val="22"/>
          <w:u w:val="single"/>
        </w:rPr>
        <w:t>Kategorie offsetových transakcí:</w:t>
      </w:r>
    </w:p>
    <w:p w14:paraId="7137DD06" w14:textId="165D9CAC" w:rsidR="000669F3" w:rsidRPr="00FA53D6" w:rsidRDefault="000669F3" w:rsidP="000669F3">
      <w:pPr>
        <w:pStyle w:val="Odstavecseseznamem"/>
        <w:numPr>
          <w:ilvl w:val="0"/>
          <w:numId w:val="28"/>
        </w:numPr>
        <w:spacing w:before="120" w:after="60"/>
        <w:ind w:left="714" w:hanging="357"/>
        <w:jc w:val="both"/>
        <w:rPr>
          <w:sz w:val="22"/>
          <w:szCs w:val="22"/>
        </w:rPr>
      </w:pPr>
      <w:r w:rsidRPr="00FA53D6">
        <w:rPr>
          <w:b/>
          <w:sz w:val="22"/>
          <w:szCs w:val="22"/>
        </w:rPr>
        <w:t>Přímý offset</w:t>
      </w:r>
      <w:r w:rsidRPr="00FA53D6">
        <w:rPr>
          <w:sz w:val="22"/>
          <w:szCs w:val="22"/>
        </w:rPr>
        <w:t xml:space="preserve"> – </w:t>
      </w:r>
      <w:r w:rsidR="00CE250B">
        <w:rPr>
          <w:sz w:val="22"/>
          <w:szCs w:val="22"/>
        </w:rPr>
        <w:t>V</w:t>
      </w:r>
      <w:r w:rsidRPr="00FA53D6">
        <w:rPr>
          <w:sz w:val="22"/>
          <w:szCs w:val="22"/>
        </w:rPr>
        <w:t>ztahuje se přímo k předmětu veřejné zakázky (přímá účast českých podnikatelských subjektů na realizaci této veřejné zakázky)</w:t>
      </w:r>
      <w:r w:rsidRPr="00FA53D6">
        <w:rPr>
          <w:rStyle w:val="Znakapoznpodarou"/>
          <w:sz w:val="22"/>
          <w:szCs w:val="22"/>
        </w:rPr>
        <w:footnoteReference w:id="43"/>
      </w:r>
      <w:r w:rsidRPr="00FA53D6">
        <w:rPr>
          <w:sz w:val="22"/>
          <w:szCs w:val="22"/>
        </w:rPr>
        <w:t>; tvoří oproti nepřímým offsetům menší podíl z celkové hodnoty offsetového závazku.</w:t>
      </w:r>
    </w:p>
    <w:p w14:paraId="07273574" w14:textId="205029A2" w:rsidR="000669F3" w:rsidRPr="00FA53D6" w:rsidRDefault="000669F3" w:rsidP="000669F3">
      <w:pPr>
        <w:pStyle w:val="Odstavecseseznamem"/>
        <w:numPr>
          <w:ilvl w:val="0"/>
          <w:numId w:val="28"/>
        </w:numPr>
        <w:spacing w:before="120" w:after="60"/>
        <w:jc w:val="both"/>
        <w:rPr>
          <w:sz w:val="22"/>
          <w:szCs w:val="22"/>
        </w:rPr>
      </w:pPr>
      <w:r w:rsidRPr="00FA53D6">
        <w:rPr>
          <w:b/>
          <w:sz w:val="22"/>
          <w:szCs w:val="22"/>
        </w:rPr>
        <w:t>Nepřímý offset</w:t>
      </w:r>
      <w:r w:rsidRPr="00FA53D6">
        <w:rPr>
          <w:sz w:val="22"/>
          <w:szCs w:val="22"/>
        </w:rPr>
        <w:t xml:space="preserve"> – </w:t>
      </w:r>
      <w:r w:rsidR="00CE250B">
        <w:rPr>
          <w:sz w:val="22"/>
          <w:szCs w:val="22"/>
        </w:rPr>
        <w:t xml:space="preserve">Pod tímto termínem se </w:t>
      </w:r>
      <w:r w:rsidRPr="00FA53D6">
        <w:rPr>
          <w:sz w:val="22"/>
          <w:szCs w:val="22"/>
        </w:rPr>
        <w:t>rozum</w:t>
      </w:r>
      <w:r w:rsidR="00CE250B">
        <w:rPr>
          <w:sz w:val="22"/>
          <w:szCs w:val="22"/>
        </w:rPr>
        <w:t>ějí</w:t>
      </w:r>
      <w:r w:rsidRPr="00FA53D6">
        <w:rPr>
          <w:sz w:val="22"/>
          <w:szCs w:val="22"/>
        </w:rPr>
        <w:t xml:space="preserve"> všechny ostatní projekty průmyslové spolupráce, které nelze zařadit do kategorie přímý offset. </w:t>
      </w:r>
    </w:p>
    <w:p w14:paraId="063A69CD" w14:textId="77777777" w:rsidR="000669F3" w:rsidRPr="00FA53D6" w:rsidRDefault="000669F3" w:rsidP="000669F3">
      <w:pPr>
        <w:spacing w:after="60"/>
        <w:rPr>
          <w:sz w:val="22"/>
          <w:szCs w:val="22"/>
          <w:u w:val="single"/>
        </w:rPr>
      </w:pPr>
      <w:r w:rsidRPr="00FA53D6">
        <w:rPr>
          <w:sz w:val="22"/>
          <w:szCs w:val="22"/>
          <w:u w:val="single"/>
        </w:rPr>
        <w:t xml:space="preserve">Typy offsetových transakcí: </w:t>
      </w:r>
    </w:p>
    <w:p w14:paraId="09F99BF7" w14:textId="1CCD3DAB" w:rsidR="000669F3" w:rsidRPr="00FA53D6" w:rsidRDefault="000669F3" w:rsidP="000669F3">
      <w:pPr>
        <w:pStyle w:val="Odstavecseseznamem"/>
        <w:numPr>
          <w:ilvl w:val="0"/>
          <w:numId w:val="29"/>
        </w:numPr>
        <w:spacing w:before="120" w:after="60"/>
        <w:ind w:left="714" w:hanging="357"/>
        <w:jc w:val="both"/>
        <w:rPr>
          <w:rFonts w:cs="Arial"/>
          <w:sz w:val="22"/>
          <w:szCs w:val="22"/>
        </w:rPr>
      </w:pPr>
      <w:r w:rsidRPr="00FA53D6">
        <w:rPr>
          <w:rFonts w:cs="Arial"/>
          <w:b/>
          <w:sz w:val="22"/>
          <w:szCs w:val="22"/>
        </w:rPr>
        <w:t>Podpora exportu (export)</w:t>
      </w:r>
      <w:r w:rsidRPr="00FA53D6">
        <w:rPr>
          <w:rFonts w:cs="Arial"/>
          <w:sz w:val="22"/>
          <w:szCs w:val="22"/>
        </w:rPr>
        <w:t xml:space="preserve"> – </w:t>
      </w:r>
      <w:r w:rsidR="00674C76">
        <w:rPr>
          <w:rFonts w:cs="Arial"/>
          <w:sz w:val="22"/>
          <w:szCs w:val="22"/>
        </w:rPr>
        <w:t>Z</w:t>
      </w:r>
      <w:r w:rsidRPr="00FA53D6">
        <w:rPr>
          <w:rFonts w:cs="Arial"/>
          <w:sz w:val="22"/>
          <w:szCs w:val="22"/>
        </w:rPr>
        <w:t>prostředkování nových exportních zakázek tuzemským subjektům (dosud nevyvážený výrobek, noví zahraniční odběratelé, markantní navýšení stávajícího vývozu)</w:t>
      </w:r>
      <w:r w:rsidR="00674C76">
        <w:rPr>
          <w:rFonts w:cs="Arial"/>
          <w:sz w:val="22"/>
          <w:szCs w:val="22"/>
        </w:rPr>
        <w:t>.</w:t>
      </w:r>
    </w:p>
    <w:p w14:paraId="47E118F0" w14:textId="4236902A" w:rsidR="000669F3" w:rsidRPr="00FA53D6" w:rsidRDefault="000669F3" w:rsidP="000669F3">
      <w:pPr>
        <w:pStyle w:val="Odstavecseseznamem"/>
        <w:numPr>
          <w:ilvl w:val="0"/>
          <w:numId w:val="29"/>
        </w:numPr>
        <w:spacing w:before="120" w:after="60"/>
        <w:ind w:left="714" w:hanging="357"/>
        <w:jc w:val="both"/>
        <w:rPr>
          <w:rFonts w:cs="Arial"/>
          <w:sz w:val="22"/>
          <w:szCs w:val="22"/>
        </w:rPr>
      </w:pPr>
      <w:r w:rsidRPr="00FA53D6">
        <w:rPr>
          <w:rFonts w:cs="Arial"/>
          <w:b/>
          <w:sz w:val="22"/>
          <w:szCs w:val="22"/>
        </w:rPr>
        <w:t>Přímé zahraniční investice</w:t>
      </w:r>
      <w:r w:rsidRPr="00FA53D6">
        <w:rPr>
          <w:rFonts w:cs="Arial"/>
          <w:sz w:val="22"/>
          <w:szCs w:val="22"/>
        </w:rPr>
        <w:t xml:space="preserve"> – </w:t>
      </w:r>
      <w:r w:rsidR="00674C76">
        <w:rPr>
          <w:rFonts w:cs="Arial"/>
          <w:sz w:val="22"/>
          <w:szCs w:val="22"/>
        </w:rPr>
        <w:t>I</w:t>
      </w:r>
      <w:r w:rsidRPr="00FA53D6">
        <w:rPr>
          <w:rFonts w:cs="Arial"/>
          <w:sz w:val="22"/>
          <w:szCs w:val="22"/>
        </w:rPr>
        <w:t>nvestiční aktivity zahraničního partnera offsetové transakce v</w:t>
      </w:r>
      <w:r w:rsidR="00674C76">
        <w:rPr>
          <w:rFonts w:cs="Arial"/>
          <w:sz w:val="22"/>
          <w:szCs w:val="22"/>
        </w:rPr>
        <w:t> </w:t>
      </w:r>
      <w:r w:rsidRPr="00FA53D6">
        <w:rPr>
          <w:rFonts w:cs="Arial"/>
          <w:sz w:val="22"/>
          <w:szCs w:val="22"/>
        </w:rPr>
        <w:t>ČR</w:t>
      </w:r>
      <w:r w:rsidR="00674C76">
        <w:rPr>
          <w:rFonts w:cs="Arial"/>
          <w:sz w:val="22"/>
          <w:szCs w:val="22"/>
        </w:rPr>
        <w:t>.</w:t>
      </w:r>
      <w:r w:rsidRPr="00FA53D6">
        <w:rPr>
          <w:rFonts w:cs="Arial"/>
          <w:sz w:val="22"/>
          <w:szCs w:val="22"/>
        </w:rPr>
        <w:t xml:space="preserve"> </w:t>
      </w:r>
    </w:p>
    <w:p w14:paraId="21869099" w14:textId="7B3A4DD0" w:rsidR="000669F3" w:rsidRPr="00FA53D6" w:rsidRDefault="000669F3" w:rsidP="000669F3">
      <w:pPr>
        <w:pStyle w:val="Odstavecseseznamem"/>
        <w:numPr>
          <w:ilvl w:val="0"/>
          <w:numId w:val="29"/>
        </w:numPr>
        <w:spacing w:before="120" w:after="60"/>
        <w:ind w:left="714" w:hanging="357"/>
        <w:jc w:val="both"/>
        <w:rPr>
          <w:rFonts w:cs="Arial"/>
          <w:sz w:val="22"/>
          <w:szCs w:val="22"/>
        </w:rPr>
      </w:pPr>
      <w:r w:rsidRPr="00674C76">
        <w:rPr>
          <w:rFonts w:cs="Arial"/>
          <w:b/>
          <w:sz w:val="22"/>
          <w:szCs w:val="22"/>
        </w:rPr>
        <w:t>Transfery technologií a know-how, podpora výzkumu a vývoje a ostatní</w:t>
      </w:r>
      <w:r w:rsidR="00674C76">
        <w:rPr>
          <w:rFonts w:cs="Arial"/>
          <w:b/>
          <w:spacing w:val="-4"/>
          <w:sz w:val="22"/>
          <w:szCs w:val="22"/>
        </w:rPr>
        <w:t xml:space="preserve"> </w:t>
      </w:r>
      <w:r w:rsidRPr="00FA53D6">
        <w:rPr>
          <w:rFonts w:cs="Arial"/>
          <w:b/>
          <w:sz w:val="22"/>
          <w:szCs w:val="22"/>
        </w:rPr>
        <w:t xml:space="preserve">transakce </w:t>
      </w:r>
      <w:r w:rsidRPr="00FA53D6">
        <w:rPr>
          <w:rFonts w:cs="Arial"/>
          <w:sz w:val="22"/>
          <w:szCs w:val="22"/>
        </w:rPr>
        <w:t xml:space="preserve">– </w:t>
      </w:r>
      <w:r w:rsidR="00674C76">
        <w:rPr>
          <w:rFonts w:cs="Arial"/>
          <w:sz w:val="22"/>
          <w:szCs w:val="22"/>
        </w:rPr>
        <w:t>A</w:t>
      </w:r>
      <w:r w:rsidRPr="00FA53D6">
        <w:rPr>
          <w:rFonts w:cs="Arial"/>
          <w:sz w:val="22"/>
          <w:szCs w:val="22"/>
        </w:rPr>
        <w:t>ktivity, jejichž prostřednictvím dochází k zintenzivnění transferu technologií a know-how či dalším pozitivním efektům ve prospěch ČR</w:t>
      </w:r>
      <w:r w:rsidR="00674C76">
        <w:rPr>
          <w:rFonts w:cs="Arial"/>
          <w:sz w:val="22"/>
          <w:szCs w:val="22"/>
        </w:rPr>
        <w:t>.</w:t>
      </w:r>
    </w:p>
    <w:p w14:paraId="4265F627" w14:textId="166F680A" w:rsidR="000669F3" w:rsidRPr="00FA53D6" w:rsidRDefault="000669F3" w:rsidP="000669F3">
      <w:pPr>
        <w:pStyle w:val="Odstavecseseznamem"/>
        <w:numPr>
          <w:ilvl w:val="0"/>
          <w:numId w:val="29"/>
        </w:numPr>
        <w:spacing w:before="120" w:after="60"/>
        <w:ind w:left="714" w:hanging="357"/>
        <w:jc w:val="both"/>
        <w:rPr>
          <w:rFonts w:cs="Arial"/>
          <w:sz w:val="22"/>
          <w:szCs w:val="22"/>
        </w:rPr>
      </w:pPr>
      <w:r w:rsidRPr="00FA53D6">
        <w:rPr>
          <w:rFonts w:cs="Arial"/>
          <w:b/>
          <w:sz w:val="22"/>
          <w:szCs w:val="22"/>
        </w:rPr>
        <w:t xml:space="preserve">Ostatní </w:t>
      </w:r>
      <w:r w:rsidRPr="00FA53D6">
        <w:rPr>
          <w:rFonts w:cs="Arial"/>
          <w:sz w:val="22"/>
          <w:szCs w:val="22"/>
        </w:rPr>
        <w:t xml:space="preserve">– </w:t>
      </w:r>
      <w:r w:rsidR="00674C76">
        <w:rPr>
          <w:rFonts w:cs="Arial"/>
          <w:sz w:val="22"/>
          <w:szCs w:val="22"/>
        </w:rPr>
        <w:t>V</w:t>
      </w:r>
      <w:r w:rsidRPr="00FA53D6">
        <w:rPr>
          <w:rFonts w:cs="Arial"/>
          <w:sz w:val="22"/>
          <w:szCs w:val="22"/>
        </w:rPr>
        <w:t>šechny ostatní offsetové transakce, které nespadají do jednoho z výše uvedených typů a byly akceptov</w:t>
      </w:r>
      <w:r w:rsidR="00674C76">
        <w:rPr>
          <w:rFonts w:cs="Arial"/>
          <w:sz w:val="22"/>
          <w:szCs w:val="22"/>
        </w:rPr>
        <w:t>ány</w:t>
      </w:r>
      <w:r w:rsidRPr="00FA53D6">
        <w:rPr>
          <w:rFonts w:cs="Arial"/>
          <w:sz w:val="22"/>
          <w:szCs w:val="22"/>
        </w:rPr>
        <w:t xml:space="preserve"> OFK, přičemž u nich došlo ke shodě mezi předkladatelem návrhu offsetové transakce a OFK i pokud jde o způsob měření a</w:t>
      </w:r>
      <w:r w:rsidR="00674C76">
        <w:rPr>
          <w:rFonts w:cs="Arial"/>
          <w:sz w:val="22"/>
          <w:szCs w:val="22"/>
        </w:rPr>
        <w:t> </w:t>
      </w:r>
      <w:r w:rsidRPr="00FA53D6">
        <w:rPr>
          <w:rFonts w:cs="Arial"/>
          <w:sz w:val="22"/>
          <w:szCs w:val="22"/>
        </w:rPr>
        <w:t>dokládání ekonomických přínosů.</w:t>
      </w:r>
    </w:p>
    <w:p w14:paraId="5CA11553" w14:textId="77777777" w:rsidR="000669F3" w:rsidRPr="00FA53D6" w:rsidRDefault="000669F3" w:rsidP="000669F3">
      <w:pPr>
        <w:spacing w:after="60"/>
        <w:rPr>
          <w:sz w:val="22"/>
          <w:szCs w:val="22"/>
          <w:u w:val="single"/>
        </w:rPr>
      </w:pPr>
      <w:r w:rsidRPr="00FA53D6">
        <w:rPr>
          <w:sz w:val="22"/>
          <w:szCs w:val="22"/>
          <w:u w:val="single"/>
        </w:rPr>
        <w:t>Mechanismus měření OFT a typy měření:</w:t>
      </w:r>
    </w:p>
    <w:p w14:paraId="2ABC0538" w14:textId="4AF70274" w:rsidR="000669F3" w:rsidRPr="00FA53D6" w:rsidRDefault="000669F3" w:rsidP="000669F3">
      <w:pPr>
        <w:pStyle w:val="Odstavecseseznamem"/>
        <w:numPr>
          <w:ilvl w:val="0"/>
          <w:numId w:val="30"/>
        </w:numPr>
        <w:spacing w:before="120" w:after="60"/>
        <w:jc w:val="both"/>
        <w:rPr>
          <w:sz w:val="22"/>
          <w:szCs w:val="22"/>
        </w:rPr>
      </w:pPr>
      <w:r w:rsidRPr="00FA53D6">
        <w:rPr>
          <w:b/>
          <w:sz w:val="22"/>
          <w:szCs w:val="22"/>
        </w:rPr>
        <w:t>Mechanismus měření</w:t>
      </w:r>
      <w:r w:rsidRPr="00FA53D6">
        <w:rPr>
          <w:sz w:val="22"/>
          <w:szCs w:val="22"/>
        </w:rPr>
        <w:t xml:space="preserve"> – </w:t>
      </w:r>
      <w:r w:rsidR="00674C76">
        <w:rPr>
          <w:sz w:val="22"/>
          <w:szCs w:val="22"/>
        </w:rPr>
        <w:t>H</w:t>
      </w:r>
      <w:r w:rsidRPr="00FA53D6">
        <w:rPr>
          <w:sz w:val="22"/>
          <w:szCs w:val="22"/>
        </w:rPr>
        <w:t xml:space="preserve">odnota transakce je představována ekonomickými přínosy z její realizace pro českého partnera a lze ji kvantifikovat příslušným mechanismem </w:t>
      </w:r>
      <w:r w:rsidRPr="00FA53D6">
        <w:rPr>
          <w:sz w:val="22"/>
          <w:szCs w:val="22"/>
        </w:rPr>
        <w:lastRenderedPageBreak/>
        <w:t xml:space="preserve">měření. Hodnota transakce započitatelná do plnění offsetového závazku musí být vždy doložena konkrétními údaji </w:t>
      </w:r>
      <w:r w:rsidR="00D920E5">
        <w:rPr>
          <w:sz w:val="22"/>
          <w:szCs w:val="22"/>
        </w:rPr>
        <w:t>z </w:t>
      </w:r>
      <w:r w:rsidRPr="00FA53D6">
        <w:rPr>
          <w:sz w:val="22"/>
          <w:szCs w:val="22"/>
        </w:rPr>
        <w:t>účetnictví českého partnera nebo jinými relevantními doklady (dohodnutými ve smluvním ujednání programu).</w:t>
      </w:r>
    </w:p>
    <w:p w14:paraId="0A20F6AF" w14:textId="36DEAF9C" w:rsidR="000669F3" w:rsidRPr="00FA53D6" w:rsidRDefault="000669F3" w:rsidP="000669F3">
      <w:pPr>
        <w:pStyle w:val="Odstavecseseznamem"/>
        <w:numPr>
          <w:ilvl w:val="0"/>
          <w:numId w:val="30"/>
        </w:numPr>
        <w:spacing w:before="120" w:after="60"/>
        <w:jc w:val="both"/>
        <w:rPr>
          <w:rFonts w:cs="Arial"/>
          <w:sz w:val="22"/>
          <w:szCs w:val="22"/>
        </w:rPr>
      </w:pPr>
      <w:r w:rsidRPr="00FA53D6">
        <w:rPr>
          <w:rFonts w:cs="Arial"/>
          <w:b/>
          <w:sz w:val="22"/>
          <w:szCs w:val="22"/>
        </w:rPr>
        <w:t>Mechanismus měření „A“</w:t>
      </w:r>
      <w:r w:rsidR="002E7E47">
        <w:rPr>
          <w:rFonts w:cs="Arial"/>
          <w:b/>
          <w:sz w:val="22"/>
          <w:szCs w:val="22"/>
        </w:rPr>
        <w:t>:</w:t>
      </w:r>
      <w:r w:rsidRPr="00FA53D6">
        <w:rPr>
          <w:rFonts w:cs="Arial"/>
          <w:b/>
          <w:sz w:val="22"/>
          <w:szCs w:val="22"/>
        </w:rPr>
        <w:t xml:space="preserve"> Přímé zahraniční investice</w:t>
      </w:r>
      <w:r w:rsidRPr="00FA53D6">
        <w:rPr>
          <w:rFonts w:cs="Arial"/>
          <w:sz w:val="22"/>
          <w:szCs w:val="22"/>
        </w:rPr>
        <w:t xml:space="preserve"> – </w:t>
      </w:r>
      <w:r w:rsidR="00674C76">
        <w:rPr>
          <w:rFonts w:cs="Arial"/>
          <w:sz w:val="22"/>
          <w:szCs w:val="22"/>
        </w:rPr>
        <w:t xml:space="preserve">Jedná se o </w:t>
      </w:r>
      <w:r w:rsidRPr="00FA53D6">
        <w:rPr>
          <w:rFonts w:cs="Arial"/>
          <w:sz w:val="22"/>
          <w:szCs w:val="22"/>
        </w:rPr>
        <w:t xml:space="preserve">tržby </w:t>
      </w:r>
      <w:r w:rsidR="00D920E5">
        <w:rPr>
          <w:rFonts w:cs="Arial"/>
          <w:sz w:val="22"/>
          <w:szCs w:val="22"/>
        </w:rPr>
        <w:t>z </w:t>
      </w:r>
      <w:r w:rsidRPr="00FA53D6">
        <w:rPr>
          <w:rFonts w:cs="Arial"/>
          <w:sz w:val="22"/>
          <w:szCs w:val="22"/>
        </w:rPr>
        <w:t>vlastních výkonů českého partnera transakce, vzniklých v přímé souvislosti s danou investicí, očistěné od hodnoty materiálu a služeb nakupovaných ze zahraničí v rámci dané transakce.</w:t>
      </w:r>
    </w:p>
    <w:p w14:paraId="2DA45A09" w14:textId="1803B53D" w:rsidR="000669F3" w:rsidRPr="00FA53D6" w:rsidRDefault="000669F3" w:rsidP="000669F3">
      <w:pPr>
        <w:pStyle w:val="Odstavecseseznamem"/>
        <w:numPr>
          <w:ilvl w:val="0"/>
          <w:numId w:val="30"/>
        </w:numPr>
        <w:spacing w:before="120" w:after="60"/>
        <w:jc w:val="both"/>
        <w:rPr>
          <w:rFonts w:cs="Arial"/>
          <w:sz w:val="22"/>
          <w:szCs w:val="22"/>
        </w:rPr>
      </w:pPr>
      <w:r w:rsidRPr="00FA53D6">
        <w:rPr>
          <w:rFonts w:cs="Arial"/>
          <w:b/>
          <w:sz w:val="22"/>
          <w:szCs w:val="22"/>
        </w:rPr>
        <w:t>Mechanismus měření „B“</w:t>
      </w:r>
      <w:r w:rsidR="002E7E47">
        <w:rPr>
          <w:rFonts w:cs="Arial"/>
          <w:b/>
          <w:sz w:val="22"/>
          <w:szCs w:val="22"/>
        </w:rPr>
        <w:t>:</w:t>
      </w:r>
      <w:r w:rsidRPr="00FA53D6">
        <w:rPr>
          <w:rFonts w:cs="Arial"/>
          <w:b/>
          <w:sz w:val="22"/>
          <w:szCs w:val="22"/>
        </w:rPr>
        <w:t xml:space="preserve"> Podpora exportu</w:t>
      </w:r>
      <w:r w:rsidRPr="00FA53D6">
        <w:rPr>
          <w:rFonts w:cs="Arial"/>
          <w:sz w:val="22"/>
          <w:szCs w:val="22"/>
        </w:rPr>
        <w:t xml:space="preserve"> – </w:t>
      </w:r>
      <w:r w:rsidR="00674C76">
        <w:rPr>
          <w:rFonts w:cs="Arial"/>
          <w:sz w:val="22"/>
          <w:szCs w:val="22"/>
        </w:rPr>
        <w:t xml:space="preserve">Jde o </w:t>
      </w:r>
      <w:r w:rsidRPr="00FA53D6">
        <w:rPr>
          <w:rFonts w:cs="Arial"/>
          <w:sz w:val="22"/>
          <w:szCs w:val="22"/>
        </w:rPr>
        <w:t xml:space="preserve">tržby </w:t>
      </w:r>
      <w:r w:rsidR="00D920E5">
        <w:rPr>
          <w:rFonts w:cs="Arial"/>
          <w:sz w:val="22"/>
          <w:szCs w:val="22"/>
        </w:rPr>
        <w:t>z </w:t>
      </w:r>
      <w:r w:rsidRPr="00FA53D6">
        <w:rPr>
          <w:rFonts w:cs="Arial"/>
          <w:sz w:val="22"/>
          <w:szCs w:val="22"/>
        </w:rPr>
        <w:t>exportu očištěné od hodnoty materiálu a služeb nakupovaných ze zahraničí v rámci dané transakce.</w:t>
      </w:r>
    </w:p>
    <w:p w14:paraId="151EE988" w14:textId="5A5502E2" w:rsidR="000669F3" w:rsidRPr="00FA53D6" w:rsidRDefault="000669F3" w:rsidP="000669F3">
      <w:pPr>
        <w:pStyle w:val="Odstavecseseznamem"/>
        <w:numPr>
          <w:ilvl w:val="0"/>
          <w:numId w:val="30"/>
        </w:numPr>
        <w:spacing w:before="120" w:after="60"/>
        <w:jc w:val="both"/>
        <w:rPr>
          <w:rFonts w:cs="Arial"/>
          <w:sz w:val="22"/>
          <w:szCs w:val="22"/>
        </w:rPr>
      </w:pPr>
      <w:r w:rsidRPr="00FA53D6">
        <w:rPr>
          <w:rFonts w:cs="Arial"/>
          <w:b/>
          <w:sz w:val="22"/>
          <w:szCs w:val="22"/>
        </w:rPr>
        <w:t>Mechanismus měření „C“</w:t>
      </w:r>
      <w:r w:rsidR="002E7E47">
        <w:rPr>
          <w:rFonts w:cs="Arial"/>
          <w:b/>
          <w:sz w:val="22"/>
          <w:szCs w:val="22"/>
        </w:rPr>
        <w:t>:</w:t>
      </w:r>
      <w:r w:rsidRPr="00FA53D6">
        <w:rPr>
          <w:rFonts w:cs="Arial"/>
          <w:b/>
          <w:sz w:val="22"/>
          <w:szCs w:val="22"/>
        </w:rPr>
        <w:t xml:space="preserve"> Jiný způsob</w:t>
      </w:r>
      <w:r w:rsidRPr="00FA53D6">
        <w:rPr>
          <w:rFonts w:cs="Arial"/>
          <w:sz w:val="22"/>
          <w:szCs w:val="22"/>
        </w:rPr>
        <w:t xml:space="preserve"> – </w:t>
      </w:r>
      <w:r w:rsidR="00674C76">
        <w:rPr>
          <w:rFonts w:cs="Arial"/>
          <w:sz w:val="22"/>
          <w:szCs w:val="22"/>
        </w:rPr>
        <w:t xml:space="preserve">Způsob měření navrhne předkladatel. </w:t>
      </w:r>
    </w:p>
    <w:p w14:paraId="5DF1CD36" w14:textId="77777777" w:rsidR="000669F3" w:rsidRPr="00FA53D6" w:rsidRDefault="000669F3" w:rsidP="000669F3">
      <w:pPr>
        <w:rPr>
          <w:sz w:val="22"/>
          <w:szCs w:val="22"/>
        </w:rPr>
      </w:pPr>
    </w:p>
    <w:p w14:paraId="205A8369" w14:textId="0A5C8636" w:rsidR="000669F3" w:rsidRPr="00FA53D6" w:rsidRDefault="000669F3" w:rsidP="00BB00E8">
      <w:pPr>
        <w:spacing w:after="60"/>
        <w:rPr>
          <w:sz w:val="22"/>
          <w:szCs w:val="22"/>
          <w:u w:val="single"/>
        </w:rPr>
      </w:pPr>
      <w:r w:rsidRPr="00FA53D6">
        <w:rPr>
          <w:sz w:val="22"/>
          <w:szCs w:val="22"/>
          <w:u w:val="single"/>
        </w:rPr>
        <w:t>Valorizace hodnoty offsetových transakcí</w:t>
      </w:r>
      <w:r w:rsidR="00E22318">
        <w:rPr>
          <w:sz w:val="22"/>
          <w:szCs w:val="22"/>
          <w:u w:val="single"/>
        </w:rPr>
        <w:t>:</w:t>
      </w:r>
    </w:p>
    <w:p w14:paraId="4B70111C" w14:textId="0FB1B12C" w:rsidR="000669F3" w:rsidRPr="007B0A2F" w:rsidRDefault="000669F3" w:rsidP="00BB00E8">
      <w:pPr>
        <w:pStyle w:val="Odstavecseseznamem"/>
        <w:numPr>
          <w:ilvl w:val="0"/>
          <w:numId w:val="46"/>
        </w:numPr>
        <w:spacing w:after="120"/>
        <w:jc w:val="both"/>
        <w:rPr>
          <w:sz w:val="22"/>
          <w:szCs w:val="22"/>
        </w:rPr>
      </w:pPr>
      <w:r w:rsidRPr="007B0A2F">
        <w:rPr>
          <w:b/>
          <w:sz w:val="22"/>
          <w:szCs w:val="22"/>
        </w:rPr>
        <w:t xml:space="preserve">Hodnota offsetové transakce </w:t>
      </w:r>
      <w:r w:rsidRPr="007B0A2F">
        <w:rPr>
          <w:rFonts w:cs="Arial"/>
          <w:sz w:val="22"/>
          <w:szCs w:val="22"/>
        </w:rPr>
        <w:t xml:space="preserve">– </w:t>
      </w:r>
      <w:r w:rsidR="00E22318" w:rsidRPr="007B0A2F">
        <w:rPr>
          <w:rFonts w:cs="Arial"/>
          <w:sz w:val="22"/>
          <w:szCs w:val="22"/>
        </w:rPr>
        <w:t xml:space="preserve">Termínem se rozumí </w:t>
      </w:r>
      <w:r w:rsidRPr="007B0A2F">
        <w:rPr>
          <w:sz w:val="22"/>
          <w:szCs w:val="22"/>
        </w:rPr>
        <w:t>hodnota českého obsahu konkrétního obchodního případu vykazovaná v rámci plnění projektu (OFT), který je obsahem schváleného návrhu OFT offsetovou komisí a akceptován k zařazení do konkrétního PPS smluvními stranami.</w:t>
      </w:r>
    </w:p>
    <w:p w14:paraId="254D4154" w14:textId="75C04374" w:rsidR="000669F3" w:rsidRPr="007B0A2F" w:rsidRDefault="000669F3" w:rsidP="00BB00E8">
      <w:pPr>
        <w:pStyle w:val="Odstavecseseznamem"/>
        <w:numPr>
          <w:ilvl w:val="0"/>
          <w:numId w:val="46"/>
        </w:numPr>
        <w:spacing w:after="120"/>
        <w:jc w:val="both"/>
        <w:rPr>
          <w:rFonts w:cs="Arial"/>
          <w:sz w:val="22"/>
          <w:szCs w:val="22"/>
        </w:rPr>
      </w:pPr>
      <w:r w:rsidRPr="007B0A2F">
        <w:rPr>
          <w:b/>
          <w:sz w:val="22"/>
          <w:szCs w:val="22"/>
        </w:rPr>
        <w:t>Valorizovaná hodnota offsetové transakce</w:t>
      </w:r>
      <w:r w:rsidRPr="007B0A2F">
        <w:rPr>
          <w:sz w:val="22"/>
          <w:szCs w:val="22"/>
        </w:rPr>
        <w:t xml:space="preserve"> </w:t>
      </w:r>
      <w:r w:rsidRPr="007B0A2F">
        <w:rPr>
          <w:rFonts w:cs="Arial"/>
          <w:sz w:val="22"/>
          <w:szCs w:val="22"/>
        </w:rPr>
        <w:t xml:space="preserve">– </w:t>
      </w:r>
      <w:r w:rsidR="00E22318">
        <w:rPr>
          <w:rFonts w:cs="Arial"/>
          <w:sz w:val="22"/>
          <w:szCs w:val="22"/>
        </w:rPr>
        <w:t>H</w:t>
      </w:r>
      <w:r w:rsidRPr="007B0A2F">
        <w:rPr>
          <w:rFonts w:cs="Arial"/>
          <w:sz w:val="22"/>
          <w:szCs w:val="22"/>
        </w:rPr>
        <w:t xml:space="preserve">odnota offsetové transakce mohla být na základě vzájemné dohody mezi kontraktorem (předkladatelem návrhu OFT, resp. nositelem offsetového závazku) </w:t>
      </w:r>
      <w:r w:rsidR="00E22318">
        <w:rPr>
          <w:rFonts w:cs="Arial"/>
          <w:sz w:val="22"/>
          <w:szCs w:val="22"/>
        </w:rPr>
        <w:t xml:space="preserve">a zadavatelem </w:t>
      </w:r>
      <w:r w:rsidRPr="007B0A2F">
        <w:rPr>
          <w:rFonts w:cs="Arial"/>
          <w:sz w:val="22"/>
          <w:szCs w:val="22"/>
        </w:rPr>
        <w:t>hodnocena jinak než na základě hodnoty českého obsahu. Valorizace hodnoty offsetové transakce je realizována pomocí „offsetových koeficientů“. Valorizace byla umožněna Zásadami 1998, přičemž bližší podmínky valorizace byly sjednány v konkrétních smlouvách (offsetových dohodách) s ohledem na specifikaci valorizace v Zásadách 1998 a Pravidlech 1998. Zásady 2005 valorizaci hodnoty OFT nepřipouštěly.</w:t>
      </w:r>
    </w:p>
    <w:p w14:paraId="1FD00B69" w14:textId="58DF04F1" w:rsidR="000669F3" w:rsidRPr="007B0A2F" w:rsidRDefault="000669F3" w:rsidP="00BB00E8">
      <w:pPr>
        <w:pStyle w:val="Odstavecseseznamem"/>
        <w:numPr>
          <w:ilvl w:val="0"/>
          <w:numId w:val="46"/>
        </w:numPr>
        <w:spacing w:after="120"/>
        <w:jc w:val="both"/>
        <w:rPr>
          <w:rFonts w:cs="Arial"/>
          <w:sz w:val="22"/>
          <w:szCs w:val="22"/>
        </w:rPr>
      </w:pPr>
      <w:r w:rsidRPr="007B0A2F">
        <w:rPr>
          <w:rFonts w:cs="Arial"/>
          <w:b/>
          <w:sz w:val="22"/>
          <w:szCs w:val="22"/>
        </w:rPr>
        <w:t xml:space="preserve">Offsetový koeficient </w:t>
      </w:r>
      <w:r w:rsidRPr="007B0A2F">
        <w:rPr>
          <w:rFonts w:cs="Arial"/>
          <w:sz w:val="22"/>
          <w:szCs w:val="22"/>
        </w:rPr>
        <w:t xml:space="preserve">– </w:t>
      </w:r>
      <w:r w:rsidR="00E22318">
        <w:rPr>
          <w:rFonts w:cs="Arial"/>
          <w:sz w:val="22"/>
          <w:szCs w:val="22"/>
        </w:rPr>
        <w:t>O</w:t>
      </w:r>
      <w:r w:rsidRPr="007B0A2F">
        <w:rPr>
          <w:rFonts w:cs="Arial"/>
          <w:sz w:val="22"/>
          <w:szCs w:val="22"/>
        </w:rPr>
        <w:t>ffsetový koeficient je konstantní číslo, kterým je násobena vykazovaná hodnota plnění OFT</w:t>
      </w:r>
      <w:r w:rsidR="00E22318">
        <w:rPr>
          <w:rFonts w:cs="Arial"/>
          <w:sz w:val="22"/>
          <w:szCs w:val="22"/>
        </w:rPr>
        <w:t xml:space="preserve"> a</w:t>
      </w:r>
      <w:r w:rsidRPr="007B0A2F">
        <w:rPr>
          <w:rFonts w:cs="Arial"/>
          <w:sz w:val="22"/>
          <w:szCs w:val="22"/>
        </w:rPr>
        <w:t xml:space="preserve"> které zohledňuje přínos pro českou stranu. Zásady 1998 a Pravidla 1998 stanovily offsetové koeficienty pro jednotlivé oblasti dle míry přínosu (např. export výrobků high-tech</w:t>
      </w:r>
      <w:r w:rsidRPr="007B0A2F">
        <w:rPr>
          <w:rFonts w:cs="Arial"/>
          <w:i/>
          <w:sz w:val="22"/>
          <w:szCs w:val="22"/>
        </w:rPr>
        <w:t xml:space="preserve">, </w:t>
      </w:r>
      <w:r w:rsidRPr="007B0A2F">
        <w:rPr>
          <w:rFonts w:cs="Arial"/>
          <w:sz w:val="22"/>
          <w:szCs w:val="22"/>
        </w:rPr>
        <w:t>transfer technologie a know-how, investice vedoucí k nové průmyslové výrobě, zvýšení zaměstnanosti v okresech s vysokou mírou nezaměstnanosti).</w:t>
      </w:r>
    </w:p>
    <w:p w14:paraId="1232F90B" w14:textId="77777777" w:rsidR="000669F3" w:rsidRDefault="000669F3" w:rsidP="000669F3">
      <w:pPr>
        <w:rPr>
          <w:rFonts w:cs="Arial"/>
          <w:szCs w:val="22"/>
        </w:rPr>
      </w:pPr>
    </w:p>
    <w:p w14:paraId="462CA1FD" w14:textId="77777777" w:rsidR="000669F3" w:rsidRDefault="000669F3" w:rsidP="000669F3">
      <w:pPr>
        <w:rPr>
          <w:szCs w:val="22"/>
        </w:rPr>
      </w:pPr>
    </w:p>
    <w:p w14:paraId="633615EF" w14:textId="0AF89AEA" w:rsidR="000669F3" w:rsidRDefault="000669F3" w:rsidP="000669F3">
      <w:pPr>
        <w:rPr>
          <w:szCs w:val="22"/>
        </w:rPr>
      </w:pPr>
      <w:r>
        <w:rPr>
          <w:szCs w:val="22"/>
        </w:rPr>
        <w:br w:type="page"/>
      </w:r>
    </w:p>
    <w:p w14:paraId="2A69046E" w14:textId="7ADD9D0F" w:rsidR="00A42511" w:rsidRDefault="00A42511" w:rsidP="00A42511">
      <w:pPr>
        <w:autoSpaceDE w:val="0"/>
        <w:autoSpaceDN w:val="0"/>
        <w:adjustRightInd w:val="0"/>
        <w:spacing w:before="40"/>
        <w:jc w:val="right"/>
        <w:rPr>
          <w:rFonts w:cs="Arial"/>
          <w:sz w:val="22"/>
          <w:szCs w:val="22"/>
        </w:rPr>
      </w:pPr>
      <w:r w:rsidRPr="00A42511">
        <w:rPr>
          <w:rFonts w:cs="Arial"/>
          <w:sz w:val="22"/>
          <w:szCs w:val="22"/>
        </w:rPr>
        <w:lastRenderedPageBreak/>
        <w:t xml:space="preserve">Příloha </w:t>
      </w:r>
      <w:r w:rsidR="00773C7A">
        <w:rPr>
          <w:rFonts w:cs="Arial"/>
          <w:sz w:val="22"/>
          <w:szCs w:val="22"/>
        </w:rPr>
        <w:t xml:space="preserve">č. </w:t>
      </w:r>
      <w:r w:rsidRPr="00A42511">
        <w:rPr>
          <w:rFonts w:cs="Arial"/>
          <w:sz w:val="22"/>
          <w:szCs w:val="22"/>
        </w:rPr>
        <w:t>2</w:t>
      </w:r>
    </w:p>
    <w:p w14:paraId="7B3FFF71" w14:textId="77777777" w:rsidR="00A42511" w:rsidRPr="00A42511" w:rsidRDefault="00A42511" w:rsidP="00A42511">
      <w:pPr>
        <w:autoSpaceDE w:val="0"/>
        <w:autoSpaceDN w:val="0"/>
        <w:adjustRightInd w:val="0"/>
        <w:spacing w:before="40"/>
        <w:rPr>
          <w:rFonts w:cs="Arial"/>
          <w:sz w:val="22"/>
          <w:szCs w:val="22"/>
        </w:rPr>
      </w:pPr>
    </w:p>
    <w:p w14:paraId="03FE7B60" w14:textId="77777777" w:rsidR="00210CD5" w:rsidRDefault="000669F3" w:rsidP="00817249">
      <w:pPr>
        <w:autoSpaceDE w:val="0"/>
        <w:autoSpaceDN w:val="0"/>
        <w:adjustRightInd w:val="0"/>
        <w:spacing w:before="40"/>
        <w:jc w:val="center"/>
        <w:rPr>
          <w:rFonts w:cs="Arial"/>
          <w:b/>
        </w:rPr>
      </w:pPr>
      <w:r w:rsidRPr="00126D95">
        <w:rPr>
          <w:rFonts w:cs="Arial"/>
          <w:b/>
        </w:rPr>
        <w:t xml:space="preserve">Schéma základních procesů přípravy a realizace programů </w:t>
      </w:r>
    </w:p>
    <w:p w14:paraId="059D4FA0" w14:textId="54CFC786" w:rsidR="000669F3" w:rsidRDefault="000669F3" w:rsidP="00817249">
      <w:pPr>
        <w:autoSpaceDE w:val="0"/>
        <w:autoSpaceDN w:val="0"/>
        <w:adjustRightInd w:val="0"/>
        <w:spacing w:before="40"/>
        <w:jc w:val="center"/>
        <w:rPr>
          <w:rFonts w:cs="Arial"/>
          <w:b/>
        </w:rPr>
      </w:pPr>
      <w:r w:rsidRPr="00126D95">
        <w:rPr>
          <w:rFonts w:cs="Arial"/>
          <w:b/>
        </w:rPr>
        <w:t>průmyslové spolupráce</w:t>
      </w:r>
    </w:p>
    <w:p w14:paraId="7232A1FA" w14:textId="77777777" w:rsidR="0012239A" w:rsidRPr="007B0A2F" w:rsidRDefault="0012239A" w:rsidP="007B0A2F">
      <w:pPr>
        <w:autoSpaceDE w:val="0"/>
        <w:autoSpaceDN w:val="0"/>
        <w:adjustRightInd w:val="0"/>
        <w:rPr>
          <w:rFonts w:cs="Arial"/>
          <w:b/>
          <w:noProof/>
          <w:sz w:val="22"/>
          <w:szCs w:val="22"/>
        </w:rPr>
      </w:pPr>
    </w:p>
    <w:p w14:paraId="7F045DC0" w14:textId="77777777" w:rsidR="000669F3" w:rsidRPr="001315D9" w:rsidRDefault="000669F3" w:rsidP="000669F3">
      <w:pPr>
        <w:autoSpaceDE w:val="0"/>
        <w:autoSpaceDN w:val="0"/>
        <w:adjustRightInd w:val="0"/>
        <w:spacing w:before="40"/>
        <w:rPr>
          <w:rFonts w:cs="Arial"/>
        </w:rPr>
      </w:pPr>
      <w:r w:rsidRPr="001315D9">
        <w:rPr>
          <w:noProof/>
        </w:rPr>
        <w:drawing>
          <wp:inline distT="0" distB="0" distL="0" distR="0" wp14:anchorId="481D89B6" wp14:editId="3038F165">
            <wp:extent cx="3840480" cy="3723436"/>
            <wp:effectExtent l="0" t="0" r="7620" b="0"/>
            <wp:docPr id="3" name="Obrázek 3" descr="D:\1_workshop\1208_offsety\MPO\KP_MPO\Schema_offsety_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_workshop\1208_offsety\MPO\KP_MPO\Schema_offsety_K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4527" cy="3727360"/>
                    </a:xfrm>
                    <a:prstGeom prst="rect">
                      <a:avLst/>
                    </a:prstGeom>
                    <a:noFill/>
                    <a:ln>
                      <a:noFill/>
                    </a:ln>
                  </pic:spPr>
                </pic:pic>
              </a:graphicData>
            </a:graphic>
          </wp:inline>
        </w:drawing>
      </w:r>
    </w:p>
    <w:p w14:paraId="658D8A88" w14:textId="4BFEB786" w:rsidR="000669F3" w:rsidRDefault="000669F3" w:rsidP="00FA53D6">
      <w:pPr>
        <w:autoSpaceDE w:val="0"/>
        <w:autoSpaceDN w:val="0"/>
        <w:adjustRightInd w:val="0"/>
        <w:spacing w:before="120"/>
        <w:rPr>
          <w:rFonts w:cs="Arial"/>
          <w:sz w:val="18"/>
          <w:szCs w:val="18"/>
        </w:rPr>
      </w:pPr>
      <w:r w:rsidRPr="0001099B">
        <w:rPr>
          <w:rFonts w:cs="Arial"/>
          <w:b/>
          <w:sz w:val="18"/>
          <w:szCs w:val="18"/>
        </w:rPr>
        <w:t>Zdroj:</w:t>
      </w:r>
      <w:r w:rsidRPr="000669F3">
        <w:rPr>
          <w:rFonts w:cs="Arial"/>
          <w:sz w:val="18"/>
          <w:szCs w:val="18"/>
        </w:rPr>
        <w:t xml:space="preserve"> vlastní zpracování NKÚ</w:t>
      </w:r>
      <w:r w:rsidR="00E22318">
        <w:rPr>
          <w:rFonts w:cs="Arial"/>
          <w:sz w:val="18"/>
          <w:szCs w:val="18"/>
        </w:rPr>
        <w:t>.</w:t>
      </w:r>
    </w:p>
    <w:p w14:paraId="3E20BDB1" w14:textId="77777777" w:rsidR="0012239A" w:rsidRPr="00FA53D6" w:rsidRDefault="0012239A" w:rsidP="00FA53D6">
      <w:pPr>
        <w:autoSpaceDE w:val="0"/>
        <w:autoSpaceDN w:val="0"/>
        <w:adjustRightInd w:val="0"/>
        <w:spacing w:after="120"/>
        <w:rPr>
          <w:rFonts w:cs="Arial"/>
          <w:sz w:val="22"/>
          <w:szCs w:val="22"/>
        </w:rPr>
      </w:pPr>
    </w:p>
    <w:p w14:paraId="02085FF2" w14:textId="76A53B9F" w:rsidR="000669F3" w:rsidRDefault="000669F3" w:rsidP="007B0A2F">
      <w:pPr>
        <w:autoSpaceDE w:val="0"/>
        <w:autoSpaceDN w:val="0"/>
        <w:adjustRightInd w:val="0"/>
        <w:jc w:val="both"/>
        <w:rPr>
          <w:rFonts w:cs="Arial"/>
          <w:sz w:val="22"/>
          <w:szCs w:val="22"/>
        </w:rPr>
      </w:pPr>
      <w:r w:rsidRPr="000669F3">
        <w:rPr>
          <w:rFonts w:cs="Arial"/>
          <w:sz w:val="22"/>
          <w:szCs w:val="22"/>
        </w:rPr>
        <w:t>Řada činností tvoří průřezové procesy, na kterých se podílejí nejen MPO a jím vytvořená OFK, ale i samotní zadavatelé (MO, MV), předkladatelé offsetových transakcí (</w:t>
      </w:r>
      <w:r w:rsidR="00D920E5">
        <w:rPr>
          <w:rFonts w:cs="Arial"/>
          <w:sz w:val="22"/>
          <w:szCs w:val="22"/>
        </w:rPr>
        <w:t>v </w:t>
      </w:r>
      <w:r w:rsidRPr="000669F3">
        <w:rPr>
          <w:rFonts w:cs="Arial"/>
          <w:sz w:val="22"/>
          <w:szCs w:val="22"/>
        </w:rPr>
        <w:t xml:space="preserve">některých případech přímo nositelé offsetového závazku) a samozřejmě čeští a zahraniční partneři realizující plnění OFT. </w:t>
      </w:r>
    </w:p>
    <w:p w14:paraId="1A0561C5" w14:textId="77777777" w:rsidR="00FA53D6" w:rsidRPr="000669F3" w:rsidRDefault="00FA53D6" w:rsidP="007B0A2F">
      <w:pPr>
        <w:autoSpaceDE w:val="0"/>
        <w:autoSpaceDN w:val="0"/>
        <w:adjustRightInd w:val="0"/>
        <w:jc w:val="both"/>
        <w:rPr>
          <w:rFonts w:cs="Arial"/>
          <w:sz w:val="22"/>
          <w:szCs w:val="22"/>
        </w:rPr>
      </w:pPr>
    </w:p>
    <w:p w14:paraId="165586E8" w14:textId="1D76D549" w:rsidR="000669F3" w:rsidRDefault="000669F3" w:rsidP="007B0A2F">
      <w:pPr>
        <w:autoSpaceDE w:val="0"/>
        <w:autoSpaceDN w:val="0"/>
        <w:adjustRightInd w:val="0"/>
        <w:jc w:val="both"/>
        <w:rPr>
          <w:rFonts w:cs="Arial"/>
          <w:sz w:val="22"/>
          <w:szCs w:val="22"/>
        </w:rPr>
      </w:pPr>
      <w:r w:rsidRPr="000669F3">
        <w:rPr>
          <w:rFonts w:cs="Arial"/>
          <w:sz w:val="22"/>
          <w:szCs w:val="22"/>
        </w:rPr>
        <w:t xml:space="preserve">Předkladatel zpracoval návrh OFT, ke kterému připojili své stanovisko partneři transakce, přičemž jedním </w:t>
      </w:r>
      <w:r w:rsidR="00D920E5">
        <w:rPr>
          <w:rFonts w:cs="Arial"/>
          <w:sz w:val="22"/>
          <w:szCs w:val="22"/>
        </w:rPr>
        <w:t>z </w:t>
      </w:r>
      <w:r w:rsidRPr="000669F3">
        <w:rPr>
          <w:rFonts w:cs="Arial"/>
          <w:sz w:val="22"/>
          <w:szCs w:val="22"/>
        </w:rPr>
        <w:t xml:space="preserve">nich měl být vždy český partner a druhým byl zpravidla zahraniční partner. Předložený návrh OFT měl posoudit odborný útvar MPO </w:t>
      </w:r>
      <w:r w:rsidR="00E22318">
        <w:rPr>
          <w:rFonts w:cs="Arial"/>
          <w:sz w:val="22"/>
          <w:szCs w:val="22"/>
        </w:rPr>
        <w:t xml:space="preserve">a </w:t>
      </w:r>
      <w:r w:rsidRPr="000669F3">
        <w:rPr>
          <w:rFonts w:cs="Arial"/>
          <w:sz w:val="22"/>
          <w:szCs w:val="22"/>
        </w:rPr>
        <w:t>tajemník sekretariátu OFK</w:t>
      </w:r>
      <w:r w:rsidR="00613346">
        <w:rPr>
          <w:rFonts w:cs="Arial"/>
          <w:sz w:val="22"/>
          <w:szCs w:val="22"/>
        </w:rPr>
        <w:t xml:space="preserve">, </w:t>
      </w:r>
      <w:r w:rsidRPr="000669F3">
        <w:rPr>
          <w:rFonts w:cs="Arial"/>
          <w:sz w:val="22"/>
          <w:szCs w:val="22"/>
        </w:rPr>
        <w:t xml:space="preserve">výsledkem mělo být doporučení pro OFK, která na nejbližším zasedání návrh OFT projednala a schválila, případně požádala o jeho doplnění nebo jej i zamítla. Dokladem potvrzujícím schválení návrhu OFT bylo </w:t>
      </w:r>
      <w:r w:rsidR="00613346">
        <w:rPr>
          <w:rFonts w:cs="Arial"/>
          <w:sz w:val="22"/>
          <w:szCs w:val="22"/>
        </w:rPr>
        <w:t>„p</w:t>
      </w:r>
      <w:r w:rsidRPr="000669F3">
        <w:rPr>
          <w:rFonts w:cs="Arial"/>
          <w:sz w:val="22"/>
          <w:szCs w:val="22"/>
        </w:rPr>
        <w:t>otvrzení offsetové transakce</w:t>
      </w:r>
      <w:r w:rsidR="00613346">
        <w:rPr>
          <w:rFonts w:cs="Arial"/>
          <w:sz w:val="22"/>
          <w:szCs w:val="22"/>
        </w:rPr>
        <w:t>“</w:t>
      </w:r>
      <w:r w:rsidRPr="000669F3">
        <w:rPr>
          <w:rFonts w:cs="Arial"/>
          <w:sz w:val="22"/>
          <w:szCs w:val="22"/>
        </w:rPr>
        <w:t xml:space="preserve">, které podepisoval předseda OFK a MPO jej spolu s dopisem </w:t>
      </w:r>
      <w:r w:rsidR="00613346">
        <w:rPr>
          <w:rFonts w:cs="Arial"/>
          <w:sz w:val="22"/>
          <w:szCs w:val="22"/>
        </w:rPr>
        <w:t>odeslalo</w:t>
      </w:r>
      <w:r w:rsidRPr="000669F3">
        <w:rPr>
          <w:rFonts w:cs="Arial"/>
          <w:sz w:val="22"/>
          <w:szCs w:val="22"/>
        </w:rPr>
        <w:t xml:space="preserve"> předkladateli návrhu OFT.</w:t>
      </w:r>
    </w:p>
    <w:p w14:paraId="5B8494B0" w14:textId="77777777" w:rsidR="00FA53D6" w:rsidRPr="000669F3" w:rsidRDefault="00FA53D6" w:rsidP="007B0A2F">
      <w:pPr>
        <w:autoSpaceDE w:val="0"/>
        <w:autoSpaceDN w:val="0"/>
        <w:adjustRightInd w:val="0"/>
        <w:jc w:val="both"/>
        <w:rPr>
          <w:rFonts w:cs="Arial"/>
          <w:sz w:val="22"/>
          <w:szCs w:val="22"/>
        </w:rPr>
      </w:pPr>
    </w:p>
    <w:p w14:paraId="6A252A67" w14:textId="41357205" w:rsidR="000669F3" w:rsidRDefault="000669F3" w:rsidP="007B0A2F">
      <w:pPr>
        <w:autoSpaceDE w:val="0"/>
        <w:autoSpaceDN w:val="0"/>
        <w:adjustRightInd w:val="0"/>
        <w:jc w:val="both"/>
        <w:rPr>
          <w:rFonts w:cs="Arial"/>
          <w:sz w:val="22"/>
          <w:szCs w:val="22"/>
        </w:rPr>
      </w:pPr>
      <w:r w:rsidRPr="000669F3">
        <w:rPr>
          <w:rFonts w:cs="Arial"/>
          <w:sz w:val="22"/>
          <w:szCs w:val="22"/>
        </w:rPr>
        <w:t xml:space="preserve">Po schválení OFT měla u projektů probíhat jejich příprava a realizace. Výstupy těchto projektů měly představovat plnění OFT. Realizace OFT českým partnerem ve spolupráci se zahraničním měla být osvědčena doklady, které s ohledem na charakter transakce zpravidla poskytl předkladateli OFT nebo nositeli offsetového závazku český partner mající prospěch </w:t>
      </w:r>
      <w:r w:rsidR="00D920E5">
        <w:rPr>
          <w:rFonts w:cs="Arial"/>
          <w:sz w:val="22"/>
          <w:szCs w:val="22"/>
        </w:rPr>
        <w:t>z </w:t>
      </w:r>
      <w:r w:rsidRPr="000669F3">
        <w:rPr>
          <w:rFonts w:cs="Arial"/>
          <w:sz w:val="22"/>
          <w:szCs w:val="22"/>
        </w:rPr>
        <w:t xml:space="preserve">transakce (získání výrobní zakázky, investice, transfer know-how). Doklady </w:t>
      </w:r>
      <w:r w:rsidR="00D920E5">
        <w:rPr>
          <w:rFonts w:cs="Arial"/>
          <w:sz w:val="22"/>
          <w:szCs w:val="22"/>
        </w:rPr>
        <w:t>z </w:t>
      </w:r>
      <w:r w:rsidRPr="000669F3">
        <w:rPr>
          <w:rFonts w:cs="Arial"/>
          <w:sz w:val="22"/>
          <w:szCs w:val="22"/>
        </w:rPr>
        <w:t>účetnictví českého partnera měly být součástí zprávy o plnění PPS v daném roce u konkrétní OFT.</w:t>
      </w:r>
    </w:p>
    <w:p w14:paraId="3D3F6F3C" w14:textId="77777777" w:rsidR="00FA53D6" w:rsidRPr="000669F3" w:rsidRDefault="00FA53D6" w:rsidP="00FA53D6">
      <w:pPr>
        <w:autoSpaceDE w:val="0"/>
        <w:autoSpaceDN w:val="0"/>
        <w:adjustRightInd w:val="0"/>
        <w:rPr>
          <w:rFonts w:cs="Arial"/>
          <w:sz w:val="22"/>
          <w:szCs w:val="22"/>
        </w:rPr>
      </w:pPr>
    </w:p>
    <w:p w14:paraId="2ED8A422" w14:textId="2923DEC2" w:rsidR="000669F3" w:rsidRDefault="000669F3" w:rsidP="007B0A2F">
      <w:pPr>
        <w:autoSpaceDE w:val="0"/>
        <w:autoSpaceDN w:val="0"/>
        <w:adjustRightInd w:val="0"/>
        <w:jc w:val="both"/>
        <w:rPr>
          <w:rFonts w:cs="Arial"/>
          <w:sz w:val="22"/>
          <w:szCs w:val="22"/>
        </w:rPr>
      </w:pPr>
      <w:r w:rsidRPr="000669F3">
        <w:rPr>
          <w:rFonts w:cs="Arial"/>
          <w:sz w:val="22"/>
          <w:szCs w:val="22"/>
        </w:rPr>
        <w:t xml:space="preserve">Hodnoty ve zprávě o plnění PPS zadavatel veřejné zakázky posoudil a případně provedl jejich kontrolu sám nebo </w:t>
      </w:r>
      <w:r w:rsidR="00613346">
        <w:rPr>
          <w:rFonts w:cs="Arial"/>
          <w:sz w:val="22"/>
          <w:szCs w:val="22"/>
        </w:rPr>
        <w:t>s </w:t>
      </w:r>
      <w:r w:rsidRPr="000669F3">
        <w:rPr>
          <w:rFonts w:cs="Arial"/>
          <w:sz w:val="22"/>
          <w:szCs w:val="22"/>
        </w:rPr>
        <w:t>využití</w:t>
      </w:r>
      <w:r w:rsidR="00613346">
        <w:rPr>
          <w:rFonts w:cs="Arial"/>
          <w:sz w:val="22"/>
          <w:szCs w:val="22"/>
        </w:rPr>
        <w:t>m</w:t>
      </w:r>
      <w:r w:rsidRPr="000669F3">
        <w:rPr>
          <w:rFonts w:cs="Arial"/>
          <w:sz w:val="22"/>
          <w:szCs w:val="22"/>
        </w:rPr>
        <w:t xml:space="preserve"> externího experta. Teprve na základě tohoto vyhodnocení mohlo být deklarované plnění OFT započteno do splněné hodnoty PPS, </w:t>
      </w:r>
      <w:r w:rsidRPr="000669F3">
        <w:rPr>
          <w:rFonts w:cs="Arial"/>
          <w:sz w:val="22"/>
          <w:szCs w:val="22"/>
        </w:rPr>
        <w:lastRenderedPageBreak/>
        <w:t xml:space="preserve">případně byl PPS uznán jako celek za splněný. Vlastní akt uznání hodnoty OFT nebo PPS měl být prováděn OFK nebo zadavatelem v závislosti na smluvních podmínkách, které měly v tomto přednost před zásadami a pravidly offsetové politiky.    </w:t>
      </w:r>
    </w:p>
    <w:p w14:paraId="2FF944BF" w14:textId="77777777" w:rsidR="00FA53D6" w:rsidRDefault="00FA53D6">
      <w:pPr>
        <w:rPr>
          <w:rFonts w:cs="Arial"/>
          <w:sz w:val="22"/>
          <w:szCs w:val="22"/>
        </w:rPr>
      </w:pPr>
      <w:r>
        <w:rPr>
          <w:rFonts w:cs="Arial"/>
          <w:sz w:val="22"/>
          <w:szCs w:val="22"/>
        </w:rPr>
        <w:br w:type="page"/>
      </w:r>
    </w:p>
    <w:p w14:paraId="60FEE78D" w14:textId="5D25DD69" w:rsidR="00A42511" w:rsidRDefault="00A42511" w:rsidP="00A42511">
      <w:pPr>
        <w:contextualSpacing/>
        <w:jc w:val="right"/>
        <w:rPr>
          <w:rFonts w:cs="Arial"/>
          <w:sz w:val="22"/>
          <w:szCs w:val="22"/>
        </w:rPr>
      </w:pPr>
      <w:r>
        <w:rPr>
          <w:rFonts w:cs="Arial"/>
          <w:sz w:val="22"/>
          <w:szCs w:val="22"/>
        </w:rPr>
        <w:lastRenderedPageBreak/>
        <w:t xml:space="preserve">Příloha </w:t>
      </w:r>
      <w:r w:rsidR="00773C7A">
        <w:rPr>
          <w:rFonts w:cs="Arial"/>
          <w:sz w:val="22"/>
          <w:szCs w:val="22"/>
        </w:rPr>
        <w:t>č</w:t>
      </w:r>
      <w:r w:rsidR="00613346">
        <w:rPr>
          <w:rFonts w:cs="Arial"/>
          <w:sz w:val="22"/>
          <w:szCs w:val="22"/>
        </w:rPr>
        <w:t>.</w:t>
      </w:r>
      <w:r w:rsidR="00773C7A">
        <w:rPr>
          <w:rFonts w:cs="Arial"/>
          <w:sz w:val="22"/>
          <w:szCs w:val="22"/>
        </w:rPr>
        <w:t xml:space="preserve"> </w:t>
      </w:r>
      <w:r>
        <w:rPr>
          <w:rFonts w:cs="Arial"/>
          <w:sz w:val="22"/>
          <w:szCs w:val="22"/>
        </w:rPr>
        <w:t>3</w:t>
      </w:r>
    </w:p>
    <w:p w14:paraId="7181D077" w14:textId="77777777" w:rsidR="00A42511" w:rsidRDefault="00A42511" w:rsidP="00A42511">
      <w:pPr>
        <w:contextualSpacing/>
        <w:jc w:val="center"/>
        <w:rPr>
          <w:rFonts w:cs="Arial"/>
          <w:b/>
          <w:szCs w:val="22"/>
        </w:rPr>
      </w:pPr>
    </w:p>
    <w:p w14:paraId="705DFE35" w14:textId="77777777" w:rsidR="00817249" w:rsidRDefault="00A42511" w:rsidP="00A42511">
      <w:pPr>
        <w:contextualSpacing/>
        <w:jc w:val="center"/>
        <w:rPr>
          <w:rFonts w:cs="Arial"/>
          <w:b/>
          <w:szCs w:val="22"/>
        </w:rPr>
      </w:pPr>
      <w:r w:rsidRPr="009E4B2E">
        <w:rPr>
          <w:rFonts w:cs="Arial"/>
          <w:b/>
          <w:szCs w:val="22"/>
        </w:rPr>
        <w:t>Základní informace o veřejných zakázkách</w:t>
      </w:r>
      <w:r w:rsidR="00613346">
        <w:rPr>
          <w:rFonts w:cs="Arial"/>
          <w:b/>
          <w:szCs w:val="22"/>
        </w:rPr>
        <w:t>,</w:t>
      </w:r>
      <w:r w:rsidRPr="009E4B2E">
        <w:rPr>
          <w:rFonts w:cs="Arial"/>
          <w:b/>
          <w:szCs w:val="22"/>
        </w:rPr>
        <w:t xml:space="preserve"> </w:t>
      </w:r>
      <w:r w:rsidR="00613346">
        <w:rPr>
          <w:rFonts w:cs="Arial"/>
          <w:b/>
          <w:szCs w:val="22"/>
        </w:rPr>
        <w:t xml:space="preserve">na které navazují </w:t>
      </w:r>
    </w:p>
    <w:p w14:paraId="1C276B5B" w14:textId="60EE332F" w:rsidR="00A42511" w:rsidRPr="009E4B2E" w:rsidRDefault="00613346" w:rsidP="00A42511">
      <w:pPr>
        <w:contextualSpacing/>
        <w:jc w:val="center"/>
        <w:rPr>
          <w:rFonts w:cs="Arial"/>
          <w:b/>
          <w:szCs w:val="22"/>
        </w:rPr>
      </w:pPr>
      <w:r>
        <w:rPr>
          <w:rFonts w:cs="Arial"/>
          <w:b/>
          <w:szCs w:val="22"/>
        </w:rPr>
        <w:t xml:space="preserve">kontrolované </w:t>
      </w:r>
      <w:r w:rsidRPr="009E4B2E">
        <w:rPr>
          <w:rFonts w:cs="Arial"/>
          <w:b/>
          <w:szCs w:val="22"/>
        </w:rPr>
        <w:t>offsety</w:t>
      </w:r>
    </w:p>
    <w:p w14:paraId="2F4E492B" w14:textId="77777777" w:rsidR="00A42511" w:rsidRDefault="00A42511" w:rsidP="00A42511">
      <w:pPr>
        <w:rPr>
          <w:b/>
          <w:color w:val="0070C0"/>
        </w:rPr>
      </w:pPr>
    </w:p>
    <w:p w14:paraId="6959B88E" w14:textId="4278FF06" w:rsidR="00A42511" w:rsidRDefault="00A42511" w:rsidP="00A42511">
      <w:pPr>
        <w:rPr>
          <w:b/>
          <w:color w:val="0070C0"/>
        </w:rPr>
      </w:pPr>
      <w:r w:rsidRPr="009B5E19">
        <w:rPr>
          <w:b/>
          <w:color w:val="0070C0"/>
        </w:rPr>
        <w:t>Zadavatel MO</w:t>
      </w:r>
    </w:p>
    <w:p w14:paraId="320A19CC" w14:textId="201F1B3A" w:rsidR="00A42511" w:rsidRPr="006361E8" w:rsidRDefault="006361E8" w:rsidP="00A42511">
      <w:pPr>
        <w:pStyle w:val="Odstavecseseznamem"/>
        <w:numPr>
          <w:ilvl w:val="0"/>
          <w:numId w:val="42"/>
        </w:numPr>
        <w:spacing w:before="120" w:after="120" w:line="276" w:lineRule="auto"/>
        <w:ind w:left="426"/>
        <w:jc w:val="both"/>
        <w:rPr>
          <w:rFonts w:cs="Arial"/>
          <w:b/>
          <w:sz w:val="20"/>
          <w:szCs w:val="20"/>
        </w:rPr>
      </w:pPr>
      <w:r w:rsidRPr="006361E8">
        <w:rPr>
          <w:rFonts w:cs="Arial"/>
          <w:b/>
          <w:noProof/>
          <w:sz w:val="20"/>
          <w:szCs w:val="20"/>
          <w:u w:val="single"/>
        </w:rPr>
        <mc:AlternateContent>
          <mc:Choice Requires="wps">
            <w:drawing>
              <wp:anchor distT="0" distB="0" distL="114300" distR="114300" simplePos="0" relativeHeight="251682304" behindDoc="0" locked="0" layoutInCell="1" allowOverlap="1" wp14:anchorId="06F099D7" wp14:editId="60C1C673">
                <wp:simplePos x="0" y="0"/>
                <wp:positionH relativeFrom="column">
                  <wp:posOffset>8360</wp:posOffset>
                </wp:positionH>
                <wp:positionV relativeFrom="paragraph">
                  <wp:posOffset>65318</wp:posOffset>
                </wp:positionV>
                <wp:extent cx="5793105" cy="2361733"/>
                <wp:effectExtent l="0" t="0" r="17145" b="19685"/>
                <wp:wrapNone/>
                <wp:docPr id="12" name="Obdélník 12"/>
                <wp:cNvGraphicFramePr/>
                <a:graphic xmlns:a="http://schemas.openxmlformats.org/drawingml/2006/main">
                  <a:graphicData uri="http://schemas.microsoft.com/office/word/2010/wordprocessingShape">
                    <wps:wsp>
                      <wps:cNvSpPr/>
                      <wps:spPr>
                        <a:xfrm>
                          <a:off x="0" y="0"/>
                          <a:ext cx="5793105" cy="2361733"/>
                        </a:xfrm>
                        <a:prstGeom prst="rect">
                          <a:avLst/>
                        </a:prstGeom>
                        <a:noFill/>
                        <a:ln w="25400" cap="flat" cmpd="sng" algn="ctr">
                          <a:solidFill>
                            <a:srgbClr val="4F81BD">
                              <a:shade val="50000"/>
                            </a:srgbClr>
                          </a:solidFill>
                          <a:prstDash val="solid"/>
                        </a:ln>
                        <a:effectLst/>
                      </wps:spPr>
                      <wps:txbx>
                        <w:txbxContent>
                          <w:p w14:paraId="46FF734B" w14:textId="77777777" w:rsidR="00616A80" w:rsidRDefault="00616A80" w:rsidP="006361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2" o:spid="_x0000_s1026" style="position:absolute;left:0;text-align:left;margin-left:.65pt;margin-top:5.15pt;width:456.15pt;height:185.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" filled="f" strokecolor="#385d8a" strokeweight="2pt">
                <v:textbox>
                  <w:txbxContent>
                    <w:p w14:paraId="46FF734B" w14:textId="77777777" w:rsidR="006361E8" w:rsidRDefault="006361E8" w:rsidP="006361E8">
                      <w:pPr>
                        <w:jc w:val="center"/>
                      </w:pPr>
                    </w:p>
                  </w:txbxContent>
                </v:textbox>
              </v:rect>
            </w:pict>
          </mc:Fallback>
        </mc:AlternateContent>
      </w:r>
      <w:r w:rsidR="00A42511" w:rsidRPr="006361E8">
        <w:rPr>
          <w:rFonts w:cs="Arial"/>
          <w:b/>
          <w:sz w:val="20"/>
          <w:szCs w:val="20"/>
        </w:rPr>
        <w:t>PPS GRIPEN</w:t>
      </w:r>
    </w:p>
    <w:p w14:paraId="488C6467" w14:textId="22707AD3" w:rsidR="00A42511" w:rsidRPr="00AF46E2" w:rsidRDefault="00A42511" w:rsidP="00A42511">
      <w:pPr>
        <w:pStyle w:val="Odstavecseseznamem"/>
        <w:numPr>
          <w:ilvl w:val="0"/>
          <w:numId w:val="40"/>
        </w:numPr>
        <w:tabs>
          <w:tab w:val="left" w:pos="284"/>
        </w:tabs>
        <w:spacing w:before="60" w:after="60"/>
        <w:ind w:hanging="425"/>
        <w:jc w:val="both"/>
        <w:rPr>
          <w:sz w:val="20"/>
          <w:szCs w:val="20"/>
        </w:rPr>
      </w:pPr>
      <w:r w:rsidRPr="00AF46E2">
        <w:rPr>
          <w:sz w:val="20"/>
          <w:szCs w:val="20"/>
          <w:u w:val="single"/>
        </w:rPr>
        <w:t>Předmět V</w:t>
      </w:r>
      <w:r w:rsidR="00D920E5">
        <w:rPr>
          <w:sz w:val="20"/>
          <w:szCs w:val="20"/>
          <w:u w:val="single"/>
        </w:rPr>
        <w:t>Z </w:t>
      </w:r>
      <w:r>
        <w:rPr>
          <w:rFonts w:cs="Arial"/>
          <w:sz w:val="20"/>
          <w:szCs w:val="20"/>
          <w:u w:val="single"/>
        </w:rPr>
        <w:t>zkráceně</w:t>
      </w:r>
      <w:r w:rsidRPr="00AF46E2">
        <w:rPr>
          <w:sz w:val="20"/>
          <w:szCs w:val="20"/>
          <w:u w:val="single"/>
        </w:rPr>
        <w:t>:</w:t>
      </w:r>
      <w:r w:rsidRPr="00AF46E2">
        <w:rPr>
          <w:sz w:val="20"/>
          <w:szCs w:val="20"/>
        </w:rPr>
        <w:t xml:space="preserve"> </w:t>
      </w:r>
      <w:r w:rsidR="006361E8">
        <w:rPr>
          <w:sz w:val="20"/>
          <w:szCs w:val="20"/>
        </w:rPr>
        <w:t>p</w:t>
      </w:r>
      <w:r w:rsidRPr="00AF46E2">
        <w:rPr>
          <w:sz w:val="20"/>
          <w:szCs w:val="20"/>
        </w:rPr>
        <w:t>ořízení komplexního systému nadzvukových letounů a souvisejících služeb</w:t>
      </w:r>
    </w:p>
    <w:p w14:paraId="4CF48D39" w14:textId="77777777" w:rsidR="00A42511" w:rsidRPr="00AF46E2" w:rsidRDefault="00A42511" w:rsidP="00A42511">
      <w:pPr>
        <w:pStyle w:val="Odstavecseseznamem"/>
        <w:numPr>
          <w:ilvl w:val="0"/>
          <w:numId w:val="40"/>
        </w:numPr>
        <w:tabs>
          <w:tab w:val="left" w:pos="284"/>
        </w:tabs>
        <w:spacing w:before="60" w:after="60"/>
        <w:ind w:hanging="425"/>
        <w:jc w:val="both"/>
        <w:rPr>
          <w:sz w:val="20"/>
          <w:szCs w:val="20"/>
        </w:rPr>
      </w:pPr>
      <w:r w:rsidRPr="00AF46E2">
        <w:rPr>
          <w:sz w:val="20"/>
          <w:szCs w:val="20"/>
          <w:u w:val="single"/>
        </w:rPr>
        <w:t>Datum oznámení výzvy:</w:t>
      </w:r>
      <w:r w:rsidRPr="00AF46E2">
        <w:rPr>
          <w:sz w:val="20"/>
          <w:szCs w:val="20"/>
        </w:rPr>
        <w:t xml:space="preserve"> 25. července 2003</w:t>
      </w:r>
    </w:p>
    <w:p w14:paraId="5CDA9A53" w14:textId="2B8DB712" w:rsidR="00A42511" w:rsidRPr="00037574" w:rsidRDefault="00A42511" w:rsidP="00A42511">
      <w:pPr>
        <w:pStyle w:val="Odstavecseseznamem"/>
        <w:numPr>
          <w:ilvl w:val="0"/>
          <w:numId w:val="40"/>
        </w:numPr>
        <w:tabs>
          <w:tab w:val="left" w:pos="284"/>
        </w:tabs>
        <w:spacing w:before="60" w:after="60"/>
        <w:ind w:hanging="436"/>
        <w:jc w:val="both"/>
        <w:rPr>
          <w:sz w:val="20"/>
          <w:szCs w:val="20"/>
        </w:rPr>
      </w:pPr>
      <w:r w:rsidRPr="00AF46E2">
        <w:rPr>
          <w:sz w:val="20"/>
          <w:szCs w:val="20"/>
          <w:u w:val="single"/>
        </w:rPr>
        <w:t>Základní hodnot</w:t>
      </w:r>
      <w:r w:rsidR="006361E8">
        <w:rPr>
          <w:sz w:val="20"/>
          <w:szCs w:val="20"/>
          <w:u w:val="single"/>
        </w:rPr>
        <w:t>i</w:t>
      </w:r>
      <w:r w:rsidRPr="00AF46E2">
        <w:rPr>
          <w:sz w:val="20"/>
          <w:szCs w:val="20"/>
          <w:u w:val="single"/>
        </w:rPr>
        <w:t>cí kritéria:</w:t>
      </w:r>
      <w:r w:rsidRPr="006361E8">
        <w:rPr>
          <w:sz w:val="20"/>
          <w:szCs w:val="20"/>
        </w:rPr>
        <w:t xml:space="preserve"> k</w:t>
      </w:r>
      <w:r w:rsidRPr="00AF46E2">
        <w:rPr>
          <w:sz w:val="20"/>
          <w:szCs w:val="20"/>
        </w:rPr>
        <w:t>omplexnost a úplnost nabídky, takticko-technické parametry nabízeného systému letounu, pořizovací náklady, provozní náklady,</w:t>
      </w:r>
      <w:r>
        <w:rPr>
          <w:sz w:val="20"/>
          <w:szCs w:val="20"/>
        </w:rPr>
        <w:t xml:space="preserve"> </w:t>
      </w:r>
      <w:r w:rsidRPr="00037574">
        <w:rPr>
          <w:sz w:val="20"/>
          <w:szCs w:val="20"/>
        </w:rPr>
        <w:t>způsob financování, průmyslová spolupráce, možnosti vojenské spolupráce.</w:t>
      </w:r>
    </w:p>
    <w:p w14:paraId="495F3B18" w14:textId="77777777" w:rsidR="00A42511" w:rsidRPr="00AF46E2" w:rsidRDefault="00A42511" w:rsidP="00A42511">
      <w:pPr>
        <w:pStyle w:val="Odstavecseseznamem"/>
        <w:numPr>
          <w:ilvl w:val="0"/>
          <w:numId w:val="40"/>
        </w:numPr>
        <w:tabs>
          <w:tab w:val="left" w:pos="284"/>
        </w:tabs>
        <w:spacing w:before="60" w:after="60"/>
        <w:ind w:left="284" w:hanging="11"/>
        <w:jc w:val="both"/>
        <w:rPr>
          <w:sz w:val="20"/>
          <w:szCs w:val="20"/>
        </w:rPr>
      </w:pPr>
      <w:r w:rsidRPr="00AF46E2">
        <w:rPr>
          <w:sz w:val="20"/>
          <w:szCs w:val="20"/>
          <w:u w:val="single"/>
        </w:rPr>
        <w:t>Datum uzavření smlouvy:</w:t>
      </w:r>
      <w:r w:rsidRPr="00AF46E2">
        <w:rPr>
          <w:sz w:val="20"/>
          <w:szCs w:val="20"/>
        </w:rPr>
        <w:t xml:space="preserve"> 14. června 2004, uzavřeno sedm dodatků</w:t>
      </w:r>
    </w:p>
    <w:p w14:paraId="656AD27F" w14:textId="77777777" w:rsidR="00A42511" w:rsidRPr="00DC69B6" w:rsidRDefault="00A42511" w:rsidP="00A42511">
      <w:pPr>
        <w:pStyle w:val="Odstavecseseznamem"/>
        <w:numPr>
          <w:ilvl w:val="0"/>
          <w:numId w:val="40"/>
        </w:numPr>
        <w:tabs>
          <w:tab w:val="left" w:pos="284"/>
        </w:tabs>
        <w:spacing w:before="60" w:after="60"/>
        <w:ind w:left="284" w:hanging="11"/>
        <w:jc w:val="both"/>
        <w:rPr>
          <w:sz w:val="20"/>
          <w:szCs w:val="20"/>
        </w:rPr>
      </w:pPr>
      <w:r w:rsidRPr="00DC69B6">
        <w:rPr>
          <w:sz w:val="20"/>
          <w:szCs w:val="20"/>
          <w:u w:val="single"/>
        </w:rPr>
        <w:t>Cena:</w:t>
      </w:r>
      <w:r w:rsidRPr="00DC69B6">
        <w:rPr>
          <w:sz w:val="20"/>
          <w:szCs w:val="20"/>
        </w:rPr>
        <w:t xml:space="preserve"> 19 650 000 000 Kč bez DPH, </w:t>
      </w:r>
      <w:r>
        <w:rPr>
          <w:sz w:val="20"/>
          <w:szCs w:val="20"/>
        </w:rPr>
        <w:t>c</w:t>
      </w:r>
      <w:r w:rsidRPr="00DC69B6">
        <w:rPr>
          <w:sz w:val="20"/>
          <w:szCs w:val="20"/>
        </w:rPr>
        <w:t xml:space="preserve">ena po uzavření 3. dodatku 19 785 873 000 Kč bez DPH </w:t>
      </w:r>
    </w:p>
    <w:p w14:paraId="4E1A369D" w14:textId="77777777" w:rsidR="00A42511" w:rsidRDefault="00A42511" w:rsidP="00A42511">
      <w:pPr>
        <w:pStyle w:val="Odstavecseseznamem"/>
        <w:numPr>
          <w:ilvl w:val="0"/>
          <w:numId w:val="31"/>
        </w:numPr>
        <w:spacing w:before="60" w:after="60"/>
        <w:ind w:left="709" w:hanging="425"/>
        <w:jc w:val="both"/>
        <w:rPr>
          <w:rFonts w:cs="Arial"/>
          <w:sz w:val="20"/>
          <w:szCs w:val="20"/>
        </w:rPr>
      </w:pPr>
      <w:r>
        <w:rPr>
          <w:rFonts w:cs="Arial"/>
          <w:color w:val="000000"/>
          <w:sz w:val="20"/>
          <w:szCs w:val="20"/>
          <w:u w:val="single"/>
        </w:rPr>
        <w:t>P</w:t>
      </w:r>
      <w:r w:rsidRPr="002A1C35">
        <w:rPr>
          <w:rFonts w:cs="Arial"/>
          <w:color w:val="000000"/>
          <w:sz w:val="20"/>
          <w:szCs w:val="20"/>
          <w:u w:val="single"/>
        </w:rPr>
        <w:t>ředmět plnění</w:t>
      </w:r>
      <w:r>
        <w:rPr>
          <w:rFonts w:cs="Arial"/>
          <w:color w:val="000000"/>
          <w:sz w:val="20"/>
          <w:szCs w:val="20"/>
          <w:u w:val="single"/>
        </w:rPr>
        <w:t xml:space="preserve"> dle smlouvy</w:t>
      </w:r>
      <w:r w:rsidRPr="002A1C35">
        <w:rPr>
          <w:rFonts w:cs="Arial"/>
          <w:color w:val="000000"/>
          <w:sz w:val="20"/>
          <w:szCs w:val="20"/>
          <w:u w:val="single"/>
        </w:rPr>
        <w:t>:</w:t>
      </w:r>
      <w:r w:rsidRPr="00AF46E2">
        <w:rPr>
          <w:rFonts w:cs="Arial"/>
          <w:sz w:val="20"/>
          <w:szCs w:val="20"/>
        </w:rPr>
        <w:t xml:space="preserve"> p</w:t>
      </w:r>
      <w:r>
        <w:rPr>
          <w:rFonts w:cs="Arial"/>
          <w:sz w:val="20"/>
          <w:szCs w:val="20"/>
        </w:rPr>
        <w:t xml:space="preserve">ronájem </w:t>
      </w:r>
      <w:r w:rsidRPr="00AF46E2">
        <w:rPr>
          <w:rFonts w:cs="Arial"/>
          <w:b/>
          <w:sz w:val="20"/>
          <w:szCs w:val="20"/>
        </w:rPr>
        <w:t>letounů JAS 39 GRIPEN</w:t>
      </w:r>
      <w:r>
        <w:rPr>
          <w:rFonts w:cs="Arial"/>
          <w:sz w:val="20"/>
          <w:szCs w:val="20"/>
        </w:rPr>
        <w:t xml:space="preserve"> včetně zajištění souvisejících služeb</w:t>
      </w:r>
    </w:p>
    <w:p w14:paraId="5EAE1520" w14:textId="77777777" w:rsidR="00A42511" w:rsidRPr="00C50AEA" w:rsidRDefault="00A42511" w:rsidP="006361E8">
      <w:pPr>
        <w:pStyle w:val="Odstavecseseznamem"/>
        <w:numPr>
          <w:ilvl w:val="0"/>
          <w:numId w:val="31"/>
        </w:numPr>
        <w:spacing w:before="60" w:after="60"/>
        <w:ind w:left="714" w:hanging="430"/>
        <w:jc w:val="both"/>
        <w:rPr>
          <w:rFonts w:cs="Arial"/>
          <w:sz w:val="20"/>
          <w:szCs w:val="20"/>
        </w:rPr>
      </w:pPr>
      <w:r>
        <w:rPr>
          <w:rFonts w:cs="Arial"/>
          <w:color w:val="000000"/>
          <w:sz w:val="20"/>
          <w:szCs w:val="20"/>
          <w:u w:val="single"/>
        </w:rPr>
        <w:t>Uzavření offsetové dohody se zahraničním dodavatelem:</w:t>
      </w:r>
      <w:r w:rsidRPr="004A79EC">
        <w:rPr>
          <w:rFonts w:cs="Arial"/>
          <w:color w:val="000000"/>
          <w:sz w:val="20"/>
          <w:szCs w:val="20"/>
        </w:rPr>
        <w:t xml:space="preserve"> </w:t>
      </w:r>
      <w:r w:rsidRPr="00B1243F">
        <w:rPr>
          <w:rStyle w:val="Znakapoznpodarou"/>
          <w:rFonts w:cs="Arial"/>
          <w:color w:val="000000"/>
          <w:sz w:val="20"/>
          <w:szCs w:val="20"/>
          <w:vertAlign w:val="baseline"/>
        </w:rPr>
        <w:t>ANO</w:t>
      </w:r>
    </w:p>
    <w:p w14:paraId="576D62A3" w14:textId="77777777" w:rsidR="00A42511" w:rsidRPr="00EE7E55" w:rsidRDefault="00A42511" w:rsidP="006361E8">
      <w:pPr>
        <w:pStyle w:val="Odstavecseseznamem"/>
        <w:numPr>
          <w:ilvl w:val="0"/>
          <w:numId w:val="31"/>
        </w:numPr>
        <w:spacing w:before="60" w:after="60"/>
        <w:ind w:left="714" w:hanging="430"/>
        <w:jc w:val="both"/>
        <w:rPr>
          <w:rFonts w:cs="Arial"/>
          <w:sz w:val="20"/>
          <w:szCs w:val="20"/>
        </w:rPr>
      </w:pPr>
      <w:r>
        <w:rPr>
          <w:rFonts w:cs="Arial"/>
          <w:color w:val="000000"/>
          <w:sz w:val="20"/>
          <w:szCs w:val="20"/>
          <w:u w:val="single"/>
        </w:rPr>
        <w:t>Výše offsetového závazku:</w:t>
      </w:r>
      <w:r w:rsidRPr="00C50AEA">
        <w:rPr>
          <w:rFonts w:cs="Arial"/>
          <w:color w:val="000000"/>
          <w:sz w:val="20"/>
          <w:szCs w:val="20"/>
        </w:rPr>
        <w:t xml:space="preserve"> 130 % </w:t>
      </w:r>
      <w:r>
        <w:rPr>
          <w:rFonts w:cs="Arial"/>
          <w:color w:val="000000"/>
          <w:sz w:val="20"/>
          <w:szCs w:val="20"/>
        </w:rPr>
        <w:t xml:space="preserve">celkové </w:t>
      </w:r>
      <w:r w:rsidRPr="00C50AEA">
        <w:rPr>
          <w:rFonts w:cs="Arial"/>
          <w:color w:val="000000"/>
          <w:sz w:val="20"/>
          <w:szCs w:val="20"/>
        </w:rPr>
        <w:t>ceny</w:t>
      </w:r>
      <w:r>
        <w:rPr>
          <w:rFonts w:cs="Arial"/>
          <w:color w:val="000000"/>
          <w:sz w:val="20"/>
          <w:szCs w:val="20"/>
        </w:rPr>
        <w:t xml:space="preserve"> plnění </w:t>
      </w:r>
    </w:p>
    <w:p w14:paraId="1A6DE447" w14:textId="77777777" w:rsidR="00A42511" w:rsidRPr="004A79EC" w:rsidRDefault="00A42511" w:rsidP="00A42511">
      <w:pPr>
        <w:spacing w:before="60" w:after="60"/>
        <w:ind w:left="360"/>
        <w:rPr>
          <w:rFonts w:cs="Arial"/>
          <w:sz w:val="20"/>
          <w:szCs w:val="20"/>
        </w:rPr>
      </w:pPr>
    </w:p>
    <w:p w14:paraId="04DB4233" w14:textId="31302C45" w:rsidR="00A42511" w:rsidRPr="006E20A1" w:rsidRDefault="00A42511" w:rsidP="00A42511">
      <w:pPr>
        <w:pStyle w:val="Odstavecseseznamem"/>
        <w:tabs>
          <w:tab w:val="left" w:pos="284"/>
        </w:tabs>
        <w:spacing w:before="60" w:after="60"/>
        <w:ind w:hanging="11"/>
      </w:pPr>
      <w:r w:rsidRPr="000D4701">
        <w:rPr>
          <w:rFonts w:cs="Arial"/>
          <w:b/>
          <w:noProof/>
          <w:u w:val="single"/>
        </w:rPr>
        <mc:AlternateContent>
          <mc:Choice Requires="wps">
            <w:drawing>
              <wp:anchor distT="0" distB="0" distL="114300" distR="114300" simplePos="0" relativeHeight="251672064" behindDoc="0" locked="0" layoutInCell="1" allowOverlap="1" wp14:anchorId="706C28C4" wp14:editId="0064C95D">
                <wp:simplePos x="0" y="0"/>
                <wp:positionH relativeFrom="column">
                  <wp:posOffset>5979</wp:posOffset>
                </wp:positionH>
                <wp:positionV relativeFrom="paragraph">
                  <wp:posOffset>84036</wp:posOffset>
                </wp:positionV>
                <wp:extent cx="5793105" cy="2311879"/>
                <wp:effectExtent l="0" t="0" r="17145" b="12700"/>
                <wp:wrapNone/>
                <wp:docPr id="10" name="Obdélník 10"/>
                <wp:cNvGraphicFramePr/>
                <a:graphic xmlns:a="http://schemas.openxmlformats.org/drawingml/2006/main">
                  <a:graphicData uri="http://schemas.microsoft.com/office/word/2010/wordprocessingShape">
                    <wps:wsp>
                      <wps:cNvSpPr/>
                      <wps:spPr>
                        <a:xfrm>
                          <a:off x="0" y="0"/>
                          <a:ext cx="5793105" cy="2311879"/>
                        </a:xfrm>
                        <a:prstGeom prst="rect">
                          <a:avLst/>
                        </a:prstGeom>
                        <a:noFill/>
                        <a:ln w="25400" cap="flat" cmpd="sng" algn="ctr">
                          <a:solidFill>
                            <a:srgbClr val="4F81BD">
                              <a:shade val="50000"/>
                            </a:srgbClr>
                          </a:solidFill>
                          <a:prstDash val="solid"/>
                        </a:ln>
                        <a:effectLst/>
                      </wps:spPr>
                      <wps:txbx>
                        <w:txbxContent>
                          <w:p w14:paraId="44A1A20E"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0" o:spid="_x0000_s1027" style="position:absolute;left:0;text-align:left;margin-left:.45pt;margin-top:6.6pt;width:456.15pt;height:182.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" filled="f" strokecolor="#385d8a" strokeweight="2pt">
                <v:textbox>
                  <w:txbxContent>
                    <w:p w14:paraId="44A1A20E" w14:textId="77777777" w:rsidR="00613346" w:rsidRDefault="00613346" w:rsidP="00A42511">
                      <w:pPr>
                        <w:jc w:val="center"/>
                      </w:pPr>
                    </w:p>
                  </w:txbxContent>
                </v:textbox>
              </v:rect>
            </w:pict>
          </mc:Fallback>
        </mc:AlternateContent>
      </w:r>
    </w:p>
    <w:p w14:paraId="6A87602A" w14:textId="77777777" w:rsidR="00A42511" w:rsidRPr="00806992" w:rsidRDefault="00A42511" w:rsidP="00A42511">
      <w:pPr>
        <w:pStyle w:val="Odstavecseseznamem"/>
        <w:numPr>
          <w:ilvl w:val="0"/>
          <w:numId w:val="42"/>
        </w:numPr>
        <w:spacing w:after="200" w:line="276" w:lineRule="auto"/>
        <w:ind w:left="426"/>
        <w:rPr>
          <w:rFonts w:cs="Arial"/>
          <w:b/>
          <w:sz w:val="20"/>
          <w:szCs w:val="20"/>
        </w:rPr>
      </w:pPr>
      <w:r w:rsidRPr="00806992">
        <w:rPr>
          <w:rFonts w:cs="Arial"/>
          <w:b/>
          <w:sz w:val="20"/>
          <w:szCs w:val="20"/>
        </w:rPr>
        <w:t>PPS ARTHUR</w:t>
      </w:r>
    </w:p>
    <w:p w14:paraId="66810997" w14:textId="3B1EFCFF" w:rsidR="00A42511" w:rsidRPr="002A1C35" w:rsidRDefault="00A42511" w:rsidP="00210CD5">
      <w:pPr>
        <w:pStyle w:val="Odstavecseseznamem"/>
        <w:numPr>
          <w:ilvl w:val="0"/>
          <w:numId w:val="41"/>
        </w:numPr>
        <w:tabs>
          <w:tab w:val="left" w:pos="284"/>
        </w:tabs>
        <w:spacing w:before="60" w:after="60"/>
        <w:ind w:hanging="436"/>
        <w:jc w:val="both"/>
        <w:rPr>
          <w:rFonts w:cs="Arial"/>
          <w:sz w:val="20"/>
          <w:szCs w:val="20"/>
        </w:rPr>
      </w:pPr>
      <w:r w:rsidRPr="002A1C35">
        <w:rPr>
          <w:rFonts w:cs="Arial"/>
          <w:sz w:val="20"/>
          <w:szCs w:val="20"/>
          <w:u w:val="single"/>
        </w:rPr>
        <w:t>Předmět VZ</w:t>
      </w:r>
      <w:r>
        <w:rPr>
          <w:rFonts w:cs="Arial"/>
          <w:sz w:val="20"/>
          <w:szCs w:val="20"/>
          <w:u w:val="single"/>
        </w:rPr>
        <w:t xml:space="preserve"> zkráceně</w:t>
      </w:r>
      <w:r w:rsidRPr="002A1C35">
        <w:rPr>
          <w:rFonts w:cs="Arial"/>
          <w:sz w:val="20"/>
          <w:szCs w:val="20"/>
          <w:u w:val="single"/>
        </w:rPr>
        <w:t>:</w:t>
      </w:r>
      <w:r w:rsidR="00D920E5">
        <w:rPr>
          <w:rFonts w:cs="Arial"/>
          <w:sz w:val="20"/>
          <w:szCs w:val="20"/>
        </w:rPr>
        <w:t xml:space="preserve"> </w:t>
      </w:r>
      <w:r w:rsidR="006361E8">
        <w:rPr>
          <w:rFonts w:cs="Arial"/>
          <w:sz w:val="20"/>
          <w:szCs w:val="20"/>
        </w:rPr>
        <w:t>d</w:t>
      </w:r>
      <w:r w:rsidRPr="002A1C35">
        <w:rPr>
          <w:rFonts w:cs="Arial"/>
          <w:sz w:val="20"/>
          <w:szCs w:val="20"/>
        </w:rPr>
        <w:t xml:space="preserve">ělostřelecký a vyhledávací radiolokátor a trenažér ARTHUR - nákup </w:t>
      </w:r>
    </w:p>
    <w:p w14:paraId="7F59D9FE" w14:textId="77777777" w:rsidR="00A42511" w:rsidRPr="002A1C35" w:rsidRDefault="00A42511" w:rsidP="00210CD5">
      <w:pPr>
        <w:pStyle w:val="Odstavecseseznamem"/>
        <w:numPr>
          <w:ilvl w:val="0"/>
          <w:numId w:val="41"/>
        </w:numPr>
        <w:tabs>
          <w:tab w:val="left" w:pos="284"/>
        </w:tabs>
        <w:spacing w:before="60" w:after="60"/>
        <w:ind w:hanging="436"/>
        <w:jc w:val="both"/>
        <w:rPr>
          <w:rFonts w:cs="Arial"/>
          <w:sz w:val="20"/>
          <w:szCs w:val="20"/>
        </w:rPr>
      </w:pPr>
      <w:r w:rsidRPr="002A1C35">
        <w:rPr>
          <w:rFonts w:cs="Arial"/>
          <w:sz w:val="20"/>
          <w:szCs w:val="20"/>
          <w:u w:val="single"/>
        </w:rPr>
        <w:t>Datum oznámení výzvy:</w:t>
      </w:r>
      <w:r w:rsidRPr="002A1C35">
        <w:rPr>
          <w:rFonts w:cs="Arial"/>
          <w:sz w:val="20"/>
          <w:szCs w:val="20"/>
        </w:rPr>
        <w:t xml:space="preserve"> 9. července 2004</w:t>
      </w:r>
    </w:p>
    <w:p w14:paraId="350CD3F2" w14:textId="788BCB79" w:rsidR="00A42511" w:rsidRPr="002A1C35" w:rsidRDefault="00A42511" w:rsidP="00210CD5">
      <w:pPr>
        <w:pStyle w:val="Odstavecseseznamem"/>
        <w:numPr>
          <w:ilvl w:val="0"/>
          <w:numId w:val="41"/>
        </w:numPr>
        <w:tabs>
          <w:tab w:val="left" w:pos="284"/>
        </w:tabs>
        <w:spacing w:before="60" w:after="60"/>
        <w:ind w:hanging="436"/>
        <w:jc w:val="both"/>
        <w:rPr>
          <w:rFonts w:cs="Arial"/>
          <w:sz w:val="20"/>
          <w:szCs w:val="20"/>
        </w:rPr>
      </w:pPr>
      <w:r w:rsidRPr="002A1C35">
        <w:rPr>
          <w:rFonts w:cs="Arial"/>
          <w:sz w:val="20"/>
          <w:szCs w:val="20"/>
          <w:u w:val="single"/>
        </w:rPr>
        <w:t xml:space="preserve">Základní </w:t>
      </w:r>
      <w:r w:rsidR="006361E8">
        <w:rPr>
          <w:rFonts w:cs="Arial"/>
          <w:sz w:val="20"/>
          <w:szCs w:val="20"/>
          <w:u w:val="single"/>
        </w:rPr>
        <w:t>hodnoticí</w:t>
      </w:r>
      <w:r w:rsidRPr="002A1C35">
        <w:rPr>
          <w:rFonts w:cs="Arial"/>
          <w:sz w:val="20"/>
          <w:szCs w:val="20"/>
          <w:u w:val="single"/>
        </w:rPr>
        <w:t xml:space="preserve"> kritéri</w:t>
      </w:r>
      <w:r>
        <w:rPr>
          <w:rFonts w:cs="Arial"/>
          <w:sz w:val="20"/>
          <w:szCs w:val="20"/>
          <w:u w:val="single"/>
        </w:rPr>
        <w:t>a</w:t>
      </w:r>
      <w:r w:rsidRPr="002A1C35">
        <w:rPr>
          <w:rFonts w:cs="Arial"/>
          <w:sz w:val="20"/>
          <w:szCs w:val="20"/>
          <w:u w:val="single"/>
        </w:rPr>
        <w:t>:</w:t>
      </w:r>
      <w:r w:rsidRPr="002A1C35">
        <w:rPr>
          <w:rFonts w:cs="Arial"/>
          <w:sz w:val="20"/>
          <w:szCs w:val="20"/>
        </w:rPr>
        <w:t xml:space="preserve"> bez </w:t>
      </w:r>
      <w:r w:rsidR="006361E8">
        <w:rPr>
          <w:rFonts w:cs="Arial"/>
          <w:sz w:val="20"/>
          <w:szCs w:val="20"/>
        </w:rPr>
        <w:t>hodnoticí</w:t>
      </w:r>
      <w:r w:rsidRPr="002A1C35">
        <w:rPr>
          <w:rFonts w:cs="Arial"/>
          <w:sz w:val="20"/>
          <w:szCs w:val="20"/>
        </w:rPr>
        <w:t>ch kritérií</w:t>
      </w:r>
    </w:p>
    <w:p w14:paraId="482BA954" w14:textId="77777777" w:rsidR="00A42511" w:rsidRPr="00037574" w:rsidRDefault="00A42511" w:rsidP="00210CD5">
      <w:pPr>
        <w:tabs>
          <w:tab w:val="left" w:pos="284"/>
        </w:tabs>
        <w:spacing w:before="60" w:after="60"/>
        <w:ind w:left="709"/>
        <w:rPr>
          <w:rFonts w:cs="Arial"/>
          <w:sz w:val="20"/>
          <w:szCs w:val="20"/>
          <w:u w:val="single"/>
        </w:rPr>
      </w:pPr>
      <w:r w:rsidRPr="00037574">
        <w:rPr>
          <w:rFonts w:cs="Arial"/>
          <w:sz w:val="20"/>
          <w:szCs w:val="20"/>
        </w:rPr>
        <w:t>Způsob posouzení a hodnocení nabídky: splnění zadávacích podmínek, celková nabídková cena</w:t>
      </w:r>
    </w:p>
    <w:p w14:paraId="4E0BE11E" w14:textId="77777777" w:rsidR="00A42511" w:rsidRPr="002A1C35" w:rsidRDefault="00A42511" w:rsidP="00210CD5">
      <w:pPr>
        <w:pStyle w:val="Odstavecseseznamem"/>
        <w:numPr>
          <w:ilvl w:val="0"/>
          <w:numId w:val="41"/>
        </w:numPr>
        <w:tabs>
          <w:tab w:val="left" w:pos="284"/>
        </w:tabs>
        <w:spacing w:before="60" w:after="60"/>
        <w:ind w:hanging="436"/>
        <w:jc w:val="both"/>
        <w:rPr>
          <w:rFonts w:cs="Arial"/>
          <w:sz w:val="20"/>
          <w:szCs w:val="20"/>
        </w:rPr>
      </w:pPr>
      <w:r w:rsidRPr="002A1C35">
        <w:rPr>
          <w:rFonts w:cs="Arial"/>
          <w:sz w:val="20"/>
          <w:szCs w:val="20"/>
          <w:u w:val="single"/>
        </w:rPr>
        <w:t>Datum uzavření smlouvy:</w:t>
      </w:r>
      <w:r w:rsidRPr="002A1C35">
        <w:rPr>
          <w:rFonts w:cs="Arial"/>
          <w:sz w:val="20"/>
          <w:szCs w:val="20"/>
        </w:rPr>
        <w:t xml:space="preserve"> 20. prosince 2004, uzavřeny čtyři dodatky</w:t>
      </w:r>
    </w:p>
    <w:p w14:paraId="38C8216D" w14:textId="77777777" w:rsidR="00A42511" w:rsidRPr="002A1C35" w:rsidRDefault="00A42511" w:rsidP="00210CD5">
      <w:pPr>
        <w:pStyle w:val="Odstavecseseznamem"/>
        <w:numPr>
          <w:ilvl w:val="0"/>
          <w:numId w:val="41"/>
        </w:numPr>
        <w:tabs>
          <w:tab w:val="left" w:pos="284"/>
        </w:tabs>
        <w:spacing w:before="60" w:after="60"/>
        <w:ind w:hanging="436"/>
        <w:jc w:val="both"/>
        <w:rPr>
          <w:rFonts w:cs="Arial"/>
          <w:sz w:val="20"/>
          <w:szCs w:val="20"/>
        </w:rPr>
      </w:pPr>
      <w:r w:rsidRPr="002A1C35">
        <w:rPr>
          <w:rFonts w:cs="Arial"/>
          <w:sz w:val="20"/>
          <w:szCs w:val="20"/>
          <w:u w:val="single"/>
        </w:rPr>
        <w:t>Cena:</w:t>
      </w:r>
      <w:r w:rsidRPr="002A1C35">
        <w:rPr>
          <w:rFonts w:cs="Arial"/>
          <w:sz w:val="20"/>
          <w:szCs w:val="20"/>
        </w:rPr>
        <w:t xml:space="preserve"> 1 483 982 277,30 Kč bez DPH, cena nebyla dodatky navýšena</w:t>
      </w:r>
    </w:p>
    <w:p w14:paraId="70B73128" w14:textId="77777777" w:rsidR="00A42511" w:rsidRPr="004A79EC" w:rsidRDefault="00A42511" w:rsidP="00210CD5">
      <w:pPr>
        <w:pStyle w:val="Odstavecseseznamem"/>
        <w:numPr>
          <w:ilvl w:val="0"/>
          <w:numId w:val="41"/>
        </w:numPr>
        <w:tabs>
          <w:tab w:val="left" w:pos="284"/>
        </w:tabs>
        <w:spacing w:before="60" w:after="60"/>
        <w:ind w:hanging="436"/>
        <w:jc w:val="both"/>
        <w:rPr>
          <w:rFonts w:cs="Arial"/>
          <w:sz w:val="20"/>
          <w:szCs w:val="20"/>
        </w:rPr>
      </w:pPr>
      <w:r>
        <w:rPr>
          <w:rFonts w:cs="Arial"/>
          <w:color w:val="000000"/>
          <w:sz w:val="20"/>
          <w:szCs w:val="20"/>
          <w:u w:val="single"/>
        </w:rPr>
        <w:t>P</w:t>
      </w:r>
      <w:r w:rsidRPr="002A1C35">
        <w:rPr>
          <w:rFonts w:cs="Arial"/>
          <w:color w:val="000000"/>
          <w:sz w:val="20"/>
          <w:szCs w:val="20"/>
          <w:u w:val="single"/>
        </w:rPr>
        <w:t>ředmět plnění</w:t>
      </w:r>
      <w:r>
        <w:rPr>
          <w:rFonts w:cs="Arial"/>
          <w:color w:val="000000"/>
          <w:sz w:val="20"/>
          <w:szCs w:val="20"/>
          <w:u w:val="single"/>
        </w:rPr>
        <w:t xml:space="preserve"> dle smlouvy</w:t>
      </w:r>
      <w:r w:rsidRPr="002A1C35">
        <w:rPr>
          <w:rFonts w:cs="Arial"/>
          <w:color w:val="000000"/>
          <w:sz w:val="20"/>
          <w:szCs w:val="20"/>
          <w:u w:val="single"/>
        </w:rPr>
        <w:t>:</w:t>
      </w:r>
      <w:r w:rsidRPr="00037574">
        <w:rPr>
          <w:rFonts w:cs="Arial"/>
          <w:color w:val="000000"/>
          <w:sz w:val="20"/>
          <w:szCs w:val="20"/>
        </w:rPr>
        <w:t xml:space="preserve"> dodání </w:t>
      </w:r>
      <w:r w:rsidRPr="00B8627C">
        <w:rPr>
          <w:rFonts w:cs="Arial"/>
          <w:b/>
          <w:color w:val="000000"/>
          <w:sz w:val="20"/>
          <w:szCs w:val="20"/>
        </w:rPr>
        <w:t>radiolokátorů a trenažéru ARTHUR</w:t>
      </w:r>
    </w:p>
    <w:p w14:paraId="3EE5AE36" w14:textId="77777777" w:rsidR="00A42511" w:rsidRPr="00C50AEA" w:rsidRDefault="00A42511" w:rsidP="00210CD5">
      <w:pPr>
        <w:pStyle w:val="Odstavecseseznamem"/>
        <w:numPr>
          <w:ilvl w:val="0"/>
          <w:numId w:val="41"/>
        </w:numPr>
        <w:spacing w:before="60"/>
        <w:ind w:left="714" w:hanging="436"/>
        <w:jc w:val="both"/>
        <w:rPr>
          <w:rFonts w:cs="Arial"/>
          <w:sz w:val="20"/>
          <w:szCs w:val="20"/>
        </w:rPr>
      </w:pPr>
      <w:r>
        <w:rPr>
          <w:rFonts w:cs="Arial"/>
          <w:color w:val="000000"/>
          <w:sz w:val="20"/>
          <w:szCs w:val="20"/>
          <w:u w:val="single"/>
        </w:rPr>
        <w:t>Uzavření offsetové dohody se zahraničním dodavatelem:</w:t>
      </w:r>
      <w:r w:rsidRPr="004A79EC">
        <w:rPr>
          <w:rFonts w:cs="Arial"/>
          <w:color w:val="000000"/>
          <w:sz w:val="20"/>
          <w:szCs w:val="20"/>
        </w:rPr>
        <w:t xml:space="preserve"> </w:t>
      </w:r>
      <w:r>
        <w:rPr>
          <w:rFonts w:cs="Arial"/>
          <w:color w:val="000000"/>
          <w:sz w:val="20"/>
          <w:szCs w:val="20"/>
        </w:rPr>
        <w:t>NE</w:t>
      </w:r>
      <w:r>
        <w:rPr>
          <w:rFonts w:cs="Arial"/>
          <w:color w:val="000000"/>
          <w:sz w:val="20"/>
          <w:szCs w:val="20"/>
          <w:u w:val="single"/>
        </w:rPr>
        <w:t xml:space="preserve"> </w:t>
      </w:r>
    </w:p>
    <w:p w14:paraId="0C593000" w14:textId="77777777" w:rsidR="00A42511" w:rsidRPr="00EE7E55" w:rsidRDefault="00A42511" w:rsidP="00210CD5">
      <w:pPr>
        <w:pStyle w:val="Odstavecseseznamem"/>
        <w:numPr>
          <w:ilvl w:val="0"/>
          <w:numId w:val="41"/>
        </w:numPr>
        <w:spacing w:before="60"/>
        <w:ind w:left="714" w:hanging="436"/>
        <w:jc w:val="both"/>
        <w:rPr>
          <w:rFonts w:cs="Arial"/>
          <w:sz w:val="20"/>
          <w:szCs w:val="20"/>
        </w:rPr>
      </w:pPr>
      <w:r>
        <w:rPr>
          <w:rFonts w:cs="Arial"/>
          <w:color w:val="000000"/>
          <w:sz w:val="20"/>
          <w:szCs w:val="20"/>
          <w:u w:val="single"/>
        </w:rPr>
        <w:t>Výše offsetového závazku:</w:t>
      </w:r>
      <w:r>
        <w:rPr>
          <w:rFonts w:cs="Arial"/>
          <w:sz w:val="20"/>
          <w:szCs w:val="20"/>
        </w:rPr>
        <w:t xml:space="preserve"> 100 % ceny zahraničních dodávek</w:t>
      </w:r>
    </w:p>
    <w:p w14:paraId="5493366F" w14:textId="77777777" w:rsidR="00A42511" w:rsidRPr="002A1C35" w:rsidRDefault="00A42511" w:rsidP="00A42511">
      <w:pPr>
        <w:pStyle w:val="Odstavecseseznamem"/>
        <w:tabs>
          <w:tab w:val="left" w:pos="284"/>
        </w:tabs>
        <w:spacing w:before="60" w:after="60"/>
        <w:ind w:left="720"/>
        <w:rPr>
          <w:rFonts w:cs="Arial"/>
          <w:sz w:val="20"/>
          <w:szCs w:val="20"/>
        </w:rPr>
      </w:pPr>
    </w:p>
    <w:p w14:paraId="2E9C1046" w14:textId="77777777" w:rsidR="00A42511" w:rsidRPr="002A1C35" w:rsidRDefault="00A42511" w:rsidP="00A42511">
      <w:pPr>
        <w:tabs>
          <w:tab w:val="left" w:pos="284"/>
          <w:tab w:val="left" w:pos="567"/>
          <w:tab w:val="left" w:pos="709"/>
        </w:tabs>
        <w:spacing w:after="60"/>
        <w:ind w:left="360" w:hanging="360"/>
        <w:rPr>
          <w:rFonts w:cs="Arial"/>
          <w:b/>
          <w:sz w:val="20"/>
          <w:szCs w:val="20"/>
        </w:rPr>
      </w:pPr>
      <w:r w:rsidRPr="000D4701">
        <w:rPr>
          <w:rFonts w:cs="Arial"/>
          <w:b/>
          <w:noProof/>
          <w:u w:val="single"/>
        </w:rPr>
        <mc:AlternateContent>
          <mc:Choice Requires="wps">
            <w:drawing>
              <wp:anchor distT="0" distB="0" distL="114300" distR="114300" simplePos="0" relativeHeight="251673088" behindDoc="0" locked="0" layoutInCell="1" allowOverlap="1" wp14:anchorId="358DA650" wp14:editId="16322761">
                <wp:simplePos x="0" y="0"/>
                <wp:positionH relativeFrom="column">
                  <wp:posOffset>2540</wp:posOffset>
                </wp:positionH>
                <wp:positionV relativeFrom="paragraph">
                  <wp:posOffset>100533</wp:posOffset>
                </wp:positionV>
                <wp:extent cx="5793105" cy="2311879"/>
                <wp:effectExtent l="0" t="0" r="17145" b="12700"/>
                <wp:wrapNone/>
                <wp:docPr id="11" name="Obdélník 11"/>
                <wp:cNvGraphicFramePr/>
                <a:graphic xmlns:a="http://schemas.openxmlformats.org/drawingml/2006/main">
                  <a:graphicData uri="http://schemas.microsoft.com/office/word/2010/wordprocessingShape">
                    <wps:wsp>
                      <wps:cNvSpPr/>
                      <wps:spPr>
                        <a:xfrm>
                          <a:off x="0" y="0"/>
                          <a:ext cx="5793105" cy="2311879"/>
                        </a:xfrm>
                        <a:prstGeom prst="rect">
                          <a:avLst/>
                        </a:prstGeom>
                        <a:noFill/>
                        <a:ln w="25400" cap="flat" cmpd="sng" algn="ctr">
                          <a:solidFill>
                            <a:srgbClr val="4F81BD">
                              <a:shade val="50000"/>
                            </a:srgbClr>
                          </a:solidFill>
                          <a:prstDash val="solid"/>
                        </a:ln>
                        <a:effectLst/>
                      </wps:spPr>
                      <wps:txbx>
                        <w:txbxContent>
                          <w:p w14:paraId="3DAA8AA8"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1" o:spid="_x0000_s1028" style="position:absolute;left:0;text-align:left;margin-left:.2pt;margin-top:7.9pt;width:456.15pt;height:182.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" filled="f" strokecolor="#385d8a" strokeweight="2pt">
                <v:textbox>
                  <w:txbxContent>
                    <w:p w14:paraId="3DAA8AA8" w14:textId="77777777" w:rsidR="00613346" w:rsidRDefault="00613346" w:rsidP="00A42511">
                      <w:pPr>
                        <w:jc w:val="center"/>
                      </w:pPr>
                    </w:p>
                  </w:txbxContent>
                </v:textbox>
              </v:rect>
            </w:pict>
          </mc:Fallback>
        </mc:AlternateContent>
      </w:r>
    </w:p>
    <w:p w14:paraId="34292000" w14:textId="77777777" w:rsidR="00A42511" w:rsidRPr="009E4B2E" w:rsidRDefault="00A42511" w:rsidP="00A42511">
      <w:pPr>
        <w:tabs>
          <w:tab w:val="left" w:pos="142"/>
          <w:tab w:val="left" w:pos="284"/>
        </w:tabs>
        <w:spacing w:after="60"/>
        <w:ind w:left="142" w:hanging="142"/>
        <w:rPr>
          <w:rFonts w:cs="Arial"/>
          <w:b/>
          <w:sz w:val="20"/>
          <w:szCs w:val="20"/>
        </w:rPr>
      </w:pPr>
      <w:r>
        <w:rPr>
          <w:rFonts w:cs="Arial"/>
          <w:b/>
          <w:sz w:val="20"/>
          <w:szCs w:val="20"/>
        </w:rPr>
        <w:t xml:space="preserve"> 3.</w:t>
      </w:r>
      <w:r w:rsidRPr="009E4B2E">
        <w:rPr>
          <w:rFonts w:cs="Arial"/>
          <w:b/>
          <w:sz w:val="20"/>
          <w:szCs w:val="20"/>
        </w:rPr>
        <w:t xml:space="preserve">  PPS RBS-70</w:t>
      </w:r>
    </w:p>
    <w:p w14:paraId="28BD8049" w14:textId="5FD36CD8" w:rsidR="00A42511" w:rsidRPr="002A1C35" w:rsidRDefault="00A42511" w:rsidP="00A42511">
      <w:pPr>
        <w:pStyle w:val="Odstavecseseznamem"/>
        <w:numPr>
          <w:ilvl w:val="0"/>
          <w:numId w:val="34"/>
        </w:numPr>
        <w:tabs>
          <w:tab w:val="left" w:pos="284"/>
        </w:tabs>
        <w:spacing w:before="60" w:after="60"/>
        <w:ind w:hanging="425"/>
        <w:jc w:val="both"/>
        <w:rPr>
          <w:rFonts w:cs="Arial"/>
          <w:sz w:val="20"/>
          <w:szCs w:val="20"/>
        </w:rPr>
      </w:pPr>
      <w:r w:rsidRPr="002A1C35">
        <w:rPr>
          <w:rFonts w:cs="Arial"/>
          <w:sz w:val="20"/>
          <w:szCs w:val="20"/>
          <w:u w:val="single"/>
        </w:rPr>
        <w:t>Předmět VZ</w:t>
      </w:r>
      <w:r>
        <w:rPr>
          <w:rFonts w:cs="Arial"/>
          <w:sz w:val="20"/>
          <w:szCs w:val="20"/>
          <w:u w:val="single"/>
        </w:rPr>
        <w:t xml:space="preserve"> zkráceně</w:t>
      </w:r>
      <w:r w:rsidRPr="002A1C35">
        <w:rPr>
          <w:rFonts w:cs="Arial"/>
          <w:sz w:val="20"/>
          <w:szCs w:val="20"/>
          <w:u w:val="single"/>
        </w:rPr>
        <w:t>:</w:t>
      </w:r>
      <w:r w:rsidRPr="002A1C35">
        <w:rPr>
          <w:rFonts w:cs="Arial"/>
          <w:sz w:val="20"/>
          <w:szCs w:val="20"/>
        </w:rPr>
        <w:t xml:space="preserve"> </w:t>
      </w:r>
      <w:r w:rsidR="006361E8">
        <w:rPr>
          <w:rFonts w:cs="Arial"/>
          <w:sz w:val="20"/>
          <w:szCs w:val="20"/>
        </w:rPr>
        <w:t>d</w:t>
      </w:r>
      <w:r w:rsidRPr="002A1C35">
        <w:rPr>
          <w:rFonts w:cs="Arial"/>
          <w:sz w:val="20"/>
          <w:szCs w:val="20"/>
        </w:rPr>
        <w:t>odání protiletadlového raketového komple</w:t>
      </w:r>
      <w:r>
        <w:rPr>
          <w:rFonts w:cs="Arial"/>
          <w:sz w:val="20"/>
          <w:szCs w:val="20"/>
        </w:rPr>
        <w:t>t</w:t>
      </w:r>
      <w:r w:rsidRPr="002A1C35">
        <w:rPr>
          <w:rFonts w:cs="Arial"/>
          <w:sz w:val="20"/>
          <w:szCs w:val="20"/>
        </w:rPr>
        <w:t xml:space="preserve">u RBS-70 a převedení vlastnického práva </w:t>
      </w:r>
      <w:r w:rsidR="00D920E5">
        <w:rPr>
          <w:rFonts w:cs="Arial"/>
          <w:sz w:val="20"/>
          <w:szCs w:val="20"/>
        </w:rPr>
        <w:t>k </w:t>
      </w:r>
      <w:r w:rsidRPr="002A1C35">
        <w:rPr>
          <w:rFonts w:cs="Arial"/>
          <w:sz w:val="20"/>
          <w:szCs w:val="20"/>
        </w:rPr>
        <w:t>tomuto zboží na kupujícího</w:t>
      </w:r>
    </w:p>
    <w:p w14:paraId="08EF33A9" w14:textId="77777777" w:rsidR="00A42511" w:rsidRPr="002A1C35" w:rsidRDefault="00A42511" w:rsidP="00A42511">
      <w:pPr>
        <w:pStyle w:val="Odstavecseseznamem"/>
        <w:numPr>
          <w:ilvl w:val="0"/>
          <w:numId w:val="34"/>
        </w:numPr>
        <w:tabs>
          <w:tab w:val="left" w:pos="284"/>
        </w:tabs>
        <w:spacing w:before="60" w:after="60"/>
        <w:ind w:hanging="425"/>
        <w:jc w:val="both"/>
        <w:rPr>
          <w:rFonts w:cs="Arial"/>
          <w:sz w:val="20"/>
          <w:szCs w:val="20"/>
        </w:rPr>
      </w:pPr>
      <w:r w:rsidRPr="002A1C35">
        <w:rPr>
          <w:rFonts w:cs="Arial"/>
          <w:sz w:val="20"/>
          <w:szCs w:val="20"/>
          <w:u w:val="single"/>
        </w:rPr>
        <w:t>Datum oznámení výzvy:</w:t>
      </w:r>
      <w:r w:rsidRPr="002A1C35">
        <w:rPr>
          <w:rFonts w:cs="Arial"/>
          <w:sz w:val="20"/>
          <w:szCs w:val="20"/>
        </w:rPr>
        <w:t xml:space="preserve"> 27. srpna 2004</w:t>
      </w:r>
    </w:p>
    <w:p w14:paraId="5B9D8447" w14:textId="639CB8D0" w:rsidR="00A42511" w:rsidRPr="002A1C35" w:rsidRDefault="00A42511" w:rsidP="00A42511">
      <w:pPr>
        <w:pStyle w:val="Odstavecseseznamem"/>
        <w:numPr>
          <w:ilvl w:val="0"/>
          <w:numId w:val="34"/>
        </w:numPr>
        <w:tabs>
          <w:tab w:val="left" w:pos="284"/>
        </w:tabs>
        <w:spacing w:before="60" w:after="60"/>
        <w:ind w:hanging="425"/>
        <w:jc w:val="both"/>
        <w:rPr>
          <w:rFonts w:cs="Arial"/>
          <w:sz w:val="20"/>
          <w:szCs w:val="20"/>
        </w:rPr>
      </w:pPr>
      <w:r w:rsidRPr="002A1C35">
        <w:rPr>
          <w:rFonts w:cs="Arial"/>
          <w:sz w:val="20"/>
          <w:szCs w:val="20"/>
          <w:u w:val="single"/>
        </w:rPr>
        <w:t xml:space="preserve">Základní </w:t>
      </w:r>
      <w:r w:rsidR="006361E8">
        <w:rPr>
          <w:rFonts w:cs="Arial"/>
          <w:sz w:val="20"/>
          <w:szCs w:val="20"/>
          <w:u w:val="single"/>
        </w:rPr>
        <w:t>hodnoticí</w:t>
      </w:r>
      <w:r w:rsidRPr="002A1C35">
        <w:rPr>
          <w:rFonts w:cs="Arial"/>
          <w:sz w:val="20"/>
          <w:szCs w:val="20"/>
          <w:u w:val="single"/>
        </w:rPr>
        <w:t xml:space="preserve"> kritérium:</w:t>
      </w:r>
      <w:r w:rsidRPr="002A1C35">
        <w:rPr>
          <w:rFonts w:cs="Arial"/>
          <w:sz w:val="20"/>
          <w:szCs w:val="20"/>
        </w:rPr>
        <w:t xml:space="preserve"> nabídková cena</w:t>
      </w:r>
    </w:p>
    <w:p w14:paraId="44E8863D" w14:textId="77777777" w:rsidR="00A42511" w:rsidRDefault="00A42511" w:rsidP="00A42511">
      <w:pPr>
        <w:pStyle w:val="Odstavecseseznamem"/>
        <w:numPr>
          <w:ilvl w:val="0"/>
          <w:numId w:val="34"/>
        </w:numPr>
        <w:tabs>
          <w:tab w:val="left" w:pos="284"/>
        </w:tabs>
        <w:spacing w:before="60" w:after="60"/>
        <w:ind w:left="284" w:hanging="11"/>
        <w:jc w:val="both"/>
        <w:rPr>
          <w:rFonts w:cs="Arial"/>
          <w:sz w:val="20"/>
          <w:szCs w:val="20"/>
        </w:rPr>
      </w:pPr>
      <w:r w:rsidRPr="00037574">
        <w:rPr>
          <w:rFonts w:cs="Arial"/>
          <w:sz w:val="20"/>
          <w:szCs w:val="20"/>
          <w:u w:val="single"/>
        </w:rPr>
        <w:t>Datum uzavření smlouvy:</w:t>
      </w:r>
      <w:r w:rsidRPr="00037574">
        <w:rPr>
          <w:rFonts w:cs="Arial"/>
          <w:sz w:val="20"/>
          <w:szCs w:val="20"/>
        </w:rPr>
        <w:t xml:space="preserve"> 8. prosince 2004, uzavřen jeden dodatek</w:t>
      </w:r>
    </w:p>
    <w:p w14:paraId="2772A1F6" w14:textId="77777777" w:rsidR="00A42511" w:rsidRPr="00037574" w:rsidRDefault="00A42511" w:rsidP="00A42511">
      <w:pPr>
        <w:pStyle w:val="Odstavecseseznamem"/>
        <w:numPr>
          <w:ilvl w:val="0"/>
          <w:numId w:val="34"/>
        </w:numPr>
        <w:tabs>
          <w:tab w:val="left" w:pos="709"/>
        </w:tabs>
        <w:spacing w:before="60" w:after="60"/>
        <w:ind w:left="709" w:hanging="425"/>
        <w:jc w:val="both"/>
        <w:rPr>
          <w:rFonts w:cs="Arial"/>
          <w:sz w:val="20"/>
          <w:szCs w:val="20"/>
        </w:rPr>
      </w:pPr>
      <w:r w:rsidRPr="00037574">
        <w:rPr>
          <w:rFonts w:cs="Arial"/>
          <w:sz w:val="20"/>
          <w:szCs w:val="20"/>
          <w:u w:val="single"/>
        </w:rPr>
        <w:t>Cena:</w:t>
      </w:r>
      <w:r w:rsidRPr="00037574">
        <w:rPr>
          <w:rFonts w:cs="Arial"/>
          <w:sz w:val="20"/>
          <w:szCs w:val="20"/>
        </w:rPr>
        <w:t xml:space="preserve"> 911 960 363,10 Kč bez DPH, 1 085 232 832,10 Kč vč. DPH, cena nebyla dodatkem navýšena</w:t>
      </w:r>
    </w:p>
    <w:p w14:paraId="73BC1F00" w14:textId="77777777" w:rsidR="00A42511" w:rsidRPr="00806992" w:rsidRDefault="00A42511" w:rsidP="00A42511">
      <w:pPr>
        <w:pStyle w:val="Odstavecseseznamem"/>
        <w:numPr>
          <w:ilvl w:val="0"/>
          <w:numId w:val="34"/>
        </w:numPr>
        <w:tabs>
          <w:tab w:val="left" w:pos="284"/>
        </w:tabs>
        <w:spacing w:before="60" w:after="60"/>
        <w:ind w:left="714" w:hanging="425"/>
        <w:jc w:val="both"/>
        <w:rPr>
          <w:rFonts w:cs="Arial"/>
          <w:sz w:val="20"/>
          <w:szCs w:val="20"/>
        </w:rPr>
      </w:pPr>
      <w:r>
        <w:rPr>
          <w:rFonts w:cs="Arial"/>
          <w:color w:val="000000"/>
          <w:sz w:val="20"/>
          <w:szCs w:val="20"/>
          <w:u w:val="single"/>
        </w:rPr>
        <w:t>P</w:t>
      </w:r>
      <w:r w:rsidRPr="002A1C35">
        <w:rPr>
          <w:rFonts w:cs="Arial"/>
          <w:color w:val="000000"/>
          <w:sz w:val="20"/>
          <w:szCs w:val="20"/>
          <w:u w:val="single"/>
        </w:rPr>
        <w:t>ředmět plnění</w:t>
      </w:r>
      <w:r>
        <w:rPr>
          <w:rFonts w:cs="Arial"/>
          <w:color w:val="000000"/>
          <w:sz w:val="20"/>
          <w:szCs w:val="20"/>
          <w:u w:val="single"/>
        </w:rPr>
        <w:t xml:space="preserve"> dle smlouvy</w:t>
      </w:r>
      <w:r w:rsidRPr="002A1C35">
        <w:rPr>
          <w:rFonts w:cs="Arial"/>
          <w:color w:val="000000"/>
          <w:sz w:val="20"/>
          <w:szCs w:val="20"/>
          <w:u w:val="single"/>
        </w:rPr>
        <w:t>:</w:t>
      </w:r>
      <w:r w:rsidRPr="00037574">
        <w:rPr>
          <w:rFonts w:cs="Arial"/>
          <w:color w:val="000000"/>
          <w:sz w:val="20"/>
          <w:szCs w:val="20"/>
        </w:rPr>
        <w:t xml:space="preserve"> dodání </w:t>
      </w:r>
      <w:r>
        <w:rPr>
          <w:rFonts w:cs="Arial"/>
          <w:color w:val="000000"/>
          <w:sz w:val="20"/>
          <w:szCs w:val="20"/>
        </w:rPr>
        <w:t xml:space="preserve">přenosného protiletadlového raketového kompletu (PPLRK) </w:t>
      </w:r>
      <w:r w:rsidRPr="00B8627C">
        <w:rPr>
          <w:rFonts w:cs="Arial"/>
          <w:b/>
          <w:color w:val="000000"/>
          <w:sz w:val="20"/>
          <w:szCs w:val="20"/>
        </w:rPr>
        <w:t>RBS-70</w:t>
      </w:r>
    </w:p>
    <w:p w14:paraId="12FE2B87" w14:textId="77777777" w:rsidR="00A42511" w:rsidRPr="00C50AEA" w:rsidRDefault="00A42511" w:rsidP="00A42511">
      <w:pPr>
        <w:pStyle w:val="Odstavecseseznamem"/>
        <w:numPr>
          <w:ilvl w:val="0"/>
          <w:numId w:val="34"/>
        </w:numPr>
        <w:tabs>
          <w:tab w:val="left" w:pos="284"/>
        </w:tabs>
        <w:spacing w:before="60" w:after="60"/>
        <w:ind w:left="714" w:hanging="425"/>
        <w:jc w:val="both"/>
        <w:rPr>
          <w:rFonts w:cs="Arial"/>
          <w:sz w:val="20"/>
          <w:szCs w:val="20"/>
        </w:rPr>
      </w:pPr>
      <w:r>
        <w:rPr>
          <w:rFonts w:cs="Arial"/>
          <w:color w:val="000000"/>
          <w:sz w:val="20"/>
          <w:szCs w:val="20"/>
          <w:u w:val="single"/>
        </w:rPr>
        <w:t>Uzavření offsetové dohody se zahraničním dodavatelem:</w:t>
      </w:r>
      <w:r w:rsidRPr="004A79EC">
        <w:rPr>
          <w:rFonts w:cs="Arial"/>
          <w:color w:val="000000"/>
          <w:sz w:val="20"/>
          <w:szCs w:val="20"/>
        </w:rPr>
        <w:t xml:space="preserve"> </w:t>
      </w:r>
      <w:r w:rsidRPr="00B1243F">
        <w:rPr>
          <w:rStyle w:val="Znakapoznpodarou"/>
          <w:rFonts w:cs="Arial"/>
          <w:color w:val="000000"/>
          <w:sz w:val="20"/>
          <w:szCs w:val="20"/>
          <w:vertAlign w:val="baseline"/>
        </w:rPr>
        <w:t>N</w:t>
      </w:r>
      <w:r w:rsidRPr="00B1243F">
        <w:rPr>
          <w:rFonts w:cs="Arial"/>
          <w:color w:val="000000"/>
          <w:sz w:val="20"/>
          <w:szCs w:val="20"/>
        </w:rPr>
        <w:t>E</w:t>
      </w:r>
    </w:p>
    <w:p w14:paraId="3BD89C81" w14:textId="77777777" w:rsidR="00A42511" w:rsidRPr="00EE7E55" w:rsidRDefault="00A42511" w:rsidP="00A42511">
      <w:pPr>
        <w:pStyle w:val="Odstavecseseznamem"/>
        <w:numPr>
          <w:ilvl w:val="0"/>
          <w:numId w:val="34"/>
        </w:numPr>
        <w:spacing w:before="60"/>
        <w:ind w:hanging="436"/>
        <w:jc w:val="both"/>
        <w:rPr>
          <w:rFonts w:cs="Arial"/>
          <w:sz w:val="20"/>
          <w:szCs w:val="20"/>
        </w:rPr>
      </w:pPr>
      <w:r>
        <w:rPr>
          <w:rFonts w:cs="Arial"/>
          <w:color w:val="000000"/>
          <w:sz w:val="20"/>
          <w:szCs w:val="20"/>
          <w:u w:val="single"/>
        </w:rPr>
        <w:t>Výše offsetového závazku:</w:t>
      </w:r>
      <w:r>
        <w:rPr>
          <w:rFonts w:cs="Arial"/>
          <w:sz w:val="20"/>
          <w:szCs w:val="20"/>
        </w:rPr>
        <w:t xml:space="preserve"> 100 % ceny zahraničních dodávek</w:t>
      </w:r>
    </w:p>
    <w:p w14:paraId="7FF8DF1F" w14:textId="77777777" w:rsidR="00A42511" w:rsidRPr="002A1C35" w:rsidRDefault="00A42511" w:rsidP="00A42511">
      <w:pPr>
        <w:pStyle w:val="Odstavecseseznamem"/>
        <w:tabs>
          <w:tab w:val="left" w:pos="284"/>
        </w:tabs>
        <w:spacing w:before="60" w:after="60"/>
        <w:ind w:left="714"/>
        <w:rPr>
          <w:rFonts w:cs="Arial"/>
          <w:sz w:val="20"/>
          <w:szCs w:val="20"/>
        </w:rPr>
      </w:pPr>
      <w:r>
        <w:rPr>
          <w:rFonts w:cs="Arial"/>
          <w:color w:val="000000"/>
          <w:sz w:val="20"/>
          <w:szCs w:val="20"/>
          <w:u w:val="single"/>
        </w:rPr>
        <w:t xml:space="preserve"> </w:t>
      </w:r>
    </w:p>
    <w:p w14:paraId="09949570" w14:textId="77777777" w:rsidR="00A42511" w:rsidRDefault="00A42511" w:rsidP="00A42511">
      <w:pPr>
        <w:tabs>
          <w:tab w:val="left" w:pos="284"/>
        </w:tabs>
        <w:spacing w:after="60"/>
        <w:rPr>
          <w:rFonts w:cs="Arial"/>
          <w:b/>
          <w:sz w:val="20"/>
          <w:szCs w:val="20"/>
        </w:rPr>
      </w:pPr>
    </w:p>
    <w:p w14:paraId="35DB7CF3" w14:textId="77777777" w:rsidR="00A42511" w:rsidRDefault="00A42511" w:rsidP="00A42511">
      <w:pPr>
        <w:tabs>
          <w:tab w:val="left" w:pos="284"/>
        </w:tabs>
        <w:spacing w:after="60"/>
        <w:rPr>
          <w:rFonts w:cs="Arial"/>
          <w:b/>
          <w:sz w:val="20"/>
          <w:szCs w:val="20"/>
        </w:rPr>
      </w:pPr>
    </w:p>
    <w:p w14:paraId="40555450" w14:textId="77777777" w:rsidR="00A42511" w:rsidRPr="009E4B2E" w:rsidRDefault="00A42511" w:rsidP="00A42511">
      <w:pPr>
        <w:tabs>
          <w:tab w:val="left" w:pos="0"/>
        </w:tabs>
        <w:spacing w:after="60"/>
        <w:rPr>
          <w:rFonts w:cs="Arial"/>
          <w:b/>
          <w:sz w:val="20"/>
          <w:szCs w:val="20"/>
        </w:rPr>
      </w:pPr>
      <w:r w:rsidRPr="000D4701">
        <w:rPr>
          <w:rFonts w:cs="Arial"/>
          <w:b/>
          <w:noProof/>
          <w:u w:val="single"/>
        </w:rPr>
        <w:lastRenderedPageBreak/>
        <mc:AlternateContent>
          <mc:Choice Requires="wps">
            <w:drawing>
              <wp:anchor distT="0" distB="0" distL="114300" distR="114300" simplePos="0" relativeHeight="251674112" behindDoc="0" locked="0" layoutInCell="1" allowOverlap="1" wp14:anchorId="1D1D6DB6" wp14:editId="0D069ECF">
                <wp:simplePos x="0" y="0"/>
                <wp:positionH relativeFrom="column">
                  <wp:posOffset>-45781</wp:posOffset>
                </wp:positionH>
                <wp:positionV relativeFrom="paragraph">
                  <wp:posOffset>-29977</wp:posOffset>
                </wp:positionV>
                <wp:extent cx="5883215" cy="2605178"/>
                <wp:effectExtent l="0" t="0" r="22860" b="24130"/>
                <wp:wrapNone/>
                <wp:docPr id="20" name="Obdélník 20"/>
                <wp:cNvGraphicFramePr/>
                <a:graphic xmlns:a="http://schemas.openxmlformats.org/drawingml/2006/main">
                  <a:graphicData uri="http://schemas.microsoft.com/office/word/2010/wordprocessingShape">
                    <wps:wsp>
                      <wps:cNvSpPr/>
                      <wps:spPr>
                        <a:xfrm>
                          <a:off x="0" y="0"/>
                          <a:ext cx="5883215" cy="2605178"/>
                        </a:xfrm>
                        <a:prstGeom prst="rect">
                          <a:avLst/>
                        </a:prstGeom>
                        <a:noFill/>
                        <a:ln w="25400" cap="flat" cmpd="sng" algn="ctr">
                          <a:solidFill>
                            <a:srgbClr val="4F81BD">
                              <a:shade val="50000"/>
                            </a:srgbClr>
                          </a:solidFill>
                          <a:prstDash val="solid"/>
                        </a:ln>
                        <a:effectLst/>
                      </wps:spPr>
                      <wps:txbx>
                        <w:txbxContent>
                          <w:p w14:paraId="66209F61"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0" o:spid="_x0000_s1029" style="position:absolute;margin-left:-3.6pt;margin-top:-2.35pt;width:463.25pt;height:205.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" filled="f" strokecolor="#385d8a" strokeweight="2pt">
                <v:textbox>
                  <w:txbxContent>
                    <w:p w14:paraId="66209F61" w14:textId="77777777" w:rsidR="00613346" w:rsidRDefault="00613346" w:rsidP="00A42511">
                      <w:pPr>
                        <w:jc w:val="center"/>
                      </w:pPr>
                    </w:p>
                  </w:txbxContent>
                </v:textbox>
              </v:rect>
            </w:pict>
          </mc:Fallback>
        </mc:AlternateContent>
      </w:r>
      <w:r>
        <w:rPr>
          <w:rFonts w:cs="Arial"/>
          <w:b/>
          <w:sz w:val="20"/>
          <w:szCs w:val="20"/>
        </w:rPr>
        <w:t xml:space="preserve">4. </w:t>
      </w:r>
      <w:r w:rsidRPr="009E4B2E">
        <w:rPr>
          <w:rFonts w:cs="Arial"/>
          <w:b/>
          <w:sz w:val="20"/>
          <w:szCs w:val="20"/>
        </w:rPr>
        <w:t xml:space="preserve">PPS AIRBUS </w:t>
      </w:r>
    </w:p>
    <w:p w14:paraId="24905954" w14:textId="1C7CFF3D" w:rsidR="00A42511" w:rsidRPr="002A1C35" w:rsidRDefault="00A42511" w:rsidP="00A42511">
      <w:pPr>
        <w:pStyle w:val="Odstavecseseznamem"/>
        <w:numPr>
          <w:ilvl w:val="0"/>
          <w:numId w:val="35"/>
        </w:numPr>
        <w:tabs>
          <w:tab w:val="left" w:pos="284"/>
        </w:tabs>
        <w:spacing w:before="60" w:after="60"/>
        <w:ind w:hanging="425"/>
        <w:jc w:val="both"/>
        <w:rPr>
          <w:rFonts w:cs="Arial"/>
          <w:sz w:val="20"/>
          <w:szCs w:val="20"/>
        </w:rPr>
      </w:pPr>
      <w:r w:rsidRPr="002A1C35">
        <w:rPr>
          <w:rFonts w:cs="Arial"/>
          <w:sz w:val="20"/>
          <w:szCs w:val="20"/>
          <w:u w:val="single"/>
        </w:rPr>
        <w:t>Předmět VZ</w:t>
      </w:r>
      <w:r>
        <w:rPr>
          <w:rFonts w:cs="Arial"/>
          <w:sz w:val="20"/>
          <w:szCs w:val="20"/>
          <w:u w:val="single"/>
        </w:rPr>
        <w:t xml:space="preserve"> zkráceně</w:t>
      </w:r>
      <w:r w:rsidRPr="002A1C35">
        <w:rPr>
          <w:rFonts w:cs="Arial"/>
          <w:sz w:val="20"/>
          <w:szCs w:val="20"/>
          <w:u w:val="single"/>
        </w:rPr>
        <w:t>:</w:t>
      </w:r>
      <w:r w:rsidRPr="002A1C35">
        <w:rPr>
          <w:rFonts w:cs="Arial"/>
          <w:sz w:val="20"/>
          <w:szCs w:val="20"/>
        </w:rPr>
        <w:t xml:space="preserve"> </w:t>
      </w:r>
      <w:r w:rsidR="006361E8">
        <w:rPr>
          <w:rFonts w:cs="Arial"/>
          <w:sz w:val="20"/>
          <w:szCs w:val="20"/>
        </w:rPr>
        <w:t>d</w:t>
      </w:r>
      <w:r w:rsidRPr="002A1C35">
        <w:rPr>
          <w:rFonts w:cs="Arial"/>
          <w:sz w:val="20"/>
          <w:szCs w:val="20"/>
        </w:rPr>
        <w:t xml:space="preserve">odávka středního dopravního letounu, </w:t>
      </w:r>
      <w:r>
        <w:rPr>
          <w:rFonts w:cs="Arial"/>
          <w:sz w:val="20"/>
          <w:szCs w:val="20"/>
        </w:rPr>
        <w:t xml:space="preserve">včetně </w:t>
      </w:r>
      <w:r w:rsidRPr="002A1C35">
        <w:rPr>
          <w:rFonts w:cs="Arial"/>
          <w:sz w:val="20"/>
          <w:szCs w:val="20"/>
        </w:rPr>
        <w:t xml:space="preserve">zajištění výcviku a zaškolení </w:t>
      </w:r>
      <w:r>
        <w:rPr>
          <w:rFonts w:cs="Arial"/>
          <w:sz w:val="20"/>
          <w:szCs w:val="20"/>
        </w:rPr>
        <w:t>příslušného personálu, dodávek náhradních dílů, měřící techniky a další logistické podpory</w:t>
      </w:r>
    </w:p>
    <w:p w14:paraId="50BFC44E" w14:textId="77777777" w:rsidR="00A42511" w:rsidRPr="002A1C35" w:rsidRDefault="00A42511" w:rsidP="00A42511">
      <w:pPr>
        <w:pStyle w:val="Odstavecseseznamem"/>
        <w:numPr>
          <w:ilvl w:val="0"/>
          <w:numId w:val="35"/>
        </w:numPr>
        <w:tabs>
          <w:tab w:val="left" w:pos="284"/>
        </w:tabs>
        <w:spacing w:before="60" w:after="60"/>
        <w:ind w:hanging="425"/>
        <w:jc w:val="both"/>
        <w:rPr>
          <w:rFonts w:cs="Arial"/>
          <w:sz w:val="20"/>
          <w:szCs w:val="20"/>
        </w:rPr>
      </w:pPr>
      <w:r w:rsidRPr="002A1C35">
        <w:rPr>
          <w:rFonts w:cs="Arial"/>
          <w:sz w:val="20"/>
          <w:szCs w:val="20"/>
          <w:u w:val="single"/>
        </w:rPr>
        <w:t>Datum oznámení výzvy:</w:t>
      </w:r>
      <w:r w:rsidRPr="002A1C35">
        <w:rPr>
          <w:rFonts w:cs="Arial"/>
          <w:sz w:val="20"/>
          <w:szCs w:val="20"/>
        </w:rPr>
        <w:t xml:space="preserve"> 30. srpna 2005</w:t>
      </w:r>
    </w:p>
    <w:p w14:paraId="67DAC78A" w14:textId="15BFC3C9" w:rsidR="00A42511" w:rsidRPr="002A1C35" w:rsidRDefault="00A42511" w:rsidP="00A42511">
      <w:pPr>
        <w:pStyle w:val="Odstavecseseznamem"/>
        <w:numPr>
          <w:ilvl w:val="0"/>
          <w:numId w:val="35"/>
        </w:numPr>
        <w:tabs>
          <w:tab w:val="left" w:pos="284"/>
        </w:tabs>
        <w:spacing w:before="60" w:after="60"/>
        <w:ind w:hanging="425"/>
        <w:jc w:val="both"/>
        <w:rPr>
          <w:rFonts w:cs="Arial"/>
          <w:sz w:val="20"/>
          <w:szCs w:val="20"/>
        </w:rPr>
      </w:pPr>
      <w:r w:rsidRPr="002A1C35">
        <w:rPr>
          <w:rFonts w:cs="Arial"/>
          <w:sz w:val="20"/>
          <w:szCs w:val="20"/>
          <w:u w:val="single"/>
        </w:rPr>
        <w:t xml:space="preserve">Základní </w:t>
      </w:r>
      <w:r w:rsidR="006361E8">
        <w:rPr>
          <w:rFonts w:cs="Arial"/>
          <w:sz w:val="20"/>
          <w:szCs w:val="20"/>
          <w:u w:val="single"/>
        </w:rPr>
        <w:t>hodnoticí</w:t>
      </w:r>
      <w:r w:rsidRPr="002A1C35">
        <w:rPr>
          <w:rFonts w:cs="Arial"/>
          <w:sz w:val="20"/>
          <w:szCs w:val="20"/>
          <w:u w:val="single"/>
        </w:rPr>
        <w:t xml:space="preserve"> kritérium:</w:t>
      </w:r>
      <w:r w:rsidRPr="002A1C35">
        <w:rPr>
          <w:rFonts w:cs="Arial"/>
          <w:sz w:val="20"/>
          <w:szCs w:val="20"/>
        </w:rPr>
        <w:t xml:space="preserve"> ekonomická výhodnost 1) celková nabídková cena v USD bez DPH – váha 31 %, 2) zkrácení termínů realizace dodávek oproti požadavkům – váha 29 %, 3)</w:t>
      </w:r>
      <w:r w:rsidR="006361E8">
        <w:rPr>
          <w:rFonts w:cs="Arial"/>
          <w:sz w:val="20"/>
          <w:szCs w:val="20"/>
        </w:rPr>
        <w:t> </w:t>
      </w:r>
      <w:r w:rsidRPr="002A1C35">
        <w:rPr>
          <w:rFonts w:cs="Arial"/>
          <w:sz w:val="20"/>
          <w:szCs w:val="20"/>
        </w:rPr>
        <w:t xml:space="preserve">splnění podmínek uvedených </w:t>
      </w:r>
      <w:r w:rsidR="00D920E5">
        <w:rPr>
          <w:rFonts w:cs="Arial"/>
          <w:sz w:val="20"/>
          <w:szCs w:val="20"/>
        </w:rPr>
        <w:t>v </w:t>
      </w:r>
      <w:r w:rsidRPr="002A1C35">
        <w:rPr>
          <w:rFonts w:cs="Arial"/>
          <w:sz w:val="20"/>
          <w:szCs w:val="20"/>
        </w:rPr>
        <w:t xml:space="preserve">části 1 výzvy </w:t>
      </w:r>
      <w:r w:rsidR="00D920E5">
        <w:rPr>
          <w:rFonts w:cs="Arial"/>
          <w:sz w:val="20"/>
          <w:szCs w:val="20"/>
        </w:rPr>
        <w:t>v </w:t>
      </w:r>
      <w:r w:rsidRPr="002A1C35">
        <w:rPr>
          <w:rFonts w:cs="Arial"/>
          <w:sz w:val="20"/>
          <w:szCs w:val="20"/>
        </w:rPr>
        <w:t>rozsahu výhodnějším pro zadavatele – váha 30 %, 4) nabídka offsetových programů nad 100 % hodnoty veřejné zakázky – váha 10 %</w:t>
      </w:r>
    </w:p>
    <w:p w14:paraId="4F25E5DA" w14:textId="77777777" w:rsidR="00A42511" w:rsidRDefault="00A42511" w:rsidP="00A42511">
      <w:pPr>
        <w:pStyle w:val="Odstavecseseznamem"/>
        <w:numPr>
          <w:ilvl w:val="0"/>
          <w:numId w:val="35"/>
        </w:numPr>
        <w:tabs>
          <w:tab w:val="left" w:pos="284"/>
        </w:tabs>
        <w:spacing w:before="60" w:after="60"/>
        <w:ind w:left="284" w:hanging="11"/>
        <w:jc w:val="both"/>
        <w:rPr>
          <w:rFonts w:cs="Arial"/>
          <w:sz w:val="20"/>
          <w:szCs w:val="20"/>
        </w:rPr>
      </w:pPr>
      <w:r w:rsidRPr="00043CFC">
        <w:rPr>
          <w:rFonts w:cs="Arial"/>
          <w:sz w:val="20"/>
          <w:szCs w:val="20"/>
          <w:u w:val="single"/>
        </w:rPr>
        <w:t>Datum uzavření smlouvy:</w:t>
      </w:r>
      <w:r w:rsidRPr="00043CFC">
        <w:rPr>
          <w:rFonts w:cs="Arial"/>
          <w:sz w:val="20"/>
          <w:szCs w:val="20"/>
        </w:rPr>
        <w:t xml:space="preserve"> 9. března 2006, uzavřen jeden dodatek</w:t>
      </w:r>
    </w:p>
    <w:p w14:paraId="7BEFCB89" w14:textId="78E858BA" w:rsidR="00A42511" w:rsidRPr="00043CFC" w:rsidRDefault="00A42511" w:rsidP="00A42511">
      <w:pPr>
        <w:pStyle w:val="Odstavecseseznamem"/>
        <w:numPr>
          <w:ilvl w:val="0"/>
          <w:numId w:val="35"/>
        </w:numPr>
        <w:tabs>
          <w:tab w:val="left" w:pos="284"/>
        </w:tabs>
        <w:spacing w:before="60" w:after="60"/>
        <w:ind w:left="284" w:hanging="11"/>
        <w:jc w:val="both"/>
        <w:rPr>
          <w:rFonts w:cs="Arial"/>
          <w:sz w:val="20"/>
          <w:szCs w:val="20"/>
        </w:rPr>
      </w:pPr>
      <w:r w:rsidRPr="00043CFC">
        <w:rPr>
          <w:rFonts w:cs="Arial"/>
          <w:sz w:val="20"/>
          <w:szCs w:val="20"/>
          <w:u w:val="single"/>
        </w:rPr>
        <w:t>Cena před uzavřením dodatk</w:t>
      </w:r>
      <w:r w:rsidR="006361E8">
        <w:rPr>
          <w:rFonts w:cs="Arial"/>
          <w:sz w:val="20"/>
          <w:szCs w:val="20"/>
          <w:u w:val="single"/>
        </w:rPr>
        <w:t>u</w:t>
      </w:r>
      <w:r w:rsidRPr="00043CFC">
        <w:rPr>
          <w:rFonts w:cs="Arial"/>
          <w:sz w:val="20"/>
          <w:szCs w:val="20"/>
          <w:u w:val="single"/>
        </w:rPr>
        <w:t>:</w:t>
      </w:r>
      <w:r w:rsidRPr="00043CFC">
        <w:rPr>
          <w:rFonts w:cs="Arial"/>
          <w:sz w:val="20"/>
          <w:szCs w:val="20"/>
        </w:rPr>
        <w:t xml:space="preserve"> 2 994 294 840 Kč bez DPH, cena nebyla dodatkem navýšena</w:t>
      </w:r>
    </w:p>
    <w:p w14:paraId="396043D3" w14:textId="77777777" w:rsidR="00A42511" w:rsidRPr="00806992" w:rsidRDefault="00A42511" w:rsidP="00A42511">
      <w:pPr>
        <w:pStyle w:val="Odstavecseseznamem"/>
        <w:numPr>
          <w:ilvl w:val="0"/>
          <w:numId w:val="35"/>
        </w:numPr>
        <w:tabs>
          <w:tab w:val="left" w:pos="284"/>
        </w:tabs>
        <w:spacing w:before="60" w:after="60"/>
        <w:ind w:left="714" w:hanging="425"/>
        <w:jc w:val="both"/>
        <w:rPr>
          <w:rFonts w:cs="Arial"/>
          <w:sz w:val="20"/>
          <w:szCs w:val="20"/>
          <w:u w:val="single"/>
        </w:rPr>
      </w:pPr>
      <w:r>
        <w:rPr>
          <w:rFonts w:cs="Arial"/>
          <w:color w:val="000000"/>
          <w:sz w:val="20"/>
          <w:szCs w:val="20"/>
          <w:u w:val="single"/>
        </w:rPr>
        <w:t>P</w:t>
      </w:r>
      <w:r w:rsidRPr="002A1C35">
        <w:rPr>
          <w:rFonts w:cs="Arial"/>
          <w:color w:val="000000"/>
          <w:sz w:val="20"/>
          <w:szCs w:val="20"/>
          <w:u w:val="single"/>
        </w:rPr>
        <w:t>ředmět plnění</w:t>
      </w:r>
      <w:r>
        <w:rPr>
          <w:rFonts w:cs="Arial"/>
          <w:color w:val="000000"/>
          <w:sz w:val="20"/>
          <w:szCs w:val="20"/>
          <w:u w:val="single"/>
        </w:rPr>
        <w:t xml:space="preserve"> dle smlouvy</w:t>
      </w:r>
      <w:r w:rsidRPr="002A1C35">
        <w:rPr>
          <w:rFonts w:cs="Arial"/>
          <w:color w:val="000000"/>
          <w:sz w:val="20"/>
          <w:szCs w:val="20"/>
          <w:u w:val="single"/>
        </w:rPr>
        <w:t>:</w:t>
      </w:r>
      <w:r w:rsidRPr="00037574">
        <w:rPr>
          <w:rFonts w:cs="Arial"/>
          <w:color w:val="000000"/>
          <w:sz w:val="20"/>
          <w:szCs w:val="20"/>
        </w:rPr>
        <w:t xml:space="preserve"> </w:t>
      </w:r>
      <w:r w:rsidRPr="004A79EC">
        <w:rPr>
          <w:rFonts w:cs="Arial"/>
          <w:sz w:val="20"/>
          <w:szCs w:val="20"/>
        </w:rPr>
        <w:t xml:space="preserve">dodání </w:t>
      </w:r>
      <w:r w:rsidRPr="00B8627C">
        <w:rPr>
          <w:rFonts w:cs="Arial"/>
          <w:b/>
          <w:sz w:val="20"/>
          <w:szCs w:val="20"/>
        </w:rPr>
        <w:t xml:space="preserve">dopravních letounů </w:t>
      </w:r>
      <w:r w:rsidRPr="00B8627C">
        <w:rPr>
          <w:b/>
          <w:sz w:val="20"/>
          <w:szCs w:val="20"/>
        </w:rPr>
        <w:t>Airbus A-319 CJ</w:t>
      </w:r>
      <w:r>
        <w:rPr>
          <w:rFonts w:cs="Arial"/>
          <w:sz w:val="20"/>
          <w:szCs w:val="20"/>
        </w:rPr>
        <w:t xml:space="preserve"> včetně souvisejících služeb, techniky a dílů</w:t>
      </w:r>
    </w:p>
    <w:p w14:paraId="3D16D5A3" w14:textId="77777777" w:rsidR="00A42511" w:rsidRPr="00C50AEA" w:rsidRDefault="00A42511" w:rsidP="00A42511">
      <w:pPr>
        <w:pStyle w:val="Odstavecseseznamem"/>
        <w:numPr>
          <w:ilvl w:val="0"/>
          <w:numId w:val="35"/>
        </w:numPr>
        <w:tabs>
          <w:tab w:val="left" w:pos="284"/>
        </w:tabs>
        <w:spacing w:before="60" w:after="60"/>
        <w:ind w:left="714" w:hanging="425"/>
        <w:jc w:val="both"/>
        <w:rPr>
          <w:rFonts w:cs="Arial"/>
          <w:sz w:val="20"/>
          <w:szCs w:val="20"/>
          <w:u w:val="single"/>
        </w:rPr>
      </w:pPr>
      <w:r>
        <w:rPr>
          <w:rFonts w:cs="Arial"/>
          <w:color w:val="000000"/>
          <w:sz w:val="20"/>
          <w:szCs w:val="20"/>
          <w:u w:val="single"/>
        </w:rPr>
        <w:t>Uzavření offsetové dohody se zahraničním dodavatelem:</w:t>
      </w:r>
      <w:r w:rsidRPr="004A79EC">
        <w:rPr>
          <w:rFonts w:cs="Arial"/>
          <w:color w:val="000000"/>
          <w:sz w:val="20"/>
          <w:szCs w:val="20"/>
        </w:rPr>
        <w:t xml:space="preserve"> </w:t>
      </w:r>
      <w:r w:rsidRPr="00B1243F">
        <w:rPr>
          <w:rStyle w:val="Znakapoznpodarou"/>
          <w:rFonts w:cs="Arial"/>
          <w:color w:val="000000"/>
          <w:sz w:val="20"/>
          <w:szCs w:val="20"/>
          <w:vertAlign w:val="baseline"/>
        </w:rPr>
        <w:t>ANO</w:t>
      </w:r>
      <w:r w:rsidRPr="00806992">
        <w:rPr>
          <w:rFonts w:cs="Arial"/>
          <w:color w:val="000000"/>
          <w:sz w:val="20"/>
          <w:szCs w:val="20"/>
          <w:u w:val="single"/>
        </w:rPr>
        <w:t xml:space="preserve"> </w:t>
      </w:r>
    </w:p>
    <w:p w14:paraId="300E9BD8" w14:textId="77777777" w:rsidR="00A42511" w:rsidRPr="00EE7E55" w:rsidRDefault="00A42511" w:rsidP="00A42511">
      <w:pPr>
        <w:pStyle w:val="Odstavecseseznamem"/>
        <w:numPr>
          <w:ilvl w:val="0"/>
          <w:numId w:val="35"/>
        </w:numPr>
        <w:spacing w:before="60"/>
        <w:ind w:hanging="436"/>
        <w:jc w:val="both"/>
        <w:rPr>
          <w:rFonts w:cs="Arial"/>
          <w:sz w:val="20"/>
          <w:szCs w:val="20"/>
        </w:rPr>
      </w:pPr>
      <w:r>
        <w:rPr>
          <w:rFonts w:cs="Arial"/>
          <w:color w:val="000000"/>
          <w:sz w:val="20"/>
          <w:szCs w:val="20"/>
          <w:u w:val="single"/>
        </w:rPr>
        <w:t>Výše offsetového závazku:</w:t>
      </w:r>
      <w:r>
        <w:rPr>
          <w:rFonts w:cs="Arial"/>
          <w:sz w:val="20"/>
          <w:szCs w:val="20"/>
        </w:rPr>
        <w:t xml:space="preserve"> 100 % ceny zahraničních dodávek</w:t>
      </w:r>
    </w:p>
    <w:p w14:paraId="3B7D67D7" w14:textId="77777777" w:rsidR="00A42511" w:rsidRPr="00806992" w:rsidRDefault="00A42511" w:rsidP="00A42511">
      <w:pPr>
        <w:pStyle w:val="Odstavecseseznamem"/>
        <w:tabs>
          <w:tab w:val="left" w:pos="284"/>
        </w:tabs>
        <w:spacing w:before="60" w:after="60"/>
        <w:ind w:left="714"/>
        <w:rPr>
          <w:rFonts w:cs="Arial"/>
          <w:sz w:val="20"/>
          <w:szCs w:val="20"/>
          <w:u w:val="single"/>
        </w:rPr>
      </w:pPr>
      <w:r w:rsidRPr="000D4701">
        <w:rPr>
          <w:rFonts w:cs="Arial"/>
          <w:b/>
          <w:noProof/>
          <w:u w:val="single"/>
        </w:rPr>
        <mc:AlternateContent>
          <mc:Choice Requires="wps">
            <w:drawing>
              <wp:anchor distT="0" distB="0" distL="114300" distR="114300" simplePos="0" relativeHeight="251675136" behindDoc="0" locked="0" layoutInCell="1" allowOverlap="1" wp14:anchorId="52072DCF" wp14:editId="78754A64">
                <wp:simplePos x="0" y="0"/>
                <wp:positionH relativeFrom="column">
                  <wp:posOffset>-45780</wp:posOffset>
                </wp:positionH>
                <wp:positionV relativeFrom="paragraph">
                  <wp:posOffset>196083</wp:posOffset>
                </wp:positionV>
                <wp:extent cx="5882640" cy="2191110"/>
                <wp:effectExtent l="0" t="0" r="22860" b="19050"/>
                <wp:wrapNone/>
                <wp:docPr id="21" name="Obdélník 21"/>
                <wp:cNvGraphicFramePr/>
                <a:graphic xmlns:a="http://schemas.openxmlformats.org/drawingml/2006/main">
                  <a:graphicData uri="http://schemas.microsoft.com/office/word/2010/wordprocessingShape">
                    <wps:wsp>
                      <wps:cNvSpPr/>
                      <wps:spPr>
                        <a:xfrm>
                          <a:off x="0" y="0"/>
                          <a:ext cx="5882640" cy="2191110"/>
                        </a:xfrm>
                        <a:prstGeom prst="rect">
                          <a:avLst/>
                        </a:prstGeom>
                        <a:noFill/>
                        <a:ln w="25400" cap="flat" cmpd="sng" algn="ctr">
                          <a:solidFill>
                            <a:srgbClr val="4F81BD">
                              <a:shade val="50000"/>
                            </a:srgbClr>
                          </a:solidFill>
                          <a:prstDash val="solid"/>
                        </a:ln>
                        <a:effectLst/>
                      </wps:spPr>
                      <wps:txbx>
                        <w:txbxContent>
                          <w:p w14:paraId="6E101844"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1" o:spid="_x0000_s1030" style="position:absolute;left:0;text-align:left;margin-left:-3.6pt;margin-top:15.45pt;width:463.2pt;height:17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" filled="f" strokecolor="#385d8a" strokeweight="2pt">
                <v:textbox>
                  <w:txbxContent>
                    <w:p w14:paraId="6E101844" w14:textId="77777777" w:rsidR="00613346" w:rsidRDefault="00613346" w:rsidP="00A42511">
                      <w:pPr>
                        <w:jc w:val="center"/>
                      </w:pPr>
                    </w:p>
                  </w:txbxContent>
                </v:textbox>
              </v:rect>
            </w:pict>
          </mc:Fallback>
        </mc:AlternateContent>
      </w:r>
    </w:p>
    <w:p w14:paraId="550569B0" w14:textId="77777777" w:rsidR="00A42511" w:rsidRPr="000D4701" w:rsidRDefault="00A42511" w:rsidP="00A42511">
      <w:pPr>
        <w:pStyle w:val="Odstavecseseznamem"/>
        <w:numPr>
          <w:ilvl w:val="0"/>
          <w:numId w:val="45"/>
        </w:numPr>
        <w:tabs>
          <w:tab w:val="left" w:pos="284"/>
        </w:tabs>
        <w:spacing w:after="60" w:line="276" w:lineRule="auto"/>
        <w:ind w:left="0" w:firstLine="0"/>
        <w:jc w:val="both"/>
        <w:rPr>
          <w:rFonts w:cs="Arial"/>
          <w:b/>
          <w:sz w:val="20"/>
          <w:szCs w:val="20"/>
        </w:rPr>
      </w:pPr>
      <w:r w:rsidRPr="000D4701">
        <w:rPr>
          <w:rFonts w:cs="Arial"/>
          <w:b/>
          <w:sz w:val="20"/>
          <w:szCs w:val="20"/>
        </w:rPr>
        <w:t>PPS ATS TATRA</w:t>
      </w:r>
    </w:p>
    <w:p w14:paraId="4BB462D2" w14:textId="1A428FE9" w:rsidR="00A42511" w:rsidRPr="002A1C35" w:rsidRDefault="00A42511" w:rsidP="00A42511">
      <w:pPr>
        <w:pStyle w:val="Odstavecseseznamem"/>
        <w:numPr>
          <w:ilvl w:val="0"/>
          <w:numId w:val="36"/>
        </w:numPr>
        <w:tabs>
          <w:tab w:val="left" w:pos="284"/>
        </w:tabs>
        <w:spacing w:before="60" w:after="60"/>
        <w:ind w:hanging="425"/>
        <w:jc w:val="both"/>
        <w:rPr>
          <w:rFonts w:cs="Arial"/>
          <w:sz w:val="20"/>
          <w:szCs w:val="20"/>
          <w:u w:val="single"/>
        </w:rPr>
      </w:pPr>
      <w:r w:rsidRPr="002A1C35">
        <w:rPr>
          <w:rFonts w:cs="Arial"/>
          <w:sz w:val="20"/>
          <w:szCs w:val="20"/>
          <w:u w:val="single"/>
        </w:rPr>
        <w:t>Předmět VZ</w:t>
      </w:r>
      <w:r>
        <w:rPr>
          <w:rFonts w:cs="Arial"/>
          <w:sz w:val="20"/>
          <w:szCs w:val="20"/>
          <w:u w:val="single"/>
        </w:rPr>
        <w:t xml:space="preserve"> zkráceně</w:t>
      </w:r>
      <w:r w:rsidRPr="002A1C35">
        <w:rPr>
          <w:rFonts w:cs="Arial"/>
          <w:sz w:val="20"/>
          <w:szCs w:val="20"/>
          <w:u w:val="single"/>
        </w:rPr>
        <w:t>:</w:t>
      </w:r>
      <w:r w:rsidRPr="002A1C35">
        <w:rPr>
          <w:rFonts w:cs="Arial"/>
          <w:sz w:val="20"/>
          <w:szCs w:val="20"/>
        </w:rPr>
        <w:t xml:space="preserve"> </w:t>
      </w:r>
      <w:r w:rsidR="006361E8">
        <w:rPr>
          <w:rFonts w:cs="Arial"/>
          <w:sz w:val="20"/>
          <w:szCs w:val="20"/>
        </w:rPr>
        <w:t>p</w:t>
      </w:r>
      <w:r w:rsidRPr="002A1C35">
        <w:rPr>
          <w:rFonts w:cs="Arial"/>
          <w:sz w:val="20"/>
          <w:szCs w:val="20"/>
        </w:rPr>
        <w:t>řezbrojení AČR automobily terénními středními včetně učebně výcvikové základny a prostředků logistické podpory</w:t>
      </w:r>
      <w:r w:rsidRPr="002A1C35">
        <w:rPr>
          <w:rFonts w:cs="Arial"/>
          <w:sz w:val="20"/>
          <w:szCs w:val="20"/>
          <w:u w:val="single"/>
        </w:rPr>
        <w:t xml:space="preserve"> </w:t>
      </w:r>
    </w:p>
    <w:p w14:paraId="624002FB" w14:textId="77777777" w:rsidR="00A42511" w:rsidRPr="002A1C35" w:rsidRDefault="00A42511" w:rsidP="00A42511">
      <w:pPr>
        <w:pStyle w:val="Odstavecseseznamem"/>
        <w:numPr>
          <w:ilvl w:val="0"/>
          <w:numId w:val="36"/>
        </w:numPr>
        <w:tabs>
          <w:tab w:val="left" w:pos="284"/>
        </w:tabs>
        <w:spacing w:before="60" w:after="60"/>
        <w:ind w:hanging="425"/>
        <w:jc w:val="both"/>
        <w:rPr>
          <w:rFonts w:cs="Arial"/>
          <w:sz w:val="20"/>
          <w:szCs w:val="20"/>
        </w:rPr>
      </w:pPr>
      <w:r w:rsidRPr="002A1C35">
        <w:rPr>
          <w:rFonts w:cs="Arial"/>
          <w:sz w:val="20"/>
          <w:szCs w:val="20"/>
          <w:u w:val="single"/>
        </w:rPr>
        <w:t>Datum oznámení výzvy:</w:t>
      </w:r>
      <w:r w:rsidRPr="002A1C35">
        <w:rPr>
          <w:rFonts w:cs="Arial"/>
          <w:sz w:val="20"/>
          <w:szCs w:val="20"/>
        </w:rPr>
        <w:t xml:space="preserve"> 2. února 2006</w:t>
      </w:r>
    </w:p>
    <w:p w14:paraId="4CBF3837" w14:textId="7F5FE712" w:rsidR="00A42511" w:rsidRPr="002A1C35" w:rsidRDefault="00A42511" w:rsidP="00A42511">
      <w:pPr>
        <w:pStyle w:val="Odstavecseseznamem"/>
        <w:numPr>
          <w:ilvl w:val="0"/>
          <w:numId w:val="36"/>
        </w:numPr>
        <w:tabs>
          <w:tab w:val="left" w:pos="284"/>
        </w:tabs>
        <w:spacing w:before="60" w:after="60"/>
        <w:ind w:hanging="425"/>
        <w:jc w:val="both"/>
        <w:rPr>
          <w:rFonts w:cs="Arial"/>
          <w:sz w:val="20"/>
          <w:szCs w:val="20"/>
        </w:rPr>
      </w:pPr>
      <w:r w:rsidRPr="002A1C35">
        <w:rPr>
          <w:rFonts w:cs="Arial"/>
          <w:sz w:val="20"/>
          <w:szCs w:val="20"/>
          <w:u w:val="single"/>
        </w:rPr>
        <w:t xml:space="preserve">Základní </w:t>
      </w:r>
      <w:r w:rsidR="006361E8">
        <w:rPr>
          <w:rFonts w:cs="Arial"/>
          <w:sz w:val="20"/>
          <w:szCs w:val="20"/>
          <w:u w:val="single"/>
        </w:rPr>
        <w:t>hodnoticí</w:t>
      </w:r>
      <w:r w:rsidRPr="002A1C35">
        <w:rPr>
          <w:rFonts w:cs="Arial"/>
          <w:sz w:val="20"/>
          <w:szCs w:val="20"/>
          <w:u w:val="single"/>
        </w:rPr>
        <w:t xml:space="preserve"> kritérium:</w:t>
      </w:r>
      <w:r w:rsidRPr="002A1C35">
        <w:rPr>
          <w:rFonts w:cs="Arial"/>
          <w:sz w:val="20"/>
          <w:szCs w:val="20"/>
        </w:rPr>
        <w:t xml:space="preserve"> nabídková cena</w:t>
      </w:r>
    </w:p>
    <w:p w14:paraId="5EDC786F" w14:textId="77777777" w:rsidR="00A42511" w:rsidRDefault="00A42511" w:rsidP="00A42511">
      <w:pPr>
        <w:pStyle w:val="Odstavecseseznamem"/>
        <w:numPr>
          <w:ilvl w:val="0"/>
          <w:numId w:val="36"/>
        </w:numPr>
        <w:tabs>
          <w:tab w:val="left" w:pos="284"/>
        </w:tabs>
        <w:spacing w:before="60" w:after="60"/>
        <w:ind w:left="284" w:hanging="11"/>
        <w:jc w:val="both"/>
        <w:rPr>
          <w:rFonts w:cs="Arial"/>
          <w:sz w:val="20"/>
          <w:szCs w:val="20"/>
        </w:rPr>
      </w:pPr>
      <w:r w:rsidRPr="00806992">
        <w:rPr>
          <w:rFonts w:cs="Arial"/>
          <w:sz w:val="20"/>
          <w:szCs w:val="20"/>
          <w:u w:val="single"/>
        </w:rPr>
        <w:t>Datum uzavření smlouvy:</w:t>
      </w:r>
      <w:r w:rsidRPr="00806992">
        <w:rPr>
          <w:rFonts w:cs="Arial"/>
          <w:sz w:val="20"/>
          <w:szCs w:val="20"/>
        </w:rPr>
        <w:t xml:space="preserve"> 15. prosince 2006, uzavřeno 12 dodatků</w:t>
      </w:r>
    </w:p>
    <w:p w14:paraId="4B052E17" w14:textId="77777777" w:rsidR="00A42511" w:rsidRDefault="00A42511" w:rsidP="00A42511">
      <w:pPr>
        <w:pStyle w:val="Odstavecseseznamem"/>
        <w:numPr>
          <w:ilvl w:val="0"/>
          <w:numId w:val="36"/>
        </w:numPr>
        <w:tabs>
          <w:tab w:val="left" w:pos="709"/>
        </w:tabs>
        <w:spacing w:before="60" w:after="60"/>
        <w:ind w:left="709" w:hanging="425"/>
        <w:jc w:val="both"/>
        <w:rPr>
          <w:rFonts w:cs="Arial"/>
          <w:sz w:val="20"/>
          <w:szCs w:val="20"/>
        </w:rPr>
      </w:pPr>
      <w:r w:rsidRPr="00806992">
        <w:rPr>
          <w:rFonts w:cs="Arial"/>
          <w:sz w:val="20"/>
          <w:szCs w:val="20"/>
          <w:u w:val="single"/>
        </w:rPr>
        <w:t>Cena před uzavřením dodatků:</w:t>
      </w:r>
      <w:r w:rsidRPr="00806992">
        <w:rPr>
          <w:rFonts w:cs="Arial"/>
          <w:sz w:val="20"/>
          <w:szCs w:val="20"/>
        </w:rPr>
        <w:t xml:space="preserve"> 2 183 416 192,44 Kč bez DPH, 2 598 265 269,00 Kč vč. DPH, navýšení ceny čtyřmi dodatky: 2 277 899 336,63 Kč bez DPH / 2 710 700 210,59 Kč vč. DPH</w:t>
      </w:r>
    </w:p>
    <w:p w14:paraId="20C5F42F" w14:textId="77777777" w:rsidR="00A42511" w:rsidRDefault="00A42511" w:rsidP="00A42511">
      <w:pPr>
        <w:pStyle w:val="Odstavecseseznamem"/>
        <w:numPr>
          <w:ilvl w:val="0"/>
          <w:numId w:val="36"/>
        </w:numPr>
        <w:tabs>
          <w:tab w:val="left" w:pos="709"/>
        </w:tabs>
        <w:spacing w:before="60" w:after="60"/>
        <w:ind w:left="709" w:hanging="425"/>
        <w:jc w:val="both"/>
        <w:rPr>
          <w:rFonts w:cs="Arial"/>
          <w:sz w:val="20"/>
          <w:szCs w:val="20"/>
        </w:rPr>
      </w:pPr>
      <w:r>
        <w:rPr>
          <w:rFonts w:cs="Arial"/>
          <w:sz w:val="20"/>
          <w:szCs w:val="20"/>
          <w:u w:val="single"/>
        </w:rPr>
        <w:t>Předmět plnění dle smlouvy:</w:t>
      </w:r>
      <w:r>
        <w:rPr>
          <w:rFonts w:cs="Arial"/>
          <w:sz w:val="20"/>
          <w:szCs w:val="20"/>
        </w:rPr>
        <w:t xml:space="preserve"> dodání </w:t>
      </w:r>
      <w:r w:rsidRPr="00B8627C">
        <w:rPr>
          <w:rFonts w:cs="Arial"/>
          <w:b/>
          <w:sz w:val="20"/>
          <w:szCs w:val="20"/>
        </w:rPr>
        <w:t>automobilů terénních středních</w:t>
      </w:r>
      <w:r>
        <w:rPr>
          <w:rFonts w:cs="Arial"/>
          <w:sz w:val="20"/>
          <w:szCs w:val="20"/>
        </w:rPr>
        <w:t xml:space="preserve"> (ATS) </w:t>
      </w:r>
      <w:r w:rsidRPr="00B8627C">
        <w:rPr>
          <w:rFonts w:cs="Arial"/>
          <w:b/>
          <w:sz w:val="20"/>
          <w:szCs w:val="20"/>
        </w:rPr>
        <w:t>TATRA</w:t>
      </w:r>
      <w:r>
        <w:rPr>
          <w:rFonts w:cs="Arial"/>
          <w:sz w:val="20"/>
          <w:szCs w:val="20"/>
        </w:rPr>
        <w:t xml:space="preserve"> včetně logistické podpory a souvisejících služeb</w:t>
      </w:r>
    </w:p>
    <w:p w14:paraId="65358205" w14:textId="77777777" w:rsidR="00A42511" w:rsidRPr="00284A5A" w:rsidRDefault="00A42511" w:rsidP="00A42511">
      <w:pPr>
        <w:pStyle w:val="Odstavecseseznamem"/>
        <w:numPr>
          <w:ilvl w:val="0"/>
          <w:numId w:val="36"/>
        </w:numPr>
        <w:tabs>
          <w:tab w:val="left" w:pos="709"/>
        </w:tabs>
        <w:spacing w:before="60" w:after="60"/>
        <w:ind w:left="709" w:hanging="425"/>
        <w:jc w:val="both"/>
        <w:rPr>
          <w:rFonts w:cs="Arial"/>
          <w:sz w:val="20"/>
          <w:szCs w:val="20"/>
        </w:rPr>
      </w:pPr>
      <w:r>
        <w:rPr>
          <w:rFonts w:cs="Arial"/>
          <w:color w:val="000000"/>
          <w:sz w:val="20"/>
          <w:szCs w:val="20"/>
          <w:u w:val="single"/>
        </w:rPr>
        <w:t>Uzavření offsetové dohody se zahraničním dodavatelem:</w:t>
      </w:r>
      <w:r w:rsidRPr="004A79EC">
        <w:rPr>
          <w:rFonts w:cs="Arial"/>
          <w:color w:val="000000"/>
          <w:sz w:val="20"/>
          <w:szCs w:val="20"/>
        </w:rPr>
        <w:t xml:space="preserve"> </w:t>
      </w:r>
      <w:r w:rsidRPr="00B1243F">
        <w:rPr>
          <w:rStyle w:val="Znakapoznpodarou"/>
          <w:rFonts w:cs="Arial"/>
          <w:color w:val="000000"/>
          <w:sz w:val="20"/>
          <w:szCs w:val="20"/>
          <w:vertAlign w:val="baseline"/>
        </w:rPr>
        <w:t>NE</w:t>
      </w:r>
    </w:p>
    <w:p w14:paraId="50C9D694" w14:textId="77777777" w:rsidR="00A42511" w:rsidRPr="00EE7E55" w:rsidRDefault="00A42511" w:rsidP="00A42511">
      <w:pPr>
        <w:pStyle w:val="Odstavecseseznamem"/>
        <w:numPr>
          <w:ilvl w:val="0"/>
          <w:numId w:val="36"/>
        </w:numPr>
        <w:spacing w:before="60"/>
        <w:ind w:hanging="436"/>
        <w:jc w:val="both"/>
        <w:rPr>
          <w:rFonts w:cs="Arial"/>
          <w:sz w:val="20"/>
          <w:szCs w:val="20"/>
        </w:rPr>
      </w:pPr>
      <w:r>
        <w:rPr>
          <w:rFonts w:cs="Arial"/>
          <w:color w:val="000000"/>
          <w:sz w:val="20"/>
          <w:szCs w:val="20"/>
          <w:u w:val="single"/>
        </w:rPr>
        <w:t>Výše offsetového závazku:</w:t>
      </w:r>
      <w:r>
        <w:rPr>
          <w:rFonts w:cs="Arial"/>
          <w:sz w:val="20"/>
          <w:szCs w:val="20"/>
        </w:rPr>
        <w:t xml:space="preserve"> 100 % ceny zahraničních subdodávek </w:t>
      </w:r>
    </w:p>
    <w:p w14:paraId="6A39C0A8" w14:textId="77777777" w:rsidR="00A42511" w:rsidRPr="00806992" w:rsidRDefault="00A42511" w:rsidP="00A42511">
      <w:pPr>
        <w:pStyle w:val="Odstavecseseznamem"/>
        <w:tabs>
          <w:tab w:val="left" w:pos="709"/>
        </w:tabs>
        <w:spacing w:before="60" w:after="60"/>
        <w:ind w:left="709"/>
        <w:rPr>
          <w:rFonts w:cs="Arial"/>
          <w:sz w:val="20"/>
          <w:szCs w:val="20"/>
        </w:rPr>
      </w:pPr>
      <w:r w:rsidRPr="000D4701">
        <w:rPr>
          <w:rFonts w:cs="Arial"/>
          <w:b/>
          <w:noProof/>
          <w:u w:val="single"/>
        </w:rPr>
        <mc:AlternateContent>
          <mc:Choice Requires="wps">
            <w:drawing>
              <wp:anchor distT="0" distB="0" distL="114300" distR="114300" simplePos="0" relativeHeight="251676160" behindDoc="0" locked="0" layoutInCell="1" allowOverlap="1" wp14:anchorId="46B3E99F" wp14:editId="6C3D24C8">
                <wp:simplePos x="0" y="0"/>
                <wp:positionH relativeFrom="column">
                  <wp:posOffset>-47738</wp:posOffset>
                </wp:positionH>
                <wp:positionV relativeFrom="paragraph">
                  <wp:posOffset>181866</wp:posOffset>
                </wp:positionV>
                <wp:extent cx="5882640" cy="3803455"/>
                <wp:effectExtent l="0" t="0" r="22860" b="26035"/>
                <wp:wrapNone/>
                <wp:docPr id="22" name="Obdélník 22"/>
                <wp:cNvGraphicFramePr/>
                <a:graphic xmlns:a="http://schemas.openxmlformats.org/drawingml/2006/main">
                  <a:graphicData uri="http://schemas.microsoft.com/office/word/2010/wordprocessingShape">
                    <wps:wsp>
                      <wps:cNvSpPr/>
                      <wps:spPr>
                        <a:xfrm>
                          <a:off x="0" y="0"/>
                          <a:ext cx="5882640" cy="3803455"/>
                        </a:xfrm>
                        <a:prstGeom prst="rect">
                          <a:avLst/>
                        </a:prstGeom>
                        <a:noFill/>
                        <a:ln w="25400" cap="flat" cmpd="sng" algn="ctr">
                          <a:solidFill>
                            <a:srgbClr val="4F81BD">
                              <a:shade val="50000"/>
                            </a:srgbClr>
                          </a:solidFill>
                          <a:prstDash val="solid"/>
                        </a:ln>
                        <a:effectLst/>
                      </wps:spPr>
                      <wps:txbx>
                        <w:txbxContent>
                          <w:p w14:paraId="1756469F"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2" o:spid="_x0000_s1031" style="position:absolute;left:0;text-align:left;margin-left:-3.75pt;margin-top:14.3pt;width:463.2pt;height:29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" filled="f" strokecolor="#385d8a" strokeweight="2pt">
                <v:textbox>
                  <w:txbxContent>
                    <w:p w14:paraId="1756469F" w14:textId="77777777" w:rsidR="00E179ED" w:rsidRDefault="00E179ED" w:rsidP="00A42511">
                      <w:pPr>
                        <w:jc w:val="center"/>
                      </w:pPr>
                    </w:p>
                  </w:txbxContent>
                </v:textbox>
              </v:rect>
            </w:pict>
          </mc:Fallback>
        </mc:AlternateContent>
      </w:r>
    </w:p>
    <w:p w14:paraId="44A0E584" w14:textId="77777777" w:rsidR="00A42511" w:rsidRPr="000D4701" w:rsidRDefault="00A42511" w:rsidP="00A42511">
      <w:pPr>
        <w:pStyle w:val="Odstavecseseznamem"/>
        <w:numPr>
          <w:ilvl w:val="0"/>
          <w:numId w:val="45"/>
        </w:numPr>
        <w:tabs>
          <w:tab w:val="left" w:pos="284"/>
        </w:tabs>
        <w:spacing w:after="60" w:line="276" w:lineRule="auto"/>
        <w:ind w:left="426"/>
        <w:jc w:val="both"/>
        <w:rPr>
          <w:rFonts w:cs="Arial"/>
          <w:b/>
          <w:sz w:val="20"/>
          <w:szCs w:val="20"/>
        </w:rPr>
      </w:pPr>
      <w:r w:rsidRPr="000D4701">
        <w:rPr>
          <w:rFonts w:cs="Arial"/>
          <w:b/>
          <w:sz w:val="20"/>
          <w:szCs w:val="20"/>
        </w:rPr>
        <w:t>PPS KOT PANDUR</w:t>
      </w:r>
    </w:p>
    <w:p w14:paraId="6B91D5C9" w14:textId="0313F37F" w:rsidR="00A42511" w:rsidRPr="002A1C35" w:rsidRDefault="00A42511" w:rsidP="00A42511">
      <w:pPr>
        <w:pStyle w:val="Odstavecseseznamem"/>
        <w:numPr>
          <w:ilvl w:val="0"/>
          <w:numId w:val="37"/>
        </w:numPr>
        <w:tabs>
          <w:tab w:val="left" w:pos="284"/>
        </w:tabs>
        <w:spacing w:before="60" w:after="60"/>
        <w:ind w:hanging="425"/>
        <w:jc w:val="both"/>
        <w:rPr>
          <w:rFonts w:cs="Arial"/>
          <w:sz w:val="20"/>
          <w:szCs w:val="20"/>
        </w:rPr>
      </w:pPr>
      <w:r w:rsidRPr="002A1C35">
        <w:rPr>
          <w:rFonts w:cs="Arial"/>
          <w:sz w:val="20"/>
          <w:szCs w:val="20"/>
          <w:u w:val="single"/>
        </w:rPr>
        <w:t>Předmět VZ</w:t>
      </w:r>
      <w:r>
        <w:rPr>
          <w:rFonts w:cs="Arial"/>
          <w:sz w:val="20"/>
          <w:szCs w:val="20"/>
          <w:u w:val="single"/>
        </w:rPr>
        <w:t xml:space="preserve"> zkráceně</w:t>
      </w:r>
      <w:r w:rsidRPr="002A1C35">
        <w:rPr>
          <w:rFonts w:cs="Arial"/>
          <w:sz w:val="20"/>
          <w:szCs w:val="20"/>
          <w:u w:val="single"/>
        </w:rPr>
        <w:t>:</w:t>
      </w:r>
      <w:r w:rsidRPr="002A1C35">
        <w:rPr>
          <w:rFonts w:cs="Arial"/>
          <w:sz w:val="20"/>
          <w:szCs w:val="20"/>
        </w:rPr>
        <w:t xml:space="preserve"> </w:t>
      </w:r>
      <w:r w:rsidR="006361E8">
        <w:rPr>
          <w:rFonts w:cs="Arial"/>
          <w:sz w:val="20"/>
          <w:szCs w:val="20"/>
        </w:rPr>
        <w:t>p</w:t>
      </w:r>
      <w:r w:rsidRPr="002A1C35">
        <w:rPr>
          <w:rFonts w:cs="Arial"/>
          <w:sz w:val="20"/>
          <w:szCs w:val="20"/>
        </w:rPr>
        <w:t xml:space="preserve">řezbrojení armády České republiky obrněnými transportéry </w:t>
      </w:r>
    </w:p>
    <w:p w14:paraId="54C3823E" w14:textId="77777777" w:rsidR="00A42511" w:rsidRPr="002A1C35" w:rsidRDefault="00A42511" w:rsidP="00A42511">
      <w:pPr>
        <w:pStyle w:val="Odstavecseseznamem"/>
        <w:numPr>
          <w:ilvl w:val="0"/>
          <w:numId w:val="37"/>
        </w:numPr>
        <w:tabs>
          <w:tab w:val="left" w:pos="284"/>
        </w:tabs>
        <w:spacing w:before="60" w:after="60"/>
        <w:ind w:hanging="425"/>
        <w:jc w:val="both"/>
        <w:rPr>
          <w:rFonts w:cs="Arial"/>
          <w:sz w:val="20"/>
          <w:szCs w:val="20"/>
        </w:rPr>
      </w:pPr>
      <w:r w:rsidRPr="002A1C35">
        <w:rPr>
          <w:rFonts w:cs="Arial"/>
          <w:sz w:val="20"/>
          <w:szCs w:val="20"/>
          <w:u w:val="single"/>
        </w:rPr>
        <w:t>Datum oznámení výzvy</w:t>
      </w:r>
      <w:r w:rsidRPr="002A1C35">
        <w:rPr>
          <w:rFonts w:cs="Arial"/>
          <w:sz w:val="20"/>
          <w:szCs w:val="20"/>
        </w:rPr>
        <w:t xml:space="preserve">: 20. dubna 2005 (předvýběr) / 19. srpna 2005 (nabídky) </w:t>
      </w:r>
    </w:p>
    <w:p w14:paraId="6B6878E2" w14:textId="665E76A8" w:rsidR="00A42511" w:rsidRDefault="00A42511" w:rsidP="00A42511">
      <w:pPr>
        <w:pStyle w:val="Odstavecseseznamem"/>
        <w:numPr>
          <w:ilvl w:val="0"/>
          <w:numId w:val="37"/>
        </w:numPr>
        <w:tabs>
          <w:tab w:val="left" w:pos="284"/>
        </w:tabs>
        <w:spacing w:before="60" w:after="60"/>
        <w:ind w:hanging="436"/>
        <w:jc w:val="both"/>
        <w:rPr>
          <w:rFonts w:cs="Arial"/>
          <w:sz w:val="20"/>
          <w:szCs w:val="20"/>
        </w:rPr>
      </w:pPr>
      <w:r w:rsidRPr="00DC69B6">
        <w:rPr>
          <w:rFonts w:cs="Arial"/>
          <w:sz w:val="20"/>
          <w:szCs w:val="20"/>
          <w:u w:val="single"/>
        </w:rPr>
        <w:t xml:space="preserve">Základní </w:t>
      </w:r>
      <w:r w:rsidR="006361E8">
        <w:rPr>
          <w:rFonts w:cs="Arial"/>
          <w:sz w:val="20"/>
          <w:szCs w:val="20"/>
          <w:u w:val="single"/>
        </w:rPr>
        <w:t>hodnoticí</w:t>
      </w:r>
      <w:r w:rsidRPr="00DC69B6">
        <w:rPr>
          <w:rFonts w:cs="Arial"/>
          <w:sz w:val="20"/>
          <w:szCs w:val="20"/>
          <w:u w:val="single"/>
        </w:rPr>
        <w:t xml:space="preserve"> kritérium:</w:t>
      </w:r>
      <w:r w:rsidRPr="00DC69B6">
        <w:rPr>
          <w:rFonts w:cs="Arial"/>
          <w:sz w:val="20"/>
          <w:szCs w:val="20"/>
        </w:rPr>
        <w:t xml:space="preserve"> ekonomická výhodnost 1) </w:t>
      </w:r>
      <w:r w:rsidR="004A7FA7">
        <w:rPr>
          <w:rFonts w:cs="Arial"/>
          <w:sz w:val="20"/>
          <w:szCs w:val="20"/>
        </w:rPr>
        <w:t>„</w:t>
      </w:r>
      <w:r w:rsidRPr="00DC69B6">
        <w:rPr>
          <w:rFonts w:cs="Arial"/>
          <w:sz w:val="20"/>
          <w:szCs w:val="20"/>
        </w:rPr>
        <w:t>náklady</w:t>
      </w:r>
      <w:r w:rsidR="004A7FA7">
        <w:rPr>
          <w:rFonts w:cs="Arial"/>
          <w:sz w:val="20"/>
          <w:szCs w:val="20"/>
        </w:rPr>
        <w:t>“</w:t>
      </w:r>
      <w:r w:rsidRPr="00DC69B6">
        <w:rPr>
          <w:rFonts w:cs="Arial"/>
          <w:sz w:val="20"/>
          <w:szCs w:val="20"/>
        </w:rPr>
        <w:t xml:space="preserve"> </w:t>
      </w:r>
      <w:r w:rsidR="00D920E5">
        <w:rPr>
          <w:rFonts w:cs="Arial"/>
          <w:sz w:val="20"/>
          <w:szCs w:val="20"/>
        </w:rPr>
        <w:t>s </w:t>
      </w:r>
      <w:r w:rsidRPr="00DC69B6">
        <w:rPr>
          <w:rFonts w:cs="Arial"/>
          <w:sz w:val="20"/>
          <w:szCs w:val="20"/>
        </w:rPr>
        <w:t xml:space="preserve">vahou 50 % – cena pořízení a další náklady na životní cyklus vozidel; 2) </w:t>
      </w:r>
      <w:r w:rsidR="004A7FA7">
        <w:rPr>
          <w:rFonts w:cs="Arial"/>
          <w:sz w:val="20"/>
          <w:szCs w:val="20"/>
        </w:rPr>
        <w:t>„</w:t>
      </w:r>
      <w:r w:rsidRPr="00DC69B6">
        <w:rPr>
          <w:rFonts w:cs="Arial"/>
          <w:sz w:val="20"/>
          <w:szCs w:val="20"/>
        </w:rPr>
        <w:t>kvalitativní kritéria</w:t>
      </w:r>
      <w:r w:rsidR="004A7FA7">
        <w:rPr>
          <w:rFonts w:cs="Arial"/>
          <w:sz w:val="20"/>
          <w:szCs w:val="20"/>
        </w:rPr>
        <w:t>“</w:t>
      </w:r>
      <w:r w:rsidRPr="00DC69B6">
        <w:rPr>
          <w:rFonts w:cs="Arial"/>
          <w:sz w:val="20"/>
          <w:szCs w:val="20"/>
        </w:rPr>
        <w:t xml:space="preserve"> s vahou 35 % – technická, finanční (vyjma ceny a dalších nákladů na životní cyklus vozidel) a právní kritéria; 3) </w:t>
      </w:r>
      <w:r w:rsidR="004A7FA7">
        <w:rPr>
          <w:rFonts w:cs="Arial"/>
          <w:sz w:val="20"/>
          <w:szCs w:val="20"/>
        </w:rPr>
        <w:t>„</w:t>
      </w:r>
      <w:r w:rsidRPr="00DC69B6">
        <w:rPr>
          <w:rFonts w:cs="Arial"/>
          <w:sz w:val="20"/>
          <w:szCs w:val="20"/>
        </w:rPr>
        <w:t>offsety</w:t>
      </w:r>
      <w:r w:rsidR="004A7FA7">
        <w:rPr>
          <w:rFonts w:cs="Arial"/>
          <w:sz w:val="20"/>
          <w:szCs w:val="20"/>
        </w:rPr>
        <w:t>“</w:t>
      </w:r>
      <w:r w:rsidRPr="00DC69B6">
        <w:rPr>
          <w:rFonts w:cs="Arial"/>
          <w:sz w:val="20"/>
          <w:szCs w:val="20"/>
        </w:rPr>
        <w:t xml:space="preserve"> </w:t>
      </w:r>
      <w:r w:rsidR="00D920E5">
        <w:rPr>
          <w:rFonts w:cs="Arial"/>
          <w:sz w:val="20"/>
          <w:szCs w:val="20"/>
        </w:rPr>
        <w:t>s </w:t>
      </w:r>
      <w:r w:rsidRPr="00DC69B6">
        <w:rPr>
          <w:rFonts w:cs="Arial"/>
          <w:sz w:val="20"/>
          <w:szCs w:val="20"/>
        </w:rPr>
        <w:t>vahou 15 % – podíl přímých offsetů na celkové kupní ceně a celkov</w:t>
      </w:r>
      <w:r w:rsidR="004A7FA7">
        <w:rPr>
          <w:rFonts w:cs="Arial"/>
          <w:sz w:val="20"/>
          <w:szCs w:val="20"/>
        </w:rPr>
        <w:t>á</w:t>
      </w:r>
      <w:r w:rsidRPr="00DC69B6">
        <w:rPr>
          <w:rFonts w:cs="Arial"/>
          <w:sz w:val="20"/>
          <w:szCs w:val="20"/>
        </w:rPr>
        <w:t xml:space="preserve"> hodnot</w:t>
      </w:r>
      <w:r w:rsidR="004A7FA7">
        <w:rPr>
          <w:rFonts w:cs="Arial"/>
          <w:sz w:val="20"/>
          <w:szCs w:val="20"/>
        </w:rPr>
        <w:t>a</w:t>
      </w:r>
      <w:r w:rsidRPr="00DC69B6">
        <w:rPr>
          <w:rFonts w:cs="Arial"/>
          <w:sz w:val="20"/>
          <w:szCs w:val="20"/>
        </w:rPr>
        <w:t xml:space="preserve"> offsetového závazku</w:t>
      </w:r>
    </w:p>
    <w:p w14:paraId="21F279AE" w14:textId="77777777" w:rsidR="00A42511" w:rsidRPr="00DC69B6" w:rsidRDefault="00A42511" w:rsidP="00A42511">
      <w:pPr>
        <w:pStyle w:val="Odstavecseseznamem"/>
        <w:numPr>
          <w:ilvl w:val="0"/>
          <w:numId w:val="37"/>
        </w:numPr>
        <w:tabs>
          <w:tab w:val="left" w:pos="284"/>
        </w:tabs>
        <w:spacing w:before="60" w:after="60"/>
        <w:jc w:val="both"/>
        <w:rPr>
          <w:rFonts w:cs="Arial"/>
          <w:sz w:val="20"/>
          <w:szCs w:val="20"/>
        </w:rPr>
      </w:pPr>
      <w:r w:rsidRPr="00DC69B6">
        <w:rPr>
          <w:rFonts w:cs="Arial"/>
          <w:sz w:val="20"/>
          <w:szCs w:val="20"/>
          <w:u w:val="single"/>
        </w:rPr>
        <w:t>Datum uzavření obou smluv:</w:t>
      </w:r>
    </w:p>
    <w:p w14:paraId="6E32BA30" w14:textId="77777777" w:rsidR="00A42511" w:rsidRPr="009E4B2E" w:rsidRDefault="00A42511" w:rsidP="00A42511">
      <w:pPr>
        <w:pStyle w:val="Odstavecseseznamem"/>
        <w:numPr>
          <w:ilvl w:val="0"/>
          <w:numId w:val="43"/>
        </w:numPr>
        <w:tabs>
          <w:tab w:val="left" w:pos="284"/>
        </w:tabs>
        <w:spacing w:before="60" w:after="60"/>
        <w:ind w:left="1134"/>
        <w:jc w:val="both"/>
        <w:rPr>
          <w:rFonts w:cs="Arial"/>
          <w:sz w:val="20"/>
          <w:szCs w:val="20"/>
        </w:rPr>
      </w:pPr>
      <w:r w:rsidRPr="009E4B2E">
        <w:rPr>
          <w:rFonts w:cs="Arial"/>
          <w:sz w:val="20"/>
          <w:szCs w:val="20"/>
        </w:rPr>
        <w:t>dne 9. června 2006, uzavřen 1 dodatek (dále jen „Smlouva 2006“)</w:t>
      </w:r>
    </w:p>
    <w:p w14:paraId="2B1DA333" w14:textId="29007E3E" w:rsidR="00A42511" w:rsidRPr="009E4B2E" w:rsidRDefault="00A42511" w:rsidP="00A42511">
      <w:pPr>
        <w:pStyle w:val="Odstavecseseznamem"/>
        <w:numPr>
          <w:ilvl w:val="0"/>
          <w:numId w:val="43"/>
        </w:numPr>
        <w:tabs>
          <w:tab w:val="left" w:pos="284"/>
        </w:tabs>
        <w:spacing w:before="60" w:after="60"/>
        <w:ind w:left="1134"/>
        <w:jc w:val="both"/>
        <w:rPr>
          <w:rFonts w:cs="Arial"/>
          <w:sz w:val="20"/>
          <w:szCs w:val="20"/>
        </w:rPr>
      </w:pPr>
      <w:r w:rsidRPr="009E4B2E">
        <w:rPr>
          <w:rFonts w:cs="Arial"/>
          <w:sz w:val="20"/>
          <w:szCs w:val="20"/>
        </w:rPr>
        <w:t xml:space="preserve">dne 13. března 2009, </w:t>
      </w:r>
      <w:r w:rsidR="004A7FA7">
        <w:rPr>
          <w:rFonts w:cs="Arial"/>
          <w:sz w:val="20"/>
          <w:szCs w:val="20"/>
        </w:rPr>
        <w:t xml:space="preserve">uzavřeno </w:t>
      </w:r>
      <w:r w:rsidRPr="009E4B2E">
        <w:rPr>
          <w:rFonts w:cs="Arial"/>
          <w:sz w:val="20"/>
          <w:szCs w:val="20"/>
        </w:rPr>
        <w:t>5 dodatků (dále jen „Smlouva 2009“)</w:t>
      </w:r>
    </w:p>
    <w:p w14:paraId="2B0A9440" w14:textId="77777777" w:rsidR="00A42511" w:rsidRPr="00B44A11" w:rsidRDefault="00A42511" w:rsidP="00A42511">
      <w:pPr>
        <w:pStyle w:val="Odstavecseseznamem"/>
        <w:numPr>
          <w:ilvl w:val="0"/>
          <w:numId w:val="37"/>
        </w:numPr>
        <w:tabs>
          <w:tab w:val="left" w:pos="284"/>
        </w:tabs>
        <w:spacing w:before="60" w:after="60"/>
        <w:jc w:val="both"/>
        <w:rPr>
          <w:rFonts w:cs="Arial"/>
          <w:sz w:val="20"/>
          <w:szCs w:val="20"/>
          <w:u w:val="single"/>
        </w:rPr>
      </w:pPr>
      <w:r w:rsidRPr="00B44A11">
        <w:rPr>
          <w:rFonts w:cs="Arial"/>
          <w:sz w:val="20"/>
          <w:szCs w:val="20"/>
          <w:u w:val="single"/>
        </w:rPr>
        <w:t xml:space="preserve">Cena: </w:t>
      </w:r>
    </w:p>
    <w:p w14:paraId="4FE621FB" w14:textId="2765559D" w:rsidR="00A42511" w:rsidRDefault="00A42511" w:rsidP="004A7FA7">
      <w:pPr>
        <w:pStyle w:val="Odstavecseseznamem"/>
        <w:numPr>
          <w:ilvl w:val="0"/>
          <w:numId w:val="44"/>
        </w:numPr>
        <w:tabs>
          <w:tab w:val="left" w:pos="284"/>
        </w:tabs>
        <w:spacing w:before="60" w:after="60"/>
        <w:rPr>
          <w:rFonts w:cs="Arial"/>
          <w:sz w:val="20"/>
          <w:szCs w:val="20"/>
        </w:rPr>
      </w:pPr>
      <w:r w:rsidRPr="00B44A11">
        <w:rPr>
          <w:rFonts w:cs="Arial"/>
          <w:sz w:val="20"/>
          <w:szCs w:val="20"/>
        </w:rPr>
        <w:t xml:space="preserve">Smlouva 2006 </w:t>
      </w:r>
      <w:r w:rsidR="004A7FA7">
        <w:rPr>
          <w:rFonts w:cs="Arial"/>
          <w:sz w:val="20"/>
          <w:szCs w:val="20"/>
        </w:rPr>
        <w:t>–</w:t>
      </w:r>
      <w:r w:rsidRPr="00B44A11">
        <w:rPr>
          <w:rFonts w:cs="Arial"/>
          <w:sz w:val="20"/>
          <w:szCs w:val="20"/>
        </w:rPr>
        <w:t xml:space="preserve"> před uzavřením dodatk</w:t>
      </w:r>
      <w:r w:rsidR="004A7FA7">
        <w:rPr>
          <w:rFonts w:cs="Arial"/>
          <w:sz w:val="20"/>
          <w:szCs w:val="20"/>
        </w:rPr>
        <w:t>u</w:t>
      </w:r>
      <w:r w:rsidRPr="00B44A11">
        <w:rPr>
          <w:rFonts w:cs="Arial"/>
          <w:sz w:val="20"/>
          <w:szCs w:val="20"/>
        </w:rPr>
        <w:t>: 17 490 745 106 Kč bez DPH,</w:t>
      </w:r>
      <w:r w:rsidR="00210CD5">
        <w:rPr>
          <w:rFonts w:cs="Arial"/>
          <w:sz w:val="20"/>
          <w:szCs w:val="20"/>
        </w:rPr>
        <w:t xml:space="preserve"> respektive</w:t>
      </w:r>
      <w:r w:rsidRPr="00B44A11">
        <w:rPr>
          <w:rFonts w:cs="Arial"/>
          <w:sz w:val="20"/>
          <w:szCs w:val="20"/>
        </w:rPr>
        <w:t xml:space="preserve"> 20 813</w:t>
      </w:r>
      <w:r w:rsidR="004A7FA7">
        <w:rPr>
          <w:rFonts w:cs="Arial"/>
          <w:sz w:val="20"/>
          <w:szCs w:val="20"/>
        </w:rPr>
        <w:t> </w:t>
      </w:r>
      <w:r w:rsidRPr="00B44A11">
        <w:rPr>
          <w:rFonts w:cs="Arial"/>
          <w:sz w:val="20"/>
          <w:szCs w:val="20"/>
        </w:rPr>
        <w:t>986</w:t>
      </w:r>
      <w:r w:rsidR="004A7FA7">
        <w:rPr>
          <w:rFonts w:cs="Arial"/>
          <w:sz w:val="20"/>
          <w:szCs w:val="20"/>
        </w:rPr>
        <w:t> </w:t>
      </w:r>
      <w:r w:rsidRPr="00B44A11">
        <w:rPr>
          <w:rFonts w:cs="Arial"/>
          <w:sz w:val="20"/>
          <w:szCs w:val="20"/>
        </w:rPr>
        <w:t>676,14 Kč vč. DPH, dodatek cenu nenavýšil</w:t>
      </w:r>
    </w:p>
    <w:p w14:paraId="4AB28601" w14:textId="319CDF03" w:rsidR="00A42511" w:rsidRDefault="00A42511" w:rsidP="004A7FA7">
      <w:pPr>
        <w:pStyle w:val="Odstavecseseznamem"/>
        <w:numPr>
          <w:ilvl w:val="0"/>
          <w:numId w:val="44"/>
        </w:numPr>
        <w:tabs>
          <w:tab w:val="left" w:pos="284"/>
        </w:tabs>
        <w:spacing w:before="60" w:after="60"/>
        <w:rPr>
          <w:rFonts w:cs="Arial"/>
          <w:sz w:val="20"/>
          <w:szCs w:val="20"/>
        </w:rPr>
      </w:pPr>
      <w:r>
        <w:rPr>
          <w:rFonts w:cs="Arial"/>
          <w:sz w:val="20"/>
          <w:szCs w:val="20"/>
        </w:rPr>
        <w:t xml:space="preserve">Smlouva 2009 </w:t>
      </w:r>
      <w:r w:rsidR="004A7FA7">
        <w:rPr>
          <w:rFonts w:cs="Arial"/>
          <w:sz w:val="20"/>
          <w:szCs w:val="20"/>
        </w:rPr>
        <w:t>–</w:t>
      </w:r>
      <w:r w:rsidR="00D920E5">
        <w:rPr>
          <w:rFonts w:cs="Arial"/>
          <w:sz w:val="20"/>
          <w:szCs w:val="20"/>
        </w:rPr>
        <w:t xml:space="preserve"> </w:t>
      </w:r>
      <w:r w:rsidRPr="002A1C35">
        <w:rPr>
          <w:rFonts w:cs="Arial"/>
          <w:sz w:val="20"/>
          <w:szCs w:val="20"/>
        </w:rPr>
        <w:t xml:space="preserve">před uzavřením dodatků: 12 100 726 300 Kč bez DPH, </w:t>
      </w:r>
      <w:r w:rsidR="004A7FA7">
        <w:rPr>
          <w:rFonts w:cs="Arial"/>
          <w:sz w:val="20"/>
          <w:szCs w:val="20"/>
        </w:rPr>
        <w:t xml:space="preserve">respektive </w:t>
      </w:r>
      <w:r w:rsidRPr="002A1C35">
        <w:rPr>
          <w:rFonts w:cs="Arial"/>
          <w:sz w:val="20"/>
          <w:szCs w:val="20"/>
        </w:rPr>
        <w:t>14 399 864</w:t>
      </w:r>
      <w:r w:rsidR="004A7FA7">
        <w:rPr>
          <w:rFonts w:cs="Arial"/>
          <w:sz w:val="20"/>
          <w:szCs w:val="20"/>
        </w:rPr>
        <w:t> </w:t>
      </w:r>
      <w:r w:rsidRPr="002A1C35">
        <w:rPr>
          <w:rFonts w:cs="Arial"/>
          <w:sz w:val="20"/>
          <w:szCs w:val="20"/>
        </w:rPr>
        <w:t>297</w:t>
      </w:r>
      <w:r w:rsidR="004A7FA7">
        <w:rPr>
          <w:rFonts w:cs="Arial"/>
          <w:sz w:val="20"/>
          <w:szCs w:val="20"/>
        </w:rPr>
        <w:t> </w:t>
      </w:r>
      <w:r w:rsidRPr="002A1C35">
        <w:rPr>
          <w:rFonts w:cs="Arial"/>
          <w:sz w:val="20"/>
          <w:szCs w:val="20"/>
        </w:rPr>
        <w:t>Kč vč. DPH. Jedním dodatkem byla cena vč. DPH z důvodu změny sazby DPH z 19 % na 20 % navýšena na 14 476 762 068,35 Kč, cena bez DPH zůstala nezměněna</w:t>
      </w:r>
    </w:p>
    <w:p w14:paraId="3DCBBCD0" w14:textId="51DC7762" w:rsidR="00A42511" w:rsidRDefault="00A42511" w:rsidP="004A7FA7">
      <w:pPr>
        <w:pStyle w:val="Odstavecseseznamem"/>
        <w:numPr>
          <w:ilvl w:val="0"/>
          <w:numId w:val="37"/>
        </w:numPr>
        <w:tabs>
          <w:tab w:val="left" w:pos="284"/>
        </w:tabs>
        <w:spacing w:before="60" w:after="60"/>
        <w:ind w:left="714" w:hanging="425"/>
        <w:rPr>
          <w:rFonts w:cs="Arial"/>
          <w:sz w:val="20"/>
          <w:szCs w:val="20"/>
          <w:u w:val="single"/>
        </w:rPr>
      </w:pPr>
      <w:r w:rsidRPr="005864CF">
        <w:rPr>
          <w:rFonts w:cs="Arial"/>
          <w:sz w:val="20"/>
          <w:szCs w:val="20"/>
          <w:u w:val="single"/>
        </w:rPr>
        <w:t>Předmět plnění dle smlouvy:</w:t>
      </w:r>
      <w:r w:rsidRPr="005864CF">
        <w:rPr>
          <w:rFonts w:cs="Arial"/>
          <w:sz w:val="20"/>
          <w:szCs w:val="20"/>
        </w:rPr>
        <w:t xml:space="preserve"> dodávka </w:t>
      </w:r>
      <w:r w:rsidRPr="005864CF">
        <w:rPr>
          <w:rFonts w:cs="Arial"/>
          <w:b/>
          <w:sz w:val="20"/>
          <w:szCs w:val="20"/>
        </w:rPr>
        <w:t>kolových obrněných transportérů</w:t>
      </w:r>
      <w:r w:rsidRPr="005864CF">
        <w:rPr>
          <w:rFonts w:cs="Arial"/>
          <w:sz w:val="20"/>
          <w:szCs w:val="20"/>
        </w:rPr>
        <w:t xml:space="preserve"> </w:t>
      </w:r>
      <w:r w:rsidRPr="005864CF">
        <w:rPr>
          <w:rFonts w:cs="Arial"/>
          <w:b/>
          <w:sz w:val="20"/>
          <w:szCs w:val="20"/>
        </w:rPr>
        <w:t>PANDUR II</w:t>
      </w:r>
      <w:r w:rsidRPr="005864CF">
        <w:rPr>
          <w:rFonts w:cs="Arial"/>
          <w:sz w:val="20"/>
          <w:szCs w:val="20"/>
        </w:rPr>
        <w:t xml:space="preserve"> v příslušných modifikacích</w:t>
      </w:r>
      <w:r w:rsidR="00D920E5">
        <w:rPr>
          <w:rFonts w:cs="Arial"/>
          <w:sz w:val="20"/>
          <w:szCs w:val="20"/>
          <w:u w:val="single"/>
        </w:rPr>
        <w:t xml:space="preserve"> </w:t>
      </w:r>
    </w:p>
    <w:p w14:paraId="4C175958" w14:textId="4C8F3A2D" w:rsidR="00A42511" w:rsidRDefault="00A42511" w:rsidP="00A42511">
      <w:pPr>
        <w:pStyle w:val="Odstavecseseznamem"/>
        <w:numPr>
          <w:ilvl w:val="0"/>
          <w:numId w:val="37"/>
        </w:numPr>
        <w:tabs>
          <w:tab w:val="left" w:pos="284"/>
        </w:tabs>
        <w:spacing w:before="60" w:after="60"/>
        <w:ind w:left="714" w:hanging="425"/>
        <w:jc w:val="both"/>
        <w:rPr>
          <w:rFonts w:cs="Arial"/>
          <w:sz w:val="20"/>
          <w:szCs w:val="20"/>
          <w:u w:val="single"/>
        </w:rPr>
      </w:pPr>
      <w:r w:rsidRPr="005864CF">
        <w:rPr>
          <w:rFonts w:cs="Arial"/>
          <w:color w:val="000000"/>
          <w:sz w:val="20"/>
          <w:szCs w:val="20"/>
          <w:u w:val="single"/>
        </w:rPr>
        <w:t>Uzavření offsetové dohody se zahraničním dodavatelem:</w:t>
      </w:r>
      <w:r w:rsidRPr="005864CF">
        <w:rPr>
          <w:rFonts w:cs="Arial"/>
          <w:color w:val="000000"/>
          <w:sz w:val="20"/>
          <w:szCs w:val="20"/>
        </w:rPr>
        <w:t xml:space="preserve"> </w:t>
      </w:r>
      <w:r w:rsidR="004A7FA7">
        <w:rPr>
          <w:rFonts w:cs="Arial"/>
          <w:color w:val="000000"/>
          <w:sz w:val="20"/>
          <w:szCs w:val="20"/>
        </w:rPr>
        <w:t>NE</w:t>
      </w:r>
      <w:r w:rsidRPr="005864CF">
        <w:rPr>
          <w:rFonts w:cs="Arial"/>
          <w:sz w:val="20"/>
          <w:szCs w:val="20"/>
          <w:u w:val="single"/>
        </w:rPr>
        <w:t xml:space="preserve"> </w:t>
      </w:r>
    </w:p>
    <w:p w14:paraId="36CB6062" w14:textId="77777777" w:rsidR="00A42511" w:rsidRPr="00284A5A" w:rsidRDefault="00A42511" w:rsidP="00A42511">
      <w:pPr>
        <w:pStyle w:val="Odstavecseseznamem"/>
        <w:numPr>
          <w:ilvl w:val="0"/>
          <w:numId w:val="37"/>
        </w:numPr>
        <w:spacing w:before="60"/>
        <w:ind w:hanging="436"/>
        <w:jc w:val="both"/>
        <w:rPr>
          <w:rFonts w:cs="Arial"/>
          <w:sz w:val="20"/>
          <w:szCs w:val="20"/>
        </w:rPr>
      </w:pPr>
      <w:r>
        <w:rPr>
          <w:rFonts w:cs="Arial"/>
          <w:color w:val="000000"/>
          <w:sz w:val="20"/>
          <w:szCs w:val="20"/>
          <w:u w:val="single"/>
        </w:rPr>
        <w:t>Výše offsetového závazku:</w:t>
      </w:r>
      <w:r>
        <w:rPr>
          <w:rFonts w:cs="Arial"/>
          <w:sz w:val="20"/>
          <w:szCs w:val="20"/>
        </w:rPr>
        <w:t xml:space="preserve"> 150 % celkové ceny plnění </w:t>
      </w:r>
    </w:p>
    <w:p w14:paraId="53B8801B" w14:textId="77777777" w:rsidR="00A42511" w:rsidRDefault="00A42511" w:rsidP="00A42511">
      <w:pPr>
        <w:tabs>
          <w:tab w:val="left" w:pos="284"/>
        </w:tabs>
        <w:spacing w:after="60"/>
        <w:rPr>
          <w:rFonts w:cs="Arial"/>
          <w:b/>
          <w:sz w:val="20"/>
          <w:szCs w:val="20"/>
        </w:rPr>
      </w:pPr>
    </w:p>
    <w:p w14:paraId="681761E6" w14:textId="77777777" w:rsidR="00A42511" w:rsidRDefault="00A42511" w:rsidP="00A42511">
      <w:pPr>
        <w:tabs>
          <w:tab w:val="left" w:pos="284"/>
        </w:tabs>
        <w:spacing w:after="60"/>
        <w:rPr>
          <w:rFonts w:cs="Arial"/>
          <w:b/>
          <w:sz w:val="20"/>
          <w:szCs w:val="20"/>
        </w:rPr>
      </w:pPr>
      <w:r w:rsidRPr="000D4701">
        <w:rPr>
          <w:rFonts w:cs="Arial"/>
          <w:b/>
          <w:noProof/>
          <w:u w:val="single"/>
        </w:rPr>
        <w:lastRenderedPageBreak/>
        <mc:AlternateContent>
          <mc:Choice Requires="wps">
            <w:drawing>
              <wp:anchor distT="0" distB="0" distL="114300" distR="114300" simplePos="0" relativeHeight="251678208" behindDoc="0" locked="0" layoutInCell="1" allowOverlap="1" wp14:anchorId="1488C559" wp14:editId="5E079C28">
                <wp:simplePos x="0" y="0"/>
                <wp:positionH relativeFrom="column">
                  <wp:posOffset>-2648</wp:posOffset>
                </wp:positionH>
                <wp:positionV relativeFrom="paragraph">
                  <wp:posOffset>116672</wp:posOffset>
                </wp:positionV>
                <wp:extent cx="5882640" cy="2286000"/>
                <wp:effectExtent l="0" t="0" r="22860" b="19050"/>
                <wp:wrapNone/>
                <wp:docPr id="23" name="Obdélník 23"/>
                <wp:cNvGraphicFramePr/>
                <a:graphic xmlns:a="http://schemas.openxmlformats.org/drawingml/2006/main">
                  <a:graphicData uri="http://schemas.microsoft.com/office/word/2010/wordprocessingShape">
                    <wps:wsp>
                      <wps:cNvSpPr/>
                      <wps:spPr>
                        <a:xfrm>
                          <a:off x="0" y="0"/>
                          <a:ext cx="5882640" cy="2286000"/>
                        </a:xfrm>
                        <a:prstGeom prst="rect">
                          <a:avLst/>
                        </a:prstGeom>
                        <a:noFill/>
                        <a:ln w="25400" cap="flat" cmpd="sng" algn="ctr">
                          <a:solidFill>
                            <a:srgbClr val="4F81BD">
                              <a:shade val="50000"/>
                            </a:srgbClr>
                          </a:solidFill>
                          <a:prstDash val="solid"/>
                        </a:ln>
                        <a:effectLst/>
                      </wps:spPr>
                      <wps:txbx>
                        <w:txbxContent>
                          <w:p w14:paraId="22E3EA6B"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3" o:spid="_x0000_s1032" style="position:absolute;margin-left:-.2pt;margin-top:9.2pt;width:463.2pt;height:18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" filled="f" strokecolor="#385d8a" strokeweight="2pt">
                <v:textbox>
                  <w:txbxContent>
                    <w:p w14:paraId="22E3EA6B" w14:textId="77777777" w:rsidR="00613346" w:rsidRDefault="00613346" w:rsidP="00A42511">
                      <w:pPr>
                        <w:jc w:val="center"/>
                      </w:pPr>
                    </w:p>
                  </w:txbxContent>
                </v:textbox>
              </v:rect>
            </w:pict>
          </mc:Fallback>
        </mc:AlternateContent>
      </w:r>
    </w:p>
    <w:p w14:paraId="6413A971" w14:textId="77777777" w:rsidR="00A42511" w:rsidRPr="000D4701" w:rsidRDefault="00A42511" w:rsidP="00A42511">
      <w:pPr>
        <w:pStyle w:val="Odstavecseseznamem"/>
        <w:numPr>
          <w:ilvl w:val="0"/>
          <w:numId w:val="45"/>
        </w:numPr>
        <w:tabs>
          <w:tab w:val="left" w:pos="284"/>
        </w:tabs>
        <w:spacing w:after="60" w:line="276" w:lineRule="auto"/>
        <w:ind w:left="426"/>
        <w:jc w:val="both"/>
        <w:rPr>
          <w:rFonts w:eastAsia="Calibri" w:cs="Arial"/>
          <w:b/>
          <w:sz w:val="20"/>
          <w:szCs w:val="20"/>
        </w:rPr>
      </w:pPr>
      <w:r w:rsidRPr="000D4701">
        <w:rPr>
          <w:rFonts w:cs="Arial"/>
          <w:b/>
          <w:sz w:val="20"/>
          <w:szCs w:val="20"/>
        </w:rPr>
        <w:t xml:space="preserve">PPS CASA </w:t>
      </w:r>
    </w:p>
    <w:p w14:paraId="61583BAD" w14:textId="1D6CD37D" w:rsidR="00A42511" w:rsidRPr="00B44A11" w:rsidRDefault="00A42511" w:rsidP="00A42511">
      <w:pPr>
        <w:pStyle w:val="Odstavecseseznamem"/>
        <w:numPr>
          <w:ilvl w:val="0"/>
          <w:numId w:val="39"/>
        </w:numPr>
        <w:tabs>
          <w:tab w:val="left" w:pos="284"/>
        </w:tabs>
        <w:spacing w:before="60" w:after="60"/>
        <w:ind w:hanging="425"/>
        <w:jc w:val="both"/>
        <w:rPr>
          <w:rFonts w:cs="Arial"/>
          <w:sz w:val="20"/>
          <w:szCs w:val="20"/>
          <w:u w:val="single"/>
        </w:rPr>
      </w:pPr>
      <w:r w:rsidRPr="00B44A11">
        <w:rPr>
          <w:rFonts w:cs="Arial"/>
          <w:sz w:val="20"/>
          <w:szCs w:val="20"/>
          <w:u w:val="single"/>
        </w:rPr>
        <w:t>Předmět VZ</w:t>
      </w:r>
      <w:r>
        <w:rPr>
          <w:rFonts w:cs="Arial"/>
          <w:sz w:val="20"/>
          <w:szCs w:val="20"/>
          <w:u w:val="single"/>
        </w:rPr>
        <w:t xml:space="preserve"> zkráceně</w:t>
      </w:r>
      <w:r w:rsidRPr="00B44A11">
        <w:rPr>
          <w:rFonts w:cs="Arial"/>
          <w:sz w:val="20"/>
          <w:szCs w:val="20"/>
          <w:u w:val="single"/>
        </w:rPr>
        <w:t>:</w:t>
      </w:r>
      <w:r w:rsidR="00D920E5" w:rsidRPr="006361E8">
        <w:rPr>
          <w:rFonts w:cs="Arial"/>
          <w:sz w:val="20"/>
          <w:szCs w:val="20"/>
        </w:rPr>
        <w:t xml:space="preserve"> </w:t>
      </w:r>
      <w:r w:rsidR="006361E8" w:rsidRPr="006361E8">
        <w:rPr>
          <w:rFonts w:cs="Arial"/>
          <w:sz w:val="20"/>
          <w:szCs w:val="20"/>
        </w:rPr>
        <w:t>t</w:t>
      </w:r>
      <w:r w:rsidRPr="00B44A11">
        <w:rPr>
          <w:rFonts w:cs="Arial"/>
          <w:sz w:val="20"/>
          <w:szCs w:val="20"/>
        </w:rPr>
        <w:t>aktický transportní letoun - nákup</w:t>
      </w:r>
      <w:r>
        <w:rPr>
          <w:rStyle w:val="Znakapoznpodarou"/>
          <w:rFonts w:cs="Arial"/>
          <w:sz w:val="20"/>
          <w:szCs w:val="20"/>
        </w:rPr>
        <w:footnoteReference w:id="44"/>
      </w:r>
    </w:p>
    <w:p w14:paraId="10F63DB5" w14:textId="77777777" w:rsidR="00A42511" w:rsidRPr="00B44A11" w:rsidRDefault="00A42511" w:rsidP="00A42511">
      <w:pPr>
        <w:pStyle w:val="Odstavecseseznamem"/>
        <w:numPr>
          <w:ilvl w:val="0"/>
          <w:numId w:val="39"/>
        </w:numPr>
        <w:tabs>
          <w:tab w:val="left" w:pos="284"/>
        </w:tabs>
        <w:spacing w:before="60" w:after="60"/>
        <w:ind w:hanging="425"/>
        <w:jc w:val="both"/>
        <w:rPr>
          <w:rFonts w:cs="Arial"/>
          <w:sz w:val="20"/>
          <w:szCs w:val="20"/>
          <w:u w:val="single"/>
        </w:rPr>
      </w:pPr>
      <w:r w:rsidRPr="00B44A11">
        <w:rPr>
          <w:rFonts w:cs="Arial"/>
          <w:sz w:val="20"/>
          <w:szCs w:val="20"/>
          <w:u w:val="single"/>
        </w:rPr>
        <w:t>Datum oznámení výzvy:</w:t>
      </w:r>
      <w:r w:rsidRPr="006361E8">
        <w:rPr>
          <w:rFonts w:cs="Arial"/>
          <w:sz w:val="20"/>
          <w:szCs w:val="20"/>
        </w:rPr>
        <w:t xml:space="preserve"> </w:t>
      </w:r>
      <w:r w:rsidRPr="00B44A11">
        <w:rPr>
          <w:rFonts w:cs="Arial"/>
          <w:sz w:val="20"/>
          <w:szCs w:val="20"/>
        </w:rPr>
        <w:t>7. listopadu 2008</w:t>
      </w:r>
    </w:p>
    <w:p w14:paraId="51AA04C5" w14:textId="7BC1EDB2" w:rsidR="00A42511" w:rsidRPr="00B44A11" w:rsidRDefault="00A42511" w:rsidP="00A42511">
      <w:pPr>
        <w:pStyle w:val="Odstavecseseznamem"/>
        <w:numPr>
          <w:ilvl w:val="0"/>
          <w:numId w:val="39"/>
        </w:numPr>
        <w:tabs>
          <w:tab w:val="left" w:pos="284"/>
        </w:tabs>
        <w:spacing w:before="60" w:after="60"/>
        <w:ind w:left="709" w:hanging="425"/>
        <w:jc w:val="both"/>
        <w:rPr>
          <w:rFonts w:cs="Arial"/>
          <w:sz w:val="20"/>
          <w:szCs w:val="20"/>
        </w:rPr>
      </w:pPr>
      <w:r w:rsidRPr="00B44A11">
        <w:rPr>
          <w:rFonts w:cs="Arial"/>
          <w:sz w:val="20"/>
          <w:szCs w:val="20"/>
          <w:u w:val="single"/>
        </w:rPr>
        <w:t xml:space="preserve">Základní </w:t>
      </w:r>
      <w:r w:rsidR="006361E8">
        <w:rPr>
          <w:rFonts w:cs="Arial"/>
          <w:sz w:val="20"/>
          <w:szCs w:val="20"/>
          <w:u w:val="single"/>
        </w:rPr>
        <w:t>hodnoticí</w:t>
      </w:r>
      <w:r w:rsidRPr="00B44A11">
        <w:rPr>
          <w:rFonts w:cs="Arial"/>
          <w:sz w:val="20"/>
          <w:szCs w:val="20"/>
          <w:u w:val="single"/>
        </w:rPr>
        <w:t xml:space="preserve"> kritérium:</w:t>
      </w:r>
      <w:r w:rsidRPr="006361E8">
        <w:rPr>
          <w:rFonts w:cs="Arial"/>
          <w:sz w:val="20"/>
          <w:szCs w:val="20"/>
        </w:rPr>
        <w:t xml:space="preserve"> </w:t>
      </w:r>
      <w:r w:rsidRPr="00B44A11">
        <w:rPr>
          <w:rFonts w:cs="Arial"/>
          <w:sz w:val="20"/>
          <w:szCs w:val="20"/>
        </w:rPr>
        <w:t xml:space="preserve">bez </w:t>
      </w:r>
      <w:r w:rsidR="006361E8">
        <w:rPr>
          <w:rFonts w:cs="Arial"/>
          <w:sz w:val="20"/>
          <w:szCs w:val="20"/>
        </w:rPr>
        <w:t>hodnoticí</w:t>
      </w:r>
      <w:r w:rsidRPr="00B44A11">
        <w:rPr>
          <w:rFonts w:cs="Arial"/>
          <w:sz w:val="20"/>
          <w:szCs w:val="20"/>
        </w:rPr>
        <w:t>ch kritérií</w:t>
      </w:r>
    </w:p>
    <w:p w14:paraId="0285E65E" w14:textId="0A2FFC45" w:rsidR="00A42511" w:rsidRPr="00B44A11" w:rsidRDefault="00A42511" w:rsidP="00A42511">
      <w:pPr>
        <w:pStyle w:val="Odstavecseseznamem"/>
        <w:numPr>
          <w:ilvl w:val="0"/>
          <w:numId w:val="39"/>
        </w:numPr>
        <w:tabs>
          <w:tab w:val="left" w:pos="284"/>
        </w:tabs>
        <w:spacing w:before="60" w:after="60"/>
        <w:ind w:left="709" w:hanging="425"/>
        <w:jc w:val="both"/>
        <w:rPr>
          <w:rFonts w:cs="Arial"/>
          <w:sz w:val="20"/>
          <w:szCs w:val="20"/>
        </w:rPr>
      </w:pPr>
      <w:r w:rsidRPr="00B44A11">
        <w:rPr>
          <w:rFonts w:cs="Arial"/>
          <w:sz w:val="20"/>
          <w:szCs w:val="20"/>
          <w:u w:val="single"/>
        </w:rPr>
        <w:t>Datum uzavření smlouvy:</w:t>
      </w:r>
      <w:r w:rsidR="00D920E5" w:rsidRPr="006361E8">
        <w:rPr>
          <w:rFonts w:cs="Arial"/>
          <w:sz w:val="20"/>
          <w:szCs w:val="20"/>
        </w:rPr>
        <w:t xml:space="preserve"> </w:t>
      </w:r>
      <w:r w:rsidRPr="00B44A11">
        <w:rPr>
          <w:rFonts w:cs="Arial"/>
          <w:sz w:val="20"/>
          <w:szCs w:val="20"/>
        </w:rPr>
        <w:t>7. května 2009</w:t>
      </w:r>
      <w:r>
        <w:rPr>
          <w:rStyle w:val="Znakapoznpodarou"/>
          <w:rFonts w:cs="Arial"/>
          <w:sz w:val="20"/>
          <w:szCs w:val="20"/>
        </w:rPr>
        <w:footnoteReference w:id="45"/>
      </w:r>
      <w:r w:rsidRPr="00B44A11">
        <w:rPr>
          <w:rFonts w:cs="Arial"/>
          <w:sz w:val="20"/>
          <w:szCs w:val="20"/>
        </w:rPr>
        <w:t>, uzavřeno celkem 10 dodatků</w:t>
      </w:r>
      <w:r>
        <w:rPr>
          <w:rFonts w:cs="Arial"/>
          <w:sz w:val="20"/>
          <w:szCs w:val="20"/>
        </w:rPr>
        <w:t xml:space="preserve">; dne 27. 1. 2010 uzavřena </w:t>
      </w:r>
      <w:r w:rsidR="004A7FA7">
        <w:rPr>
          <w:rFonts w:cs="Arial"/>
          <w:sz w:val="20"/>
          <w:szCs w:val="20"/>
        </w:rPr>
        <w:t>s</w:t>
      </w:r>
      <w:r>
        <w:rPr>
          <w:rFonts w:cs="Arial"/>
          <w:sz w:val="20"/>
          <w:szCs w:val="20"/>
        </w:rPr>
        <w:t>mlouva o servisní podpoře letounů CASA C-295M</w:t>
      </w:r>
      <w:r>
        <w:rPr>
          <w:rStyle w:val="Znakapoznpodarou"/>
          <w:rFonts w:cs="Arial"/>
          <w:sz w:val="20"/>
          <w:szCs w:val="20"/>
        </w:rPr>
        <w:footnoteReference w:id="46"/>
      </w:r>
    </w:p>
    <w:p w14:paraId="65E34DBB" w14:textId="30DC1E6D" w:rsidR="00A42511" w:rsidRPr="00B44A11" w:rsidRDefault="00A42511" w:rsidP="00A42511">
      <w:pPr>
        <w:pStyle w:val="Odstavecseseznamem"/>
        <w:numPr>
          <w:ilvl w:val="0"/>
          <w:numId w:val="39"/>
        </w:numPr>
        <w:tabs>
          <w:tab w:val="left" w:pos="709"/>
        </w:tabs>
        <w:spacing w:before="60" w:after="60"/>
        <w:ind w:left="709" w:hanging="425"/>
        <w:jc w:val="both"/>
        <w:rPr>
          <w:rFonts w:cs="Arial"/>
          <w:sz w:val="20"/>
          <w:szCs w:val="20"/>
        </w:rPr>
      </w:pPr>
      <w:r w:rsidRPr="00B44A11">
        <w:rPr>
          <w:rFonts w:cs="Arial"/>
          <w:sz w:val="20"/>
          <w:szCs w:val="20"/>
          <w:u w:val="single"/>
        </w:rPr>
        <w:t>Cena:</w:t>
      </w:r>
      <w:r w:rsidRPr="00B44A11">
        <w:rPr>
          <w:rFonts w:cs="Arial"/>
          <w:sz w:val="20"/>
          <w:szCs w:val="20"/>
        </w:rPr>
        <w:t xml:space="preserve"> </w:t>
      </w:r>
      <w:r w:rsidRPr="00B44A11">
        <w:rPr>
          <w:rFonts w:cs="Arial"/>
          <w:bCs/>
          <w:color w:val="000000"/>
          <w:sz w:val="20"/>
          <w:szCs w:val="20"/>
        </w:rPr>
        <w:t>3 006 632 747,99 Kč</w:t>
      </w:r>
      <w:r w:rsidRPr="00B44A11">
        <w:rPr>
          <w:rFonts w:cs="Arial"/>
          <w:color w:val="000000"/>
          <w:sz w:val="20"/>
          <w:szCs w:val="20"/>
        </w:rPr>
        <w:t xml:space="preserve"> bez DPH, 3 577 892 970,11 Kč vč. DPH, dodatky č. 1 </w:t>
      </w:r>
      <w:r w:rsidR="008A0DBF">
        <w:rPr>
          <w:rFonts w:cs="Arial"/>
          <w:color w:val="000000"/>
          <w:sz w:val="20"/>
          <w:szCs w:val="20"/>
        </w:rPr>
        <w:t>až</w:t>
      </w:r>
      <w:r w:rsidRPr="00B44A11">
        <w:rPr>
          <w:rFonts w:cs="Arial"/>
          <w:color w:val="000000"/>
          <w:sz w:val="20"/>
          <w:szCs w:val="20"/>
        </w:rPr>
        <w:t xml:space="preserve"> 10</w:t>
      </w:r>
      <w:r w:rsidR="00D920E5">
        <w:rPr>
          <w:rFonts w:cs="Arial"/>
          <w:color w:val="000000"/>
          <w:sz w:val="20"/>
          <w:szCs w:val="20"/>
        </w:rPr>
        <w:t xml:space="preserve"> </w:t>
      </w:r>
      <w:r w:rsidRPr="00B44A11">
        <w:rPr>
          <w:rFonts w:cs="Arial"/>
          <w:color w:val="000000"/>
          <w:sz w:val="20"/>
          <w:szCs w:val="20"/>
        </w:rPr>
        <w:t>cenu nenavyšovaly</w:t>
      </w:r>
      <w:r>
        <w:rPr>
          <w:rFonts w:cs="Arial"/>
          <w:color w:val="000000"/>
          <w:sz w:val="20"/>
          <w:szCs w:val="20"/>
        </w:rPr>
        <w:t xml:space="preserve">; </w:t>
      </w:r>
      <w:r w:rsidR="008A0DBF">
        <w:rPr>
          <w:rFonts w:cs="Arial"/>
          <w:color w:val="000000"/>
          <w:sz w:val="20"/>
          <w:szCs w:val="20"/>
        </w:rPr>
        <w:t>c</w:t>
      </w:r>
      <w:r>
        <w:rPr>
          <w:rFonts w:cs="Arial"/>
          <w:color w:val="000000"/>
          <w:sz w:val="20"/>
          <w:szCs w:val="20"/>
        </w:rPr>
        <w:t>ena servisních služeb a logistické podpory, které může MO čerpat</w:t>
      </w:r>
      <w:r w:rsidR="00D920E5">
        <w:rPr>
          <w:rFonts w:cs="Arial"/>
          <w:color w:val="000000"/>
          <w:sz w:val="20"/>
          <w:szCs w:val="20"/>
        </w:rPr>
        <w:t xml:space="preserve"> </w:t>
      </w:r>
      <w:r>
        <w:rPr>
          <w:rFonts w:cs="Arial"/>
          <w:color w:val="000000"/>
          <w:sz w:val="20"/>
          <w:szCs w:val="20"/>
        </w:rPr>
        <w:t>dle druhé smlouvy (leden 2010), činila 818 559 059,66 Kč bez DPH, resp. 982 270 871,59 Kč vč. DPH</w:t>
      </w:r>
      <w:r w:rsidR="00D920E5">
        <w:rPr>
          <w:rFonts w:cs="Arial"/>
          <w:color w:val="000000"/>
          <w:sz w:val="20"/>
          <w:szCs w:val="20"/>
        </w:rPr>
        <w:t xml:space="preserve"> </w:t>
      </w:r>
    </w:p>
    <w:p w14:paraId="5C29F7DE" w14:textId="77777777" w:rsidR="00A42511" w:rsidRPr="00B44A11" w:rsidRDefault="00A42511" w:rsidP="00A42511">
      <w:pPr>
        <w:pStyle w:val="Odstavecseseznamem"/>
        <w:numPr>
          <w:ilvl w:val="0"/>
          <w:numId w:val="39"/>
        </w:numPr>
        <w:tabs>
          <w:tab w:val="left" w:pos="709"/>
        </w:tabs>
        <w:spacing w:before="60" w:after="60"/>
        <w:ind w:left="709" w:hanging="425"/>
        <w:jc w:val="both"/>
        <w:rPr>
          <w:rFonts w:cs="Arial"/>
          <w:sz w:val="20"/>
          <w:szCs w:val="20"/>
        </w:rPr>
      </w:pPr>
      <w:r w:rsidRPr="00B44A11">
        <w:rPr>
          <w:rFonts w:cs="Arial"/>
          <w:sz w:val="20"/>
          <w:szCs w:val="20"/>
          <w:u w:val="single"/>
        </w:rPr>
        <w:t>Předmět plnění dle smlouvy:</w:t>
      </w:r>
      <w:r w:rsidRPr="00B44A11">
        <w:rPr>
          <w:rFonts w:cs="Arial"/>
          <w:sz w:val="20"/>
          <w:szCs w:val="20"/>
        </w:rPr>
        <w:t xml:space="preserve"> dodávka </w:t>
      </w:r>
      <w:r w:rsidRPr="00B8627C">
        <w:rPr>
          <w:rFonts w:cs="Arial"/>
          <w:b/>
          <w:sz w:val="20"/>
          <w:szCs w:val="20"/>
        </w:rPr>
        <w:t xml:space="preserve">letounů </w:t>
      </w:r>
      <w:r w:rsidRPr="00B8627C">
        <w:rPr>
          <w:b/>
          <w:sz w:val="20"/>
          <w:szCs w:val="20"/>
        </w:rPr>
        <w:t>CASA C-295M</w:t>
      </w:r>
      <w:r w:rsidRPr="00B44A11">
        <w:rPr>
          <w:sz w:val="20"/>
          <w:szCs w:val="20"/>
        </w:rPr>
        <w:t xml:space="preserve"> včetně logistické podpory </w:t>
      </w:r>
    </w:p>
    <w:p w14:paraId="5116F6EF" w14:textId="77777777" w:rsidR="00A42511" w:rsidRDefault="00A42511" w:rsidP="00A42511">
      <w:pPr>
        <w:pStyle w:val="Odstavecseseznamem"/>
        <w:numPr>
          <w:ilvl w:val="0"/>
          <w:numId w:val="39"/>
        </w:numPr>
        <w:tabs>
          <w:tab w:val="left" w:pos="284"/>
        </w:tabs>
        <w:spacing w:before="60" w:after="60"/>
        <w:ind w:left="714" w:hanging="425"/>
        <w:jc w:val="both"/>
        <w:rPr>
          <w:rFonts w:cs="Arial"/>
          <w:sz w:val="20"/>
          <w:szCs w:val="20"/>
          <w:u w:val="single"/>
        </w:rPr>
      </w:pPr>
      <w:r>
        <w:rPr>
          <w:rFonts w:cs="Arial"/>
          <w:color w:val="000000"/>
          <w:sz w:val="20"/>
          <w:szCs w:val="20"/>
          <w:u w:val="single"/>
        </w:rPr>
        <w:t>Uzavření offsetové dohody se zahraničním dodavatelem:</w:t>
      </w:r>
      <w:r w:rsidRPr="004A79EC">
        <w:rPr>
          <w:rFonts w:cs="Arial"/>
          <w:color w:val="000000"/>
          <w:sz w:val="20"/>
          <w:szCs w:val="20"/>
        </w:rPr>
        <w:t xml:space="preserve"> </w:t>
      </w:r>
      <w:r>
        <w:rPr>
          <w:rFonts w:cs="Arial"/>
          <w:color w:val="000000"/>
          <w:sz w:val="20"/>
          <w:szCs w:val="20"/>
        </w:rPr>
        <w:t>NE</w:t>
      </w:r>
      <w:r w:rsidRPr="00B44A11">
        <w:rPr>
          <w:rFonts w:cs="Arial"/>
          <w:sz w:val="20"/>
          <w:szCs w:val="20"/>
          <w:u w:val="single"/>
        </w:rPr>
        <w:t xml:space="preserve"> </w:t>
      </w:r>
    </w:p>
    <w:p w14:paraId="790C0F41" w14:textId="05CE0F02" w:rsidR="00A42511" w:rsidRPr="00B44A11" w:rsidRDefault="00A42511" w:rsidP="00A42511">
      <w:pPr>
        <w:pStyle w:val="Odstavecseseznamem"/>
        <w:numPr>
          <w:ilvl w:val="0"/>
          <w:numId w:val="39"/>
        </w:numPr>
        <w:tabs>
          <w:tab w:val="left" w:pos="284"/>
        </w:tabs>
        <w:spacing w:before="60" w:after="60"/>
        <w:ind w:left="714" w:hanging="425"/>
        <w:jc w:val="both"/>
        <w:rPr>
          <w:rFonts w:cs="Arial"/>
          <w:sz w:val="20"/>
          <w:szCs w:val="20"/>
          <w:u w:val="single"/>
        </w:rPr>
      </w:pPr>
      <w:r>
        <w:rPr>
          <w:rFonts w:cs="Arial"/>
          <w:color w:val="000000"/>
          <w:sz w:val="20"/>
          <w:szCs w:val="20"/>
          <w:u w:val="single"/>
        </w:rPr>
        <w:t>Výše offsetového závazku:</w:t>
      </w:r>
      <w:r w:rsidRPr="007112E1">
        <w:rPr>
          <w:rFonts w:cs="Arial"/>
          <w:sz w:val="20"/>
          <w:szCs w:val="20"/>
        </w:rPr>
        <w:t xml:space="preserve"> 100 % </w:t>
      </w:r>
      <w:r>
        <w:rPr>
          <w:rFonts w:cs="Arial"/>
          <w:sz w:val="20"/>
          <w:szCs w:val="20"/>
        </w:rPr>
        <w:t xml:space="preserve">kupní </w:t>
      </w:r>
      <w:r w:rsidRPr="007112E1">
        <w:rPr>
          <w:rFonts w:cs="Arial"/>
          <w:sz w:val="20"/>
          <w:szCs w:val="20"/>
        </w:rPr>
        <w:t>ceny</w:t>
      </w:r>
      <w:r>
        <w:rPr>
          <w:rFonts w:cs="Arial"/>
          <w:sz w:val="20"/>
          <w:szCs w:val="20"/>
        </w:rPr>
        <w:t xml:space="preserve"> </w:t>
      </w:r>
      <w:r w:rsidR="008A0DBF">
        <w:rPr>
          <w:rFonts w:cs="Arial"/>
          <w:sz w:val="20"/>
          <w:szCs w:val="20"/>
        </w:rPr>
        <w:t xml:space="preserve">uvedené </w:t>
      </w:r>
      <w:r w:rsidRPr="007112E1">
        <w:rPr>
          <w:rFonts w:cs="Arial"/>
          <w:sz w:val="20"/>
          <w:szCs w:val="20"/>
        </w:rPr>
        <w:t>v </w:t>
      </w:r>
      <w:r w:rsidR="008A0DBF">
        <w:rPr>
          <w:rFonts w:cs="Arial"/>
          <w:sz w:val="20"/>
          <w:szCs w:val="20"/>
        </w:rPr>
        <w:t>k</w:t>
      </w:r>
      <w:r w:rsidRPr="007112E1">
        <w:rPr>
          <w:rFonts w:cs="Arial"/>
          <w:sz w:val="20"/>
          <w:szCs w:val="20"/>
        </w:rPr>
        <w:t>upní a směnné smlouvě</w:t>
      </w:r>
      <w:r w:rsidR="00D920E5">
        <w:rPr>
          <w:rFonts w:cs="Arial"/>
          <w:sz w:val="20"/>
          <w:szCs w:val="20"/>
          <w:u w:val="single"/>
        </w:rPr>
        <w:t xml:space="preserve">  </w:t>
      </w:r>
    </w:p>
    <w:p w14:paraId="5EB2280C" w14:textId="77777777" w:rsidR="00A42511" w:rsidRDefault="00A42511" w:rsidP="00A42511">
      <w:pPr>
        <w:tabs>
          <w:tab w:val="left" w:pos="284"/>
        </w:tabs>
        <w:spacing w:after="60"/>
        <w:rPr>
          <w:rFonts w:cs="Arial"/>
          <w:b/>
          <w:sz w:val="20"/>
          <w:szCs w:val="20"/>
        </w:rPr>
      </w:pPr>
    </w:p>
    <w:p w14:paraId="73B742BA" w14:textId="77777777" w:rsidR="00A42511" w:rsidRDefault="00A42511" w:rsidP="00A42511">
      <w:pPr>
        <w:tabs>
          <w:tab w:val="left" w:pos="284"/>
        </w:tabs>
        <w:spacing w:after="60"/>
        <w:rPr>
          <w:rFonts w:cs="Arial"/>
          <w:b/>
          <w:sz w:val="20"/>
          <w:szCs w:val="20"/>
        </w:rPr>
      </w:pPr>
      <w:r w:rsidRPr="000D4701">
        <w:rPr>
          <w:rFonts w:cs="Arial"/>
          <w:b/>
          <w:noProof/>
          <w:u w:val="single"/>
        </w:rPr>
        <mc:AlternateContent>
          <mc:Choice Requires="wps">
            <w:drawing>
              <wp:anchor distT="0" distB="0" distL="114300" distR="114300" simplePos="0" relativeHeight="251677184" behindDoc="0" locked="0" layoutInCell="1" allowOverlap="1" wp14:anchorId="64FE868B" wp14:editId="137C5E70">
                <wp:simplePos x="0" y="0"/>
                <wp:positionH relativeFrom="column">
                  <wp:posOffset>-2648</wp:posOffset>
                </wp:positionH>
                <wp:positionV relativeFrom="paragraph">
                  <wp:posOffset>106380</wp:posOffset>
                </wp:positionV>
                <wp:extent cx="5882640" cy="2587925"/>
                <wp:effectExtent l="0" t="0" r="22860" b="22225"/>
                <wp:wrapNone/>
                <wp:docPr id="24" name="Obdélník 24"/>
                <wp:cNvGraphicFramePr/>
                <a:graphic xmlns:a="http://schemas.openxmlformats.org/drawingml/2006/main">
                  <a:graphicData uri="http://schemas.microsoft.com/office/word/2010/wordprocessingShape">
                    <wps:wsp>
                      <wps:cNvSpPr/>
                      <wps:spPr>
                        <a:xfrm>
                          <a:off x="0" y="0"/>
                          <a:ext cx="5882640" cy="2587925"/>
                        </a:xfrm>
                        <a:prstGeom prst="rect">
                          <a:avLst/>
                        </a:prstGeom>
                        <a:noFill/>
                        <a:ln w="25400" cap="flat" cmpd="sng" algn="ctr">
                          <a:solidFill>
                            <a:srgbClr val="4F81BD">
                              <a:shade val="50000"/>
                            </a:srgbClr>
                          </a:solidFill>
                          <a:prstDash val="solid"/>
                        </a:ln>
                        <a:effectLst/>
                      </wps:spPr>
                      <wps:txbx>
                        <w:txbxContent>
                          <w:p w14:paraId="7B09C141"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4" o:spid="_x0000_s1033" style="position:absolute;margin-left:-.2pt;margin-top:8.4pt;width:463.2pt;height:20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" filled="f" strokecolor="#385d8a" strokeweight="2pt">
                <v:textbox>
                  <w:txbxContent>
                    <w:p w14:paraId="7B09C141" w14:textId="77777777" w:rsidR="00613346" w:rsidRDefault="00613346" w:rsidP="00A42511">
                      <w:pPr>
                        <w:jc w:val="center"/>
                      </w:pPr>
                    </w:p>
                  </w:txbxContent>
                </v:textbox>
              </v:rect>
            </w:pict>
          </mc:Fallback>
        </mc:AlternateContent>
      </w:r>
    </w:p>
    <w:p w14:paraId="5887C8C3" w14:textId="77777777" w:rsidR="00A42511" w:rsidRPr="000D4701" w:rsidRDefault="00A42511" w:rsidP="00A42511">
      <w:pPr>
        <w:pStyle w:val="Odstavecseseznamem"/>
        <w:numPr>
          <w:ilvl w:val="0"/>
          <w:numId w:val="45"/>
        </w:numPr>
        <w:tabs>
          <w:tab w:val="left" w:pos="284"/>
        </w:tabs>
        <w:spacing w:after="60" w:line="276" w:lineRule="auto"/>
        <w:ind w:left="426"/>
        <w:jc w:val="both"/>
        <w:rPr>
          <w:rFonts w:cs="Arial"/>
          <w:b/>
          <w:sz w:val="20"/>
          <w:szCs w:val="20"/>
        </w:rPr>
      </w:pPr>
      <w:r w:rsidRPr="000D4701">
        <w:rPr>
          <w:rFonts w:cs="Arial"/>
          <w:b/>
          <w:sz w:val="20"/>
          <w:szCs w:val="20"/>
        </w:rPr>
        <w:t>PPS LOV IVECO</w:t>
      </w:r>
    </w:p>
    <w:p w14:paraId="6C2DCFF5" w14:textId="007C87C0" w:rsidR="00A42511" w:rsidRPr="002A1C35" w:rsidRDefault="00A42511" w:rsidP="00A42511">
      <w:pPr>
        <w:pStyle w:val="Odstavecseseznamem"/>
        <w:numPr>
          <w:ilvl w:val="0"/>
          <w:numId w:val="38"/>
        </w:numPr>
        <w:tabs>
          <w:tab w:val="left" w:pos="284"/>
        </w:tabs>
        <w:spacing w:before="60" w:after="60"/>
        <w:ind w:hanging="425"/>
        <w:jc w:val="both"/>
        <w:rPr>
          <w:rFonts w:cs="Arial"/>
          <w:sz w:val="20"/>
          <w:szCs w:val="20"/>
        </w:rPr>
      </w:pPr>
      <w:r w:rsidRPr="002A1C35">
        <w:rPr>
          <w:rFonts w:cs="Arial"/>
          <w:sz w:val="20"/>
          <w:szCs w:val="20"/>
          <w:u w:val="single"/>
        </w:rPr>
        <w:t>Předmět VZ</w:t>
      </w:r>
      <w:r>
        <w:rPr>
          <w:rFonts w:cs="Arial"/>
          <w:sz w:val="20"/>
          <w:szCs w:val="20"/>
          <w:u w:val="single"/>
        </w:rPr>
        <w:t xml:space="preserve"> zkráceně</w:t>
      </w:r>
      <w:r w:rsidRPr="002A1C35">
        <w:rPr>
          <w:rFonts w:cs="Arial"/>
          <w:sz w:val="20"/>
          <w:szCs w:val="20"/>
          <w:u w:val="single"/>
        </w:rPr>
        <w:t>:</w:t>
      </w:r>
      <w:r w:rsidRPr="002A1C35">
        <w:rPr>
          <w:rFonts w:cs="Arial"/>
          <w:sz w:val="20"/>
          <w:szCs w:val="20"/>
        </w:rPr>
        <w:t xml:space="preserve"> </w:t>
      </w:r>
      <w:r w:rsidR="006361E8">
        <w:rPr>
          <w:rFonts w:cs="Arial"/>
          <w:sz w:val="20"/>
          <w:szCs w:val="20"/>
        </w:rPr>
        <w:t>l</w:t>
      </w:r>
      <w:r w:rsidRPr="002A1C35">
        <w:rPr>
          <w:rFonts w:cs="Arial"/>
          <w:sz w:val="20"/>
          <w:szCs w:val="20"/>
        </w:rPr>
        <w:t xml:space="preserve">ehké obrněné vozidlo bojové a podpůrné včetně logistického zabezpečení </w:t>
      </w:r>
    </w:p>
    <w:p w14:paraId="348FD228" w14:textId="77777777" w:rsidR="00A42511" w:rsidRPr="002A1C35" w:rsidRDefault="00A42511" w:rsidP="00A42511">
      <w:pPr>
        <w:pStyle w:val="Odstavecseseznamem"/>
        <w:numPr>
          <w:ilvl w:val="0"/>
          <w:numId w:val="38"/>
        </w:numPr>
        <w:tabs>
          <w:tab w:val="left" w:pos="284"/>
        </w:tabs>
        <w:spacing w:before="60" w:after="60"/>
        <w:ind w:hanging="425"/>
        <w:jc w:val="both"/>
        <w:rPr>
          <w:rFonts w:cs="Arial"/>
          <w:sz w:val="20"/>
          <w:szCs w:val="20"/>
        </w:rPr>
      </w:pPr>
      <w:r w:rsidRPr="002A1C35">
        <w:rPr>
          <w:rFonts w:cs="Arial"/>
          <w:sz w:val="20"/>
          <w:szCs w:val="20"/>
          <w:u w:val="single"/>
        </w:rPr>
        <w:t>Datum oznámení výzvy:</w:t>
      </w:r>
      <w:r w:rsidRPr="002A1C35">
        <w:rPr>
          <w:rFonts w:cs="Arial"/>
          <w:sz w:val="20"/>
          <w:szCs w:val="20"/>
        </w:rPr>
        <w:t xml:space="preserve"> 29. října 2009</w:t>
      </w:r>
    </w:p>
    <w:p w14:paraId="0C7E0E71" w14:textId="2D120CF9" w:rsidR="00A42511" w:rsidRPr="002A1C35" w:rsidRDefault="00A42511" w:rsidP="00A42511">
      <w:pPr>
        <w:pStyle w:val="Odstavecseseznamem"/>
        <w:numPr>
          <w:ilvl w:val="0"/>
          <w:numId w:val="38"/>
        </w:numPr>
        <w:tabs>
          <w:tab w:val="left" w:pos="284"/>
        </w:tabs>
        <w:spacing w:before="60" w:after="60"/>
        <w:ind w:hanging="425"/>
        <w:jc w:val="both"/>
        <w:rPr>
          <w:rFonts w:cs="Arial"/>
          <w:sz w:val="20"/>
          <w:szCs w:val="20"/>
        </w:rPr>
      </w:pPr>
      <w:r w:rsidRPr="002A1C35">
        <w:rPr>
          <w:rFonts w:cs="Arial"/>
          <w:sz w:val="20"/>
          <w:szCs w:val="20"/>
          <w:u w:val="single"/>
        </w:rPr>
        <w:t xml:space="preserve">Základní </w:t>
      </w:r>
      <w:r w:rsidR="006361E8">
        <w:rPr>
          <w:rFonts w:cs="Arial"/>
          <w:sz w:val="20"/>
          <w:szCs w:val="20"/>
          <w:u w:val="single"/>
        </w:rPr>
        <w:t>hodnoticí</w:t>
      </w:r>
      <w:r w:rsidRPr="002A1C35">
        <w:rPr>
          <w:rFonts w:cs="Arial"/>
          <w:sz w:val="20"/>
          <w:szCs w:val="20"/>
          <w:u w:val="single"/>
        </w:rPr>
        <w:t xml:space="preserve"> kritérium:</w:t>
      </w:r>
      <w:r w:rsidRPr="002A1C35">
        <w:rPr>
          <w:rFonts w:cs="Arial"/>
          <w:sz w:val="20"/>
          <w:szCs w:val="20"/>
        </w:rPr>
        <w:t xml:space="preserve"> bez </w:t>
      </w:r>
      <w:r w:rsidR="006361E8">
        <w:rPr>
          <w:rFonts w:cs="Arial"/>
          <w:sz w:val="20"/>
          <w:szCs w:val="20"/>
        </w:rPr>
        <w:t>hodnoticí</w:t>
      </w:r>
      <w:r w:rsidRPr="002A1C35">
        <w:rPr>
          <w:rFonts w:cs="Arial"/>
          <w:sz w:val="20"/>
          <w:szCs w:val="20"/>
        </w:rPr>
        <w:t>ch kritérií</w:t>
      </w:r>
    </w:p>
    <w:p w14:paraId="5AFCCA95" w14:textId="77777777" w:rsidR="00A42511" w:rsidRPr="002A1C35" w:rsidRDefault="00A42511" w:rsidP="00A42511">
      <w:pPr>
        <w:pStyle w:val="Odstavecseseznamem"/>
        <w:tabs>
          <w:tab w:val="left" w:pos="284"/>
        </w:tabs>
        <w:spacing w:before="60" w:after="60"/>
        <w:ind w:hanging="11"/>
        <w:rPr>
          <w:rFonts w:cs="Arial"/>
          <w:sz w:val="20"/>
          <w:szCs w:val="20"/>
        </w:rPr>
      </w:pPr>
      <w:r w:rsidRPr="002A1C35">
        <w:rPr>
          <w:rFonts w:cs="Arial"/>
          <w:sz w:val="20"/>
          <w:szCs w:val="20"/>
          <w:u w:val="single"/>
        </w:rPr>
        <w:t>Postup při posouzení nabídky</w:t>
      </w:r>
      <w:r w:rsidRPr="002A1C35">
        <w:rPr>
          <w:rFonts w:cs="Arial"/>
          <w:sz w:val="20"/>
          <w:szCs w:val="20"/>
        </w:rPr>
        <w:t>: dodržení formálních požadavků zadavatele na zpracování nabídky, splnění technických a obchodně-právních požadavků zadavatele, posouzení nabídkové ceny</w:t>
      </w:r>
    </w:p>
    <w:p w14:paraId="2EF4A58C" w14:textId="77777777" w:rsidR="00A42511" w:rsidRDefault="00A42511" w:rsidP="00A42511">
      <w:pPr>
        <w:pStyle w:val="Odstavecseseznamem"/>
        <w:numPr>
          <w:ilvl w:val="0"/>
          <w:numId w:val="38"/>
        </w:numPr>
        <w:tabs>
          <w:tab w:val="left" w:pos="284"/>
        </w:tabs>
        <w:spacing w:before="60" w:after="60"/>
        <w:ind w:left="284" w:hanging="11"/>
        <w:jc w:val="both"/>
        <w:rPr>
          <w:rFonts w:cs="Arial"/>
          <w:sz w:val="20"/>
          <w:szCs w:val="20"/>
        </w:rPr>
      </w:pPr>
      <w:r w:rsidRPr="00594D46">
        <w:rPr>
          <w:rFonts w:cs="Arial"/>
          <w:sz w:val="20"/>
          <w:szCs w:val="20"/>
          <w:u w:val="single"/>
        </w:rPr>
        <w:t>Datum uzavření smlouvy:</w:t>
      </w:r>
      <w:r w:rsidRPr="00594D46">
        <w:rPr>
          <w:rFonts w:cs="Arial"/>
          <w:sz w:val="20"/>
          <w:szCs w:val="20"/>
        </w:rPr>
        <w:t xml:space="preserve"> 18. prosince 2009, uzavřeno pět dodatků</w:t>
      </w:r>
    </w:p>
    <w:p w14:paraId="7A7FC984" w14:textId="77777777" w:rsidR="00A42511" w:rsidRPr="00594D46" w:rsidRDefault="00A42511" w:rsidP="00A42511">
      <w:pPr>
        <w:pStyle w:val="Odstavecseseznamem"/>
        <w:numPr>
          <w:ilvl w:val="0"/>
          <w:numId w:val="38"/>
        </w:numPr>
        <w:tabs>
          <w:tab w:val="left" w:pos="284"/>
        </w:tabs>
        <w:spacing w:before="60" w:after="60"/>
        <w:ind w:left="284" w:hanging="11"/>
        <w:jc w:val="both"/>
        <w:rPr>
          <w:rFonts w:cs="Arial"/>
          <w:sz w:val="20"/>
          <w:szCs w:val="20"/>
        </w:rPr>
      </w:pPr>
      <w:r w:rsidRPr="00594D46">
        <w:rPr>
          <w:rFonts w:cs="Arial"/>
          <w:sz w:val="20"/>
          <w:szCs w:val="20"/>
          <w:u w:val="single"/>
        </w:rPr>
        <w:t>Cena:</w:t>
      </w:r>
      <w:r w:rsidRPr="00594D46">
        <w:rPr>
          <w:rFonts w:cs="Arial"/>
          <w:sz w:val="20"/>
          <w:szCs w:val="20"/>
        </w:rPr>
        <w:t xml:space="preserve"> 3 017 005 445 Kč bez DPH, cena byla dodatky snížena na 3 009 109 905 Kč bez DPH</w:t>
      </w:r>
    </w:p>
    <w:p w14:paraId="1362CF1B" w14:textId="670099CE" w:rsidR="00A42511" w:rsidRPr="00594D46" w:rsidRDefault="00A42511" w:rsidP="00A42511">
      <w:pPr>
        <w:pStyle w:val="Odstavecseseznamem"/>
        <w:numPr>
          <w:ilvl w:val="0"/>
          <w:numId w:val="38"/>
        </w:numPr>
        <w:tabs>
          <w:tab w:val="left" w:pos="284"/>
        </w:tabs>
        <w:spacing w:before="60" w:after="60"/>
        <w:ind w:hanging="425"/>
        <w:rPr>
          <w:rFonts w:cs="Arial"/>
          <w:sz w:val="20"/>
          <w:szCs w:val="20"/>
        </w:rPr>
      </w:pPr>
      <w:r w:rsidRPr="00B44A11">
        <w:rPr>
          <w:rFonts w:cs="Arial"/>
          <w:sz w:val="20"/>
          <w:szCs w:val="20"/>
          <w:u w:val="single"/>
        </w:rPr>
        <w:t>Předmět plnění dle smlouvy:</w:t>
      </w:r>
      <w:r w:rsidRPr="00F972C9">
        <w:rPr>
          <w:rFonts w:cs="Arial"/>
          <w:sz w:val="20"/>
          <w:szCs w:val="20"/>
        </w:rPr>
        <w:t xml:space="preserve"> </w:t>
      </w:r>
      <w:r>
        <w:rPr>
          <w:rFonts w:cs="Arial"/>
          <w:sz w:val="20"/>
          <w:szCs w:val="20"/>
        </w:rPr>
        <w:t xml:space="preserve">dodávka </w:t>
      </w:r>
      <w:r w:rsidRPr="003F3B06">
        <w:rPr>
          <w:rFonts w:cs="Arial"/>
          <w:sz w:val="20"/>
          <w:szCs w:val="20"/>
        </w:rPr>
        <w:t xml:space="preserve">lehkých obrněných vozidel </w:t>
      </w:r>
      <w:r w:rsidRPr="003F3B06">
        <w:rPr>
          <w:rFonts w:cs="Arial"/>
          <w:b/>
          <w:sz w:val="20"/>
          <w:szCs w:val="20"/>
        </w:rPr>
        <w:t xml:space="preserve">IVECO </w:t>
      </w:r>
      <w:r w:rsidRPr="003F3B06">
        <w:rPr>
          <w:b/>
          <w:sz w:val="20"/>
          <w:szCs w:val="20"/>
        </w:rPr>
        <w:t>LMV M65E19WM</w:t>
      </w:r>
      <w:r w:rsidRPr="003F3B06">
        <w:rPr>
          <w:sz w:val="20"/>
          <w:szCs w:val="20"/>
        </w:rPr>
        <w:t xml:space="preserve"> včetně náhradních dílů</w:t>
      </w:r>
    </w:p>
    <w:p w14:paraId="50B005EA" w14:textId="77777777" w:rsidR="00A42511" w:rsidRPr="007112E1" w:rsidRDefault="00A42511" w:rsidP="00A42511">
      <w:pPr>
        <w:pStyle w:val="Odstavecseseznamem"/>
        <w:numPr>
          <w:ilvl w:val="0"/>
          <w:numId w:val="38"/>
        </w:numPr>
        <w:tabs>
          <w:tab w:val="left" w:pos="284"/>
        </w:tabs>
        <w:spacing w:before="60" w:after="60"/>
        <w:ind w:hanging="425"/>
        <w:rPr>
          <w:rFonts w:cs="Arial"/>
          <w:sz w:val="20"/>
          <w:szCs w:val="20"/>
        </w:rPr>
      </w:pPr>
      <w:r>
        <w:rPr>
          <w:rFonts w:cs="Arial"/>
          <w:color w:val="000000"/>
          <w:sz w:val="20"/>
          <w:szCs w:val="20"/>
          <w:u w:val="single"/>
        </w:rPr>
        <w:t>Uzavření offsetové dohody se zahraničním dodavatelem:</w:t>
      </w:r>
      <w:r w:rsidRPr="004A79EC">
        <w:rPr>
          <w:rFonts w:cs="Arial"/>
          <w:color w:val="000000"/>
          <w:sz w:val="20"/>
          <w:szCs w:val="20"/>
        </w:rPr>
        <w:t xml:space="preserve"> </w:t>
      </w:r>
      <w:r w:rsidRPr="008A0DBF">
        <w:rPr>
          <w:rStyle w:val="Znakapoznpodarou"/>
          <w:rFonts w:cs="Arial"/>
          <w:color w:val="000000"/>
          <w:sz w:val="20"/>
          <w:szCs w:val="20"/>
          <w:vertAlign w:val="baseline"/>
        </w:rPr>
        <w:t>NE</w:t>
      </w:r>
    </w:p>
    <w:p w14:paraId="0BDFCA50" w14:textId="77777777" w:rsidR="00A42511" w:rsidRPr="009E4B2E" w:rsidRDefault="00A42511" w:rsidP="00A42511">
      <w:pPr>
        <w:pStyle w:val="Odstavecseseznamem"/>
        <w:numPr>
          <w:ilvl w:val="0"/>
          <w:numId w:val="38"/>
        </w:numPr>
        <w:tabs>
          <w:tab w:val="left" w:pos="284"/>
        </w:tabs>
        <w:spacing w:before="60" w:after="60"/>
        <w:ind w:hanging="425"/>
        <w:rPr>
          <w:rFonts w:cs="Arial"/>
          <w:sz w:val="20"/>
          <w:szCs w:val="20"/>
        </w:rPr>
      </w:pPr>
      <w:r>
        <w:rPr>
          <w:rFonts w:cs="Arial"/>
          <w:color w:val="000000"/>
          <w:sz w:val="20"/>
          <w:szCs w:val="20"/>
          <w:u w:val="single"/>
        </w:rPr>
        <w:t>Výše offsetového závazku:</w:t>
      </w:r>
      <w:r>
        <w:rPr>
          <w:rFonts w:cs="Arial"/>
          <w:sz w:val="20"/>
          <w:szCs w:val="20"/>
        </w:rPr>
        <w:t xml:space="preserve"> 100 % celkové ceny plnění</w:t>
      </w:r>
    </w:p>
    <w:p w14:paraId="23610C8C" w14:textId="77777777" w:rsidR="00A42511" w:rsidRDefault="00A42511" w:rsidP="00A42511">
      <w:pPr>
        <w:tabs>
          <w:tab w:val="left" w:pos="284"/>
        </w:tabs>
        <w:spacing w:before="60" w:after="60"/>
        <w:rPr>
          <w:rFonts w:cs="Arial"/>
          <w:sz w:val="20"/>
          <w:szCs w:val="20"/>
        </w:rPr>
      </w:pPr>
    </w:p>
    <w:p w14:paraId="5D2B1426" w14:textId="77777777" w:rsidR="00A42511" w:rsidRDefault="00A42511" w:rsidP="00A42511">
      <w:pPr>
        <w:tabs>
          <w:tab w:val="left" w:pos="284"/>
        </w:tabs>
        <w:spacing w:before="60" w:after="60"/>
        <w:rPr>
          <w:rFonts w:cs="Arial"/>
          <w:sz w:val="20"/>
          <w:szCs w:val="20"/>
        </w:rPr>
      </w:pPr>
    </w:p>
    <w:p w14:paraId="58B0E5F9" w14:textId="77777777" w:rsidR="00A42511" w:rsidRDefault="00A42511" w:rsidP="00A42511">
      <w:pPr>
        <w:spacing w:after="200"/>
        <w:rPr>
          <w:rFonts w:cs="Arial"/>
          <w:sz w:val="20"/>
          <w:szCs w:val="20"/>
        </w:rPr>
      </w:pPr>
      <w:r>
        <w:rPr>
          <w:rFonts w:cs="Arial"/>
          <w:sz w:val="20"/>
          <w:szCs w:val="20"/>
        </w:rPr>
        <w:br w:type="page"/>
      </w:r>
    </w:p>
    <w:p w14:paraId="15735814" w14:textId="77777777" w:rsidR="00A42511" w:rsidRDefault="00A42511" w:rsidP="00A42511">
      <w:pPr>
        <w:contextualSpacing/>
        <w:rPr>
          <w:rFonts w:cs="Arial"/>
          <w:b/>
          <w:color w:val="0070C0"/>
        </w:rPr>
      </w:pPr>
      <w:r w:rsidRPr="009B5E19">
        <w:rPr>
          <w:rFonts w:cs="Arial"/>
          <w:b/>
          <w:color w:val="0070C0"/>
        </w:rPr>
        <w:lastRenderedPageBreak/>
        <w:t>Zadavatel MV</w:t>
      </w:r>
    </w:p>
    <w:p w14:paraId="0506A9D9" w14:textId="77777777" w:rsidR="00A42511" w:rsidRPr="008A0DBF" w:rsidRDefault="00A42511" w:rsidP="00A42511">
      <w:pPr>
        <w:contextualSpacing/>
        <w:rPr>
          <w:rFonts w:cs="Arial"/>
          <w:b/>
          <w:color w:val="0070C0"/>
          <w:sz w:val="20"/>
          <w:szCs w:val="20"/>
        </w:rPr>
      </w:pPr>
      <w:r w:rsidRPr="008A0DBF">
        <w:rPr>
          <w:rFonts w:cs="Arial"/>
          <w:b/>
          <w:noProof/>
          <w:sz w:val="20"/>
          <w:szCs w:val="20"/>
          <w:u w:val="single"/>
        </w:rPr>
        <mc:AlternateContent>
          <mc:Choice Requires="wps">
            <w:drawing>
              <wp:anchor distT="0" distB="0" distL="114300" distR="114300" simplePos="0" relativeHeight="251679232" behindDoc="0" locked="0" layoutInCell="1" allowOverlap="1" wp14:anchorId="253F9D4B" wp14:editId="28592FF9">
                <wp:simplePos x="0" y="0"/>
                <wp:positionH relativeFrom="column">
                  <wp:posOffset>13970</wp:posOffset>
                </wp:positionH>
                <wp:positionV relativeFrom="paragraph">
                  <wp:posOffset>107981</wp:posOffset>
                </wp:positionV>
                <wp:extent cx="5821620" cy="2643723"/>
                <wp:effectExtent l="0" t="0" r="27305" b="23495"/>
                <wp:wrapNone/>
                <wp:docPr id="25" name="Obdélník 25"/>
                <wp:cNvGraphicFramePr/>
                <a:graphic xmlns:a="http://schemas.openxmlformats.org/drawingml/2006/main">
                  <a:graphicData uri="http://schemas.microsoft.com/office/word/2010/wordprocessingShape">
                    <wps:wsp>
                      <wps:cNvSpPr/>
                      <wps:spPr>
                        <a:xfrm>
                          <a:off x="0" y="0"/>
                          <a:ext cx="5821620" cy="2643723"/>
                        </a:xfrm>
                        <a:prstGeom prst="rect">
                          <a:avLst/>
                        </a:prstGeom>
                        <a:noFill/>
                        <a:ln w="25400" cap="flat" cmpd="sng" algn="ctr">
                          <a:solidFill>
                            <a:srgbClr val="4F81BD">
                              <a:shade val="50000"/>
                            </a:srgbClr>
                          </a:solidFill>
                          <a:prstDash val="solid"/>
                        </a:ln>
                        <a:effectLst/>
                      </wps:spPr>
                      <wps:txbx>
                        <w:txbxContent>
                          <w:p w14:paraId="1E99E193"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5" o:spid="_x0000_s1034" style="position:absolute;margin-left:1.1pt;margin-top:8.5pt;width:458.4pt;height:208.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" filled="f" strokecolor="#385d8a" strokeweight="2pt">
                <v:textbox>
                  <w:txbxContent>
                    <w:p w14:paraId="1E99E193" w14:textId="77777777" w:rsidR="00E179ED" w:rsidRDefault="00E179ED" w:rsidP="00A42511">
                      <w:pPr>
                        <w:jc w:val="center"/>
                      </w:pPr>
                    </w:p>
                  </w:txbxContent>
                </v:textbox>
              </v:rect>
            </w:pict>
          </mc:Fallback>
        </mc:AlternateContent>
      </w:r>
    </w:p>
    <w:p w14:paraId="6BAE8E3F" w14:textId="77777777" w:rsidR="00A42511" w:rsidRPr="008A0DBF" w:rsidRDefault="00A42511" w:rsidP="00A42511">
      <w:pPr>
        <w:pStyle w:val="Odstavecseseznamem"/>
        <w:numPr>
          <w:ilvl w:val="0"/>
          <w:numId w:val="33"/>
        </w:numPr>
        <w:tabs>
          <w:tab w:val="left" w:pos="426"/>
        </w:tabs>
        <w:spacing w:after="120"/>
        <w:ind w:left="142" w:hanging="62"/>
        <w:jc w:val="both"/>
        <w:rPr>
          <w:rFonts w:cs="Arial"/>
          <w:b/>
          <w:sz w:val="20"/>
          <w:szCs w:val="20"/>
        </w:rPr>
      </w:pPr>
      <w:r w:rsidRPr="008A0DBF">
        <w:rPr>
          <w:rFonts w:cs="Arial"/>
          <w:b/>
          <w:sz w:val="20"/>
          <w:szCs w:val="20"/>
        </w:rPr>
        <w:t>PPS PEGAS</w:t>
      </w:r>
    </w:p>
    <w:p w14:paraId="2293EB5E" w14:textId="77777777" w:rsidR="00A42511" w:rsidRPr="00EE7E55" w:rsidRDefault="00A42511" w:rsidP="00C82357">
      <w:pPr>
        <w:pStyle w:val="Odstavecseseznamem"/>
        <w:numPr>
          <w:ilvl w:val="0"/>
          <w:numId w:val="32"/>
        </w:numPr>
        <w:spacing w:before="60" w:after="60"/>
        <w:ind w:hanging="436"/>
        <w:jc w:val="both"/>
        <w:rPr>
          <w:rFonts w:cs="Arial"/>
          <w:sz w:val="20"/>
          <w:szCs w:val="20"/>
        </w:rPr>
      </w:pPr>
      <w:r w:rsidRPr="002A1C35">
        <w:rPr>
          <w:rFonts w:cs="Arial"/>
          <w:sz w:val="20"/>
          <w:szCs w:val="20"/>
          <w:u w:val="single"/>
        </w:rPr>
        <w:t>Předmět</w:t>
      </w:r>
      <w:r w:rsidRPr="002A1C35">
        <w:rPr>
          <w:rStyle w:val="Znakapoznpodarou"/>
          <w:rFonts w:cs="Arial"/>
          <w:sz w:val="20"/>
          <w:szCs w:val="20"/>
          <w:u w:val="single"/>
        </w:rPr>
        <w:footnoteReference w:id="47"/>
      </w:r>
      <w:r w:rsidRPr="002A1C35">
        <w:rPr>
          <w:rFonts w:cs="Arial"/>
          <w:sz w:val="20"/>
          <w:szCs w:val="20"/>
          <w:u w:val="single"/>
        </w:rPr>
        <w:t>:</w:t>
      </w:r>
      <w:r w:rsidRPr="00EE7E55">
        <w:rPr>
          <w:rFonts w:cs="Arial"/>
          <w:sz w:val="20"/>
          <w:szCs w:val="20"/>
        </w:rPr>
        <w:t xml:space="preserve"> </w:t>
      </w:r>
      <w:r>
        <w:rPr>
          <w:rFonts w:cs="Arial"/>
          <w:sz w:val="20"/>
          <w:szCs w:val="20"/>
        </w:rPr>
        <w:t>dostavba radiokomunikační sítě PEGAS</w:t>
      </w:r>
      <w:r w:rsidRPr="00EE7E55">
        <w:rPr>
          <w:rFonts w:cs="Arial"/>
          <w:i/>
          <w:sz w:val="20"/>
          <w:szCs w:val="20"/>
        </w:rPr>
        <w:t xml:space="preserve"> </w:t>
      </w:r>
      <w:r w:rsidRPr="003F3B06">
        <w:rPr>
          <w:rFonts w:cs="Arial"/>
          <w:sz w:val="20"/>
          <w:szCs w:val="20"/>
        </w:rPr>
        <w:t>včetně dodávky zařízení a služeb</w:t>
      </w:r>
    </w:p>
    <w:p w14:paraId="1FB93EF5" w14:textId="6D79378F" w:rsidR="00A42511" w:rsidRPr="00EE7E55" w:rsidRDefault="00A42511" w:rsidP="00C82357">
      <w:pPr>
        <w:pStyle w:val="Odstavecseseznamem"/>
        <w:numPr>
          <w:ilvl w:val="0"/>
          <w:numId w:val="32"/>
        </w:numPr>
        <w:spacing w:before="60" w:after="60"/>
        <w:ind w:hanging="436"/>
        <w:jc w:val="both"/>
        <w:rPr>
          <w:rFonts w:cs="Arial"/>
          <w:sz w:val="20"/>
          <w:szCs w:val="20"/>
        </w:rPr>
      </w:pPr>
      <w:r w:rsidRPr="002A1C35">
        <w:rPr>
          <w:rFonts w:cs="Arial"/>
          <w:sz w:val="20"/>
          <w:szCs w:val="20"/>
          <w:u w:val="single"/>
        </w:rPr>
        <w:t>Datum oznámení VZ:</w:t>
      </w:r>
      <w:r w:rsidRPr="00EE7E55">
        <w:rPr>
          <w:rFonts w:cs="Arial"/>
          <w:sz w:val="20"/>
          <w:szCs w:val="20"/>
        </w:rPr>
        <w:t xml:space="preserve"> nebylo zjišťováno</w:t>
      </w:r>
    </w:p>
    <w:p w14:paraId="20B0ED43" w14:textId="5E555525" w:rsidR="00A42511" w:rsidRPr="00EE7E55" w:rsidRDefault="00A42511" w:rsidP="00C82357">
      <w:pPr>
        <w:pStyle w:val="Odstavecseseznamem"/>
        <w:numPr>
          <w:ilvl w:val="0"/>
          <w:numId w:val="32"/>
        </w:numPr>
        <w:spacing w:before="60" w:after="60"/>
        <w:ind w:hanging="436"/>
        <w:jc w:val="both"/>
        <w:rPr>
          <w:rFonts w:cs="Arial"/>
          <w:sz w:val="20"/>
          <w:szCs w:val="20"/>
        </w:rPr>
      </w:pPr>
      <w:r w:rsidRPr="002A1C35">
        <w:rPr>
          <w:rFonts w:cs="Arial"/>
          <w:sz w:val="20"/>
          <w:szCs w:val="20"/>
          <w:u w:val="single"/>
        </w:rPr>
        <w:t xml:space="preserve">Základní </w:t>
      </w:r>
      <w:r w:rsidR="006361E8">
        <w:rPr>
          <w:rFonts w:cs="Arial"/>
          <w:sz w:val="20"/>
          <w:szCs w:val="20"/>
          <w:u w:val="single"/>
        </w:rPr>
        <w:t>hodnoticí</w:t>
      </w:r>
      <w:r w:rsidRPr="002A1C35">
        <w:rPr>
          <w:rFonts w:cs="Arial"/>
          <w:sz w:val="20"/>
          <w:szCs w:val="20"/>
          <w:u w:val="single"/>
        </w:rPr>
        <w:t xml:space="preserve"> kritéria:</w:t>
      </w:r>
      <w:r w:rsidRPr="00EE7E55">
        <w:rPr>
          <w:rFonts w:cs="Arial"/>
          <w:sz w:val="20"/>
          <w:szCs w:val="20"/>
        </w:rPr>
        <w:t xml:space="preserve"> nebylo zjišťováno</w:t>
      </w:r>
    </w:p>
    <w:p w14:paraId="3E8AD5EB" w14:textId="292E76B1" w:rsidR="00A42511" w:rsidRPr="00EE7E55" w:rsidRDefault="00A42511" w:rsidP="00C82357">
      <w:pPr>
        <w:pStyle w:val="Odstavecseseznamem"/>
        <w:numPr>
          <w:ilvl w:val="0"/>
          <w:numId w:val="32"/>
        </w:numPr>
        <w:spacing w:before="60" w:after="60"/>
        <w:ind w:hanging="436"/>
        <w:jc w:val="both"/>
        <w:rPr>
          <w:rFonts w:cs="Arial"/>
          <w:sz w:val="20"/>
          <w:szCs w:val="20"/>
        </w:rPr>
      </w:pPr>
      <w:r w:rsidRPr="002A1C35">
        <w:rPr>
          <w:rFonts w:cs="Arial"/>
          <w:sz w:val="20"/>
          <w:szCs w:val="20"/>
          <w:u w:val="single"/>
        </w:rPr>
        <w:t>Datum uzavření smlouvy:</w:t>
      </w:r>
      <w:r w:rsidRPr="00EE7E55">
        <w:rPr>
          <w:sz w:val="20"/>
          <w:szCs w:val="20"/>
        </w:rPr>
        <w:t xml:space="preserve"> 22. 12. 1999 </w:t>
      </w:r>
      <w:r w:rsidR="008A0DBF">
        <w:rPr>
          <w:sz w:val="20"/>
          <w:szCs w:val="20"/>
        </w:rPr>
        <w:t>d</w:t>
      </w:r>
      <w:r w:rsidRPr="00EE7E55">
        <w:rPr>
          <w:sz w:val="20"/>
          <w:szCs w:val="20"/>
        </w:rPr>
        <w:t xml:space="preserve">odatek č. 3 </w:t>
      </w:r>
      <w:r w:rsidRPr="008A0DBF">
        <w:rPr>
          <w:i/>
          <w:sz w:val="20"/>
          <w:szCs w:val="20"/>
        </w:rPr>
        <w:t>Generální dohody</w:t>
      </w:r>
      <w:r>
        <w:rPr>
          <w:sz w:val="20"/>
          <w:szCs w:val="20"/>
        </w:rPr>
        <w:t xml:space="preserve"> </w:t>
      </w:r>
      <w:r w:rsidRPr="00EE7E55">
        <w:rPr>
          <w:rFonts w:cs="Arial"/>
          <w:i/>
          <w:sz w:val="20"/>
          <w:szCs w:val="20"/>
        </w:rPr>
        <w:t>o vzájemných pravidlech a o všeobecných dodacích podmínkách dodávek při postupném zavedení národního systému VKV radiových sítí založených na technologii MATRACOM 9600</w:t>
      </w:r>
      <w:r w:rsidRPr="00EE7E55">
        <w:rPr>
          <w:rFonts w:cs="Arial"/>
          <w:sz w:val="20"/>
          <w:szCs w:val="20"/>
        </w:rPr>
        <w:t xml:space="preserve"> </w:t>
      </w:r>
      <w:r w:rsidRPr="00EE7E55">
        <w:rPr>
          <w:rFonts w:cs="Arial"/>
          <w:i/>
          <w:sz w:val="20"/>
          <w:szCs w:val="20"/>
        </w:rPr>
        <w:t>ze dne 30. 6. 1994</w:t>
      </w:r>
      <w:r w:rsidRPr="00EE7E55">
        <w:rPr>
          <w:rFonts w:cs="Arial"/>
          <w:sz w:val="20"/>
          <w:szCs w:val="20"/>
        </w:rPr>
        <w:t xml:space="preserve"> (dále jen „Generální dohoda“)</w:t>
      </w:r>
      <w:r w:rsidRPr="00EE7E55">
        <w:rPr>
          <w:sz w:val="20"/>
          <w:szCs w:val="20"/>
        </w:rPr>
        <w:t xml:space="preserve"> </w:t>
      </w:r>
    </w:p>
    <w:p w14:paraId="6F3D6326" w14:textId="2178579D" w:rsidR="00A42511" w:rsidRPr="00EE7E55" w:rsidRDefault="00A42511" w:rsidP="00C82357">
      <w:pPr>
        <w:pStyle w:val="Odstavecseseznamem"/>
        <w:spacing w:before="60" w:after="60"/>
        <w:ind w:firstLine="1"/>
        <w:rPr>
          <w:sz w:val="20"/>
          <w:szCs w:val="20"/>
        </w:rPr>
      </w:pPr>
      <w:r w:rsidRPr="00EE7E55">
        <w:rPr>
          <w:sz w:val="20"/>
          <w:szCs w:val="20"/>
        </w:rPr>
        <w:t xml:space="preserve">Počet navazujících dodatků: 12 (dodatek </w:t>
      </w:r>
      <w:r>
        <w:rPr>
          <w:sz w:val="20"/>
          <w:szCs w:val="20"/>
        </w:rPr>
        <w:t>č. 3 až č. 15 Generální dohody)</w:t>
      </w:r>
    </w:p>
    <w:p w14:paraId="21118D49" w14:textId="77777777" w:rsidR="00A42511" w:rsidRPr="001C735A" w:rsidRDefault="00A42511" w:rsidP="00C82357">
      <w:pPr>
        <w:pStyle w:val="Odstavecseseznamem"/>
        <w:numPr>
          <w:ilvl w:val="0"/>
          <w:numId w:val="32"/>
        </w:numPr>
        <w:spacing w:before="60" w:after="60"/>
        <w:ind w:hanging="436"/>
        <w:jc w:val="both"/>
        <w:rPr>
          <w:rFonts w:cs="Arial"/>
          <w:color w:val="000000"/>
          <w:sz w:val="20"/>
          <w:szCs w:val="20"/>
        </w:rPr>
      </w:pPr>
      <w:r w:rsidRPr="001C735A">
        <w:rPr>
          <w:sz w:val="20"/>
          <w:szCs w:val="20"/>
          <w:u w:val="single"/>
        </w:rPr>
        <w:t>Cena:</w:t>
      </w:r>
      <w:r w:rsidRPr="001C735A">
        <w:rPr>
          <w:sz w:val="20"/>
          <w:szCs w:val="20"/>
        </w:rPr>
        <w:t xml:space="preserve"> 3 922 000 000 Kč vč. DPH; </w:t>
      </w:r>
      <w:r>
        <w:rPr>
          <w:sz w:val="20"/>
          <w:szCs w:val="20"/>
        </w:rPr>
        <w:t>c</w:t>
      </w:r>
      <w:r w:rsidRPr="001C735A">
        <w:rPr>
          <w:sz w:val="20"/>
          <w:szCs w:val="20"/>
        </w:rPr>
        <w:t xml:space="preserve">ena včetně dodatků: </w:t>
      </w:r>
      <w:r>
        <w:rPr>
          <w:rFonts w:cs="Arial"/>
          <w:color w:val="000000"/>
          <w:sz w:val="20"/>
          <w:szCs w:val="20"/>
        </w:rPr>
        <w:t>5 256 000 000 Kč vč. DPH</w:t>
      </w:r>
    </w:p>
    <w:p w14:paraId="3965F353" w14:textId="77777777" w:rsidR="00A42511" w:rsidRPr="00210CD5" w:rsidRDefault="00A42511" w:rsidP="00C82357">
      <w:pPr>
        <w:pStyle w:val="Odstavecseseznamem"/>
        <w:numPr>
          <w:ilvl w:val="0"/>
          <w:numId w:val="32"/>
        </w:numPr>
        <w:spacing w:after="60"/>
        <w:ind w:hanging="436"/>
        <w:jc w:val="both"/>
        <w:rPr>
          <w:rFonts w:cs="Arial"/>
          <w:sz w:val="20"/>
          <w:szCs w:val="20"/>
        </w:rPr>
      </w:pPr>
      <w:r>
        <w:rPr>
          <w:rFonts w:cs="Arial"/>
          <w:color w:val="000000"/>
          <w:sz w:val="20"/>
          <w:szCs w:val="20"/>
          <w:u w:val="single"/>
        </w:rPr>
        <w:t>P</w:t>
      </w:r>
      <w:r w:rsidRPr="002A1C35">
        <w:rPr>
          <w:rFonts w:cs="Arial"/>
          <w:color w:val="000000"/>
          <w:sz w:val="20"/>
          <w:szCs w:val="20"/>
          <w:u w:val="single"/>
        </w:rPr>
        <w:t>ředmět plnění</w:t>
      </w:r>
      <w:r>
        <w:rPr>
          <w:rFonts w:cs="Arial"/>
          <w:color w:val="000000"/>
          <w:sz w:val="20"/>
          <w:szCs w:val="20"/>
          <w:u w:val="single"/>
        </w:rPr>
        <w:t xml:space="preserve"> dle smlouvy</w:t>
      </w:r>
      <w:r w:rsidRPr="002A1C35">
        <w:rPr>
          <w:rFonts w:cs="Arial"/>
          <w:color w:val="000000"/>
          <w:sz w:val="20"/>
          <w:szCs w:val="20"/>
          <w:u w:val="single"/>
        </w:rPr>
        <w:t>:</w:t>
      </w:r>
      <w:r w:rsidRPr="00EE7E55">
        <w:rPr>
          <w:rFonts w:cs="Arial"/>
          <w:color w:val="000000"/>
          <w:sz w:val="20"/>
          <w:szCs w:val="20"/>
        </w:rPr>
        <w:t xml:space="preserve"> </w:t>
      </w:r>
      <w:r>
        <w:rPr>
          <w:rFonts w:cs="Arial"/>
          <w:color w:val="000000"/>
          <w:sz w:val="20"/>
          <w:szCs w:val="20"/>
        </w:rPr>
        <w:t xml:space="preserve">dostavba </w:t>
      </w:r>
      <w:r w:rsidRPr="00EE7E55">
        <w:rPr>
          <w:rFonts w:cs="Arial"/>
          <w:b/>
          <w:color w:val="000000"/>
          <w:sz w:val="20"/>
          <w:szCs w:val="20"/>
        </w:rPr>
        <w:t>r</w:t>
      </w:r>
      <w:r>
        <w:rPr>
          <w:rFonts w:cs="Arial"/>
          <w:b/>
          <w:sz w:val="20"/>
          <w:szCs w:val="20"/>
        </w:rPr>
        <w:t>adiokomunikační sítě</w:t>
      </w:r>
      <w:r w:rsidRPr="00EE7E55">
        <w:rPr>
          <w:rFonts w:cs="Arial"/>
          <w:b/>
          <w:sz w:val="20"/>
          <w:szCs w:val="20"/>
        </w:rPr>
        <w:t xml:space="preserve"> P</w:t>
      </w:r>
      <w:r>
        <w:rPr>
          <w:rFonts w:cs="Arial"/>
          <w:b/>
          <w:sz w:val="20"/>
          <w:szCs w:val="20"/>
        </w:rPr>
        <w:t>EGAS</w:t>
      </w:r>
      <w:r w:rsidRPr="00EE7E55">
        <w:rPr>
          <w:rFonts w:cs="Arial"/>
          <w:b/>
          <w:sz w:val="20"/>
          <w:szCs w:val="20"/>
        </w:rPr>
        <w:t xml:space="preserve"> </w:t>
      </w:r>
      <w:r w:rsidRPr="00EE7E55">
        <w:rPr>
          <w:rFonts w:cs="Arial"/>
          <w:sz w:val="20"/>
          <w:szCs w:val="20"/>
        </w:rPr>
        <w:t xml:space="preserve">včetně souvisejících </w:t>
      </w:r>
      <w:r w:rsidRPr="00E54AAC">
        <w:rPr>
          <w:rFonts w:cs="Arial"/>
          <w:sz w:val="20"/>
          <w:szCs w:val="20"/>
        </w:rPr>
        <w:t>dodávek zařízení a služeb</w:t>
      </w:r>
    </w:p>
    <w:p w14:paraId="17348DC6" w14:textId="77777777" w:rsidR="00A42511" w:rsidRPr="00C82357" w:rsidRDefault="00A42511" w:rsidP="00C82357">
      <w:pPr>
        <w:pStyle w:val="Odstavecseseznamem"/>
        <w:numPr>
          <w:ilvl w:val="0"/>
          <w:numId w:val="32"/>
        </w:numPr>
        <w:spacing w:after="60"/>
        <w:ind w:hanging="436"/>
        <w:jc w:val="both"/>
        <w:rPr>
          <w:rStyle w:val="Znakapoznpodarou"/>
          <w:rFonts w:cs="Arial"/>
          <w:sz w:val="20"/>
          <w:szCs w:val="20"/>
          <w:vertAlign w:val="baseline"/>
        </w:rPr>
      </w:pPr>
      <w:r>
        <w:rPr>
          <w:rFonts w:cs="Arial"/>
          <w:color w:val="000000"/>
          <w:sz w:val="20"/>
          <w:szCs w:val="20"/>
          <w:u w:val="single"/>
        </w:rPr>
        <w:t>Uzavření offsetové dohody se zahraničním dodavatelem:</w:t>
      </w:r>
      <w:r w:rsidRPr="004A79EC">
        <w:rPr>
          <w:rFonts w:cs="Arial"/>
          <w:color w:val="000000"/>
          <w:sz w:val="20"/>
          <w:szCs w:val="20"/>
        </w:rPr>
        <w:t xml:space="preserve"> </w:t>
      </w:r>
      <w:r w:rsidRPr="00B1243F">
        <w:rPr>
          <w:rStyle w:val="Znakapoznpodarou"/>
          <w:rFonts w:cs="Arial"/>
          <w:color w:val="000000"/>
          <w:sz w:val="20"/>
          <w:szCs w:val="20"/>
          <w:vertAlign w:val="baseline"/>
        </w:rPr>
        <w:t>ANO</w:t>
      </w:r>
    </w:p>
    <w:p w14:paraId="562F9781" w14:textId="77777777" w:rsidR="00A42511" w:rsidRPr="00EE7E55" w:rsidRDefault="00A42511" w:rsidP="00C82357">
      <w:pPr>
        <w:pStyle w:val="Odstavecseseznamem"/>
        <w:numPr>
          <w:ilvl w:val="0"/>
          <w:numId w:val="32"/>
        </w:numPr>
        <w:spacing w:before="60"/>
        <w:ind w:hanging="436"/>
        <w:jc w:val="both"/>
        <w:rPr>
          <w:rFonts w:cs="Arial"/>
          <w:sz w:val="20"/>
          <w:szCs w:val="20"/>
        </w:rPr>
      </w:pPr>
      <w:r>
        <w:rPr>
          <w:rFonts w:cs="Arial"/>
          <w:color w:val="000000"/>
          <w:sz w:val="20"/>
          <w:szCs w:val="20"/>
          <w:u w:val="single"/>
        </w:rPr>
        <w:t>Výše offsetového závazku:</w:t>
      </w:r>
      <w:r>
        <w:rPr>
          <w:rFonts w:cs="Arial"/>
          <w:sz w:val="20"/>
          <w:szCs w:val="20"/>
        </w:rPr>
        <w:t xml:space="preserve"> 30 % ceny zahraničních dodávek</w:t>
      </w:r>
    </w:p>
    <w:p w14:paraId="3C70791C" w14:textId="77777777" w:rsidR="008A0DBF" w:rsidRDefault="008A0DBF" w:rsidP="00A42511">
      <w:pPr>
        <w:pStyle w:val="Odstavecseseznamem"/>
        <w:spacing w:after="60"/>
        <w:ind w:left="720"/>
        <w:rPr>
          <w:rFonts w:cs="Arial"/>
          <w:color w:val="000000"/>
          <w:sz w:val="20"/>
          <w:szCs w:val="20"/>
          <w:u w:val="single"/>
        </w:rPr>
      </w:pPr>
    </w:p>
    <w:p w14:paraId="370307D8" w14:textId="77777777" w:rsidR="00A42511" w:rsidRPr="008A0DBF" w:rsidRDefault="00A42511" w:rsidP="00A42511">
      <w:pPr>
        <w:pStyle w:val="Odstavecseseznamem"/>
        <w:numPr>
          <w:ilvl w:val="0"/>
          <w:numId w:val="33"/>
        </w:numPr>
        <w:spacing w:before="480" w:after="120"/>
        <w:jc w:val="both"/>
        <w:rPr>
          <w:rFonts w:cs="Arial"/>
          <w:b/>
          <w:sz w:val="20"/>
          <w:szCs w:val="20"/>
        </w:rPr>
      </w:pPr>
      <w:r w:rsidRPr="008A0DBF">
        <w:rPr>
          <w:rFonts w:cs="Arial"/>
          <w:b/>
          <w:noProof/>
          <w:sz w:val="20"/>
          <w:szCs w:val="20"/>
          <w:u w:val="single"/>
        </w:rPr>
        <mc:AlternateContent>
          <mc:Choice Requires="wps">
            <w:drawing>
              <wp:anchor distT="0" distB="0" distL="114300" distR="114300" simplePos="0" relativeHeight="251680256" behindDoc="0" locked="0" layoutInCell="1" allowOverlap="1" wp14:anchorId="5EF8FEF5" wp14:editId="1159D93E">
                <wp:simplePos x="0" y="0"/>
                <wp:positionH relativeFrom="column">
                  <wp:posOffset>14605</wp:posOffset>
                </wp:positionH>
                <wp:positionV relativeFrom="paragraph">
                  <wp:posOffset>239754</wp:posOffset>
                </wp:positionV>
                <wp:extent cx="5821620" cy="2656936"/>
                <wp:effectExtent l="0" t="0" r="27305" b="10160"/>
                <wp:wrapNone/>
                <wp:docPr id="26" name="Obdélník 26"/>
                <wp:cNvGraphicFramePr/>
                <a:graphic xmlns:a="http://schemas.openxmlformats.org/drawingml/2006/main">
                  <a:graphicData uri="http://schemas.microsoft.com/office/word/2010/wordprocessingShape">
                    <wps:wsp>
                      <wps:cNvSpPr/>
                      <wps:spPr>
                        <a:xfrm>
                          <a:off x="0" y="0"/>
                          <a:ext cx="5821620" cy="2656936"/>
                        </a:xfrm>
                        <a:prstGeom prst="rect">
                          <a:avLst/>
                        </a:prstGeom>
                        <a:noFill/>
                        <a:ln w="25400" cap="flat" cmpd="sng" algn="ctr">
                          <a:solidFill>
                            <a:srgbClr val="4F81BD">
                              <a:shade val="50000"/>
                            </a:srgbClr>
                          </a:solidFill>
                          <a:prstDash val="solid"/>
                        </a:ln>
                        <a:effectLst/>
                      </wps:spPr>
                      <wps:txbx>
                        <w:txbxContent>
                          <w:p w14:paraId="1FA460EC" w14:textId="77777777" w:rsidR="00616A80" w:rsidRDefault="00616A80" w:rsidP="00A42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6" o:spid="_x0000_s1035" style="position:absolute;left:0;text-align:left;margin-left:1.15pt;margin-top:18.9pt;width:458.4pt;height:209.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" filled="f" strokecolor="#385d8a" strokeweight="2pt">
                <v:textbox>
                  <w:txbxContent>
                    <w:p w14:paraId="1FA460EC" w14:textId="77777777" w:rsidR="00613346" w:rsidRDefault="00613346" w:rsidP="00A42511">
                      <w:pPr>
                        <w:jc w:val="center"/>
                      </w:pPr>
                    </w:p>
                  </w:txbxContent>
                </v:textbox>
              </v:rect>
            </w:pict>
          </mc:Fallback>
        </mc:AlternateContent>
      </w:r>
      <w:r w:rsidRPr="008A0DBF">
        <w:rPr>
          <w:rFonts w:cs="Arial"/>
          <w:b/>
          <w:sz w:val="20"/>
          <w:szCs w:val="20"/>
        </w:rPr>
        <w:t>PPS EUROCOPTER</w:t>
      </w:r>
    </w:p>
    <w:p w14:paraId="0A50B347" w14:textId="70949115" w:rsidR="00A42511" w:rsidRPr="008A0DBF" w:rsidRDefault="00A42511" w:rsidP="00210CD5">
      <w:pPr>
        <w:pStyle w:val="Odstavecseseznamem"/>
        <w:numPr>
          <w:ilvl w:val="0"/>
          <w:numId w:val="47"/>
        </w:numPr>
        <w:spacing w:before="60" w:after="60"/>
        <w:ind w:hanging="436"/>
        <w:jc w:val="both"/>
        <w:rPr>
          <w:rFonts w:cs="Arial"/>
          <w:sz w:val="20"/>
          <w:szCs w:val="20"/>
        </w:rPr>
      </w:pPr>
      <w:r w:rsidRPr="008A0DBF">
        <w:rPr>
          <w:rFonts w:cs="Arial"/>
          <w:sz w:val="20"/>
          <w:szCs w:val="20"/>
          <w:u w:val="single"/>
        </w:rPr>
        <w:t>Předmět VZ zkráceně:</w:t>
      </w:r>
      <w:r w:rsidRPr="008A0DBF">
        <w:rPr>
          <w:rFonts w:cs="Arial"/>
          <w:sz w:val="20"/>
          <w:szCs w:val="20"/>
        </w:rPr>
        <w:t xml:space="preserve"> </w:t>
      </w:r>
      <w:r w:rsidR="006361E8" w:rsidRPr="008A0DBF">
        <w:rPr>
          <w:rFonts w:cs="Arial"/>
          <w:sz w:val="20"/>
          <w:szCs w:val="20"/>
        </w:rPr>
        <w:t>d</w:t>
      </w:r>
      <w:r w:rsidRPr="008A0DBF">
        <w:rPr>
          <w:rFonts w:cs="Arial"/>
          <w:sz w:val="20"/>
          <w:szCs w:val="20"/>
        </w:rPr>
        <w:t xml:space="preserve">odávka vrtulníků pro Integrovaný záchranný systém České republiky </w:t>
      </w:r>
    </w:p>
    <w:p w14:paraId="54FA5B0C" w14:textId="77777777" w:rsidR="00A42511" w:rsidRPr="008A0DBF" w:rsidRDefault="00A42511" w:rsidP="00210CD5">
      <w:pPr>
        <w:pStyle w:val="Odstavecseseznamem"/>
        <w:numPr>
          <w:ilvl w:val="0"/>
          <w:numId w:val="47"/>
        </w:numPr>
        <w:spacing w:before="60" w:after="60"/>
        <w:ind w:hanging="436"/>
        <w:jc w:val="both"/>
        <w:rPr>
          <w:rFonts w:cs="Arial"/>
          <w:sz w:val="20"/>
          <w:szCs w:val="20"/>
        </w:rPr>
      </w:pPr>
      <w:r w:rsidRPr="008A0DBF">
        <w:rPr>
          <w:rFonts w:cs="Arial"/>
          <w:sz w:val="20"/>
          <w:szCs w:val="20"/>
          <w:u w:val="single"/>
        </w:rPr>
        <w:t>Datum oznámení VZ:</w:t>
      </w:r>
      <w:r w:rsidRPr="008A0DBF">
        <w:rPr>
          <w:sz w:val="20"/>
          <w:szCs w:val="20"/>
        </w:rPr>
        <w:t xml:space="preserve"> </w:t>
      </w:r>
      <w:r w:rsidRPr="008A0DBF">
        <w:rPr>
          <w:rFonts w:cs="Arial"/>
          <w:sz w:val="20"/>
          <w:szCs w:val="20"/>
        </w:rPr>
        <w:t>10. 7. 2002</w:t>
      </w:r>
    </w:p>
    <w:p w14:paraId="2383B44D" w14:textId="5CDB1027" w:rsidR="00A42511" w:rsidRPr="008A0DBF" w:rsidRDefault="00A42511" w:rsidP="00210CD5">
      <w:pPr>
        <w:pStyle w:val="Odstavecseseznamem"/>
        <w:numPr>
          <w:ilvl w:val="0"/>
          <w:numId w:val="47"/>
        </w:numPr>
        <w:spacing w:before="60" w:after="60"/>
        <w:ind w:hanging="436"/>
        <w:jc w:val="both"/>
        <w:rPr>
          <w:rFonts w:cs="Arial"/>
          <w:sz w:val="20"/>
          <w:szCs w:val="20"/>
        </w:rPr>
      </w:pPr>
      <w:r w:rsidRPr="008A0DBF">
        <w:rPr>
          <w:rFonts w:cs="Arial"/>
          <w:sz w:val="20"/>
          <w:szCs w:val="20"/>
          <w:u w:val="single"/>
        </w:rPr>
        <w:t xml:space="preserve">Základní </w:t>
      </w:r>
      <w:r w:rsidR="006361E8" w:rsidRPr="008A0DBF">
        <w:rPr>
          <w:rFonts w:cs="Arial"/>
          <w:sz w:val="20"/>
          <w:szCs w:val="20"/>
          <w:u w:val="single"/>
        </w:rPr>
        <w:t>hodnoticí</w:t>
      </w:r>
      <w:r w:rsidRPr="008A0DBF">
        <w:rPr>
          <w:rFonts w:cs="Arial"/>
          <w:sz w:val="20"/>
          <w:szCs w:val="20"/>
          <w:u w:val="single"/>
        </w:rPr>
        <w:t xml:space="preserve"> kritéria:</w:t>
      </w:r>
      <w:r w:rsidRPr="008A0DBF">
        <w:rPr>
          <w:rFonts w:cs="Arial"/>
          <w:sz w:val="20"/>
          <w:szCs w:val="20"/>
        </w:rPr>
        <w:t xml:space="preserve"> výše nabídkové ceny s vahou 0,25; funkční charakteristiky vrtulníku s vahou 0,22; technické charakteristiky vrtulníku s vahou 0,21; provozní náklady a požadavky na údržbu s vahou 0,19; hodnota offsetového programu s vahou 0,08; výcvik personálu s vahou 0,03; ekologické parametry s vahou 0,02.</w:t>
      </w:r>
    </w:p>
    <w:p w14:paraId="0EA8B8C1" w14:textId="77777777" w:rsidR="00A42511" w:rsidRPr="008A0DBF" w:rsidRDefault="00A42511" w:rsidP="00210CD5">
      <w:pPr>
        <w:pStyle w:val="Odstavecseseznamem"/>
        <w:numPr>
          <w:ilvl w:val="0"/>
          <w:numId w:val="47"/>
        </w:numPr>
        <w:spacing w:before="60" w:after="60"/>
        <w:ind w:hanging="436"/>
        <w:jc w:val="both"/>
        <w:rPr>
          <w:rFonts w:cs="Arial"/>
          <w:sz w:val="20"/>
          <w:szCs w:val="20"/>
        </w:rPr>
      </w:pPr>
      <w:r w:rsidRPr="008A0DBF">
        <w:rPr>
          <w:rFonts w:cs="Arial"/>
          <w:sz w:val="20"/>
          <w:szCs w:val="20"/>
          <w:u w:val="single"/>
        </w:rPr>
        <w:t>Datum uzavření smlouvy:</w:t>
      </w:r>
      <w:r w:rsidRPr="008A0DBF">
        <w:rPr>
          <w:rFonts w:cs="Arial"/>
          <w:sz w:val="20"/>
          <w:szCs w:val="20"/>
        </w:rPr>
        <w:t xml:space="preserve"> 29. 8. 2003</w:t>
      </w:r>
    </w:p>
    <w:p w14:paraId="79C4823A" w14:textId="77777777" w:rsidR="00A42511" w:rsidRPr="008A0DBF" w:rsidRDefault="00A42511" w:rsidP="00C82357">
      <w:pPr>
        <w:spacing w:before="60" w:after="60"/>
        <w:ind w:left="709"/>
        <w:rPr>
          <w:rFonts w:cs="Arial"/>
          <w:sz w:val="20"/>
          <w:szCs w:val="20"/>
        </w:rPr>
      </w:pPr>
      <w:r w:rsidRPr="008A0DBF">
        <w:rPr>
          <w:rFonts w:cs="Arial"/>
          <w:sz w:val="20"/>
          <w:szCs w:val="20"/>
        </w:rPr>
        <w:t>Počet navazujících dodatků: 24</w:t>
      </w:r>
    </w:p>
    <w:p w14:paraId="02C4DB2B" w14:textId="7B8E5C01" w:rsidR="00A42511" w:rsidRPr="008A0DBF" w:rsidRDefault="00A42511" w:rsidP="00C82357">
      <w:pPr>
        <w:pStyle w:val="Odstavecseseznamem"/>
        <w:numPr>
          <w:ilvl w:val="0"/>
          <w:numId w:val="47"/>
        </w:numPr>
        <w:spacing w:before="60" w:after="60"/>
        <w:ind w:hanging="436"/>
        <w:jc w:val="both"/>
        <w:rPr>
          <w:rFonts w:cs="Arial"/>
          <w:sz w:val="20"/>
          <w:szCs w:val="20"/>
        </w:rPr>
      </w:pPr>
      <w:r w:rsidRPr="008A0DBF">
        <w:rPr>
          <w:rFonts w:cs="Arial"/>
          <w:sz w:val="20"/>
          <w:szCs w:val="20"/>
          <w:u w:val="single"/>
        </w:rPr>
        <w:t>Cena:</w:t>
      </w:r>
      <w:r w:rsidRPr="008A0DBF">
        <w:rPr>
          <w:rFonts w:cs="Arial"/>
          <w:sz w:val="20"/>
          <w:szCs w:val="20"/>
        </w:rPr>
        <w:t xml:space="preserve"> 1 441 454 127 Kč vč. DPH; cena včetně dodatků: 1 392 912 625,89 Kč</w:t>
      </w:r>
      <w:r w:rsidRPr="008A0DBF">
        <w:rPr>
          <w:sz w:val="20"/>
          <w:szCs w:val="20"/>
        </w:rPr>
        <w:t xml:space="preserve"> vč. DPH (1</w:t>
      </w:r>
      <w:r w:rsidR="008A0DBF">
        <w:rPr>
          <w:sz w:val="20"/>
          <w:szCs w:val="20"/>
        </w:rPr>
        <w:t> </w:t>
      </w:r>
      <w:r w:rsidRPr="008A0DBF">
        <w:rPr>
          <w:sz w:val="20"/>
          <w:szCs w:val="20"/>
        </w:rPr>
        <w:t>167</w:t>
      </w:r>
      <w:r w:rsidR="008A0DBF">
        <w:rPr>
          <w:sz w:val="20"/>
          <w:szCs w:val="20"/>
        </w:rPr>
        <w:t> </w:t>
      </w:r>
      <w:r w:rsidRPr="008A0DBF">
        <w:rPr>
          <w:sz w:val="20"/>
          <w:szCs w:val="20"/>
        </w:rPr>
        <w:t>709 524,51 Kč bez DPH)</w:t>
      </w:r>
      <w:r w:rsidRPr="008A0DBF">
        <w:rPr>
          <w:rStyle w:val="Znakapoznpodarou"/>
          <w:sz w:val="20"/>
          <w:szCs w:val="20"/>
        </w:rPr>
        <w:footnoteReference w:id="48"/>
      </w:r>
      <w:r w:rsidRPr="008A0DBF">
        <w:rPr>
          <w:rFonts w:cs="Arial"/>
          <w:sz w:val="20"/>
          <w:szCs w:val="20"/>
        </w:rPr>
        <w:t xml:space="preserve"> </w:t>
      </w:r>
    </w:p>
    <w:p w14:paraId="5518A9E8" w14:textId="77777777" w:rsidR="00A42511" w:rsidRPr="008A0DBF" w:rsidRDefault="00A42511" w:rsidP="00C82357">
      <w:pPr>
        <w:pStyle w:val="Odstavecseseznamem"/>
        <w:numPr>
          <w:ilvl w:val="0"/>
          <w:numId w:val="47"/>
        </w:numPr>
        <w:spacing w:before="60" w:after="60"/>
        <w:ind w:hanging="436"/>
        <w:contextualSpacing/>
        <w:jc w:val="both"/>
        <w:rPr>
          <w:rFonts w:cs="Arial"/>
          <w:sz w:val="20"/>
          <w:szCs w:val="20"/>
        </w:rPr>
      </w:pPr>
      <w:r w:rsidRPr="008A0DBF">
        <w:rPr>
          <w:rFonts w:cs="Arial"/>
          <w:color w:val="000000"/>
          <w:sz w:val="20"/>
          <w:szCs w:val="20"/>
          <w:u w:val="single"/>
        </w:rPr>
        <w:t>Předmět plnění dle smlouvy:</w:t>
      </w:r>
      <w:r w:rsidRPr="008A0DBF">
        <w:rPr>
          <w:rFonts w:cs="Arial"/>
          <w:sz w:val="20"/>
          <w:szCs w:val="20"/>
        </w:rPr>
        <w:t xml:space="preserve"> dodání </w:t>
      </w:r>
      <w:r w:rsidRPr="008A0DBF">
        <w:rPr>
          <w:rFonts w:cs="Arial"/>
          <w:b/>
          <w:sz w:val="20"/>
          <w:szCs w:val="20"/>
        </w:rPr>
        <w:t>vrtulníků EUROCOPTER EC 135 T2</w:t>
      </w:r>
      <w:r w:rsidRPr="008A0DBF">
        <w:rPr>
          <w:rFonts w:cs="Arial"/>
          <w:sz w:val="20"/>
          <w:szCs w:val="20"/>
        </w:rPr>
        <w:t xml:space="preserve"> včetně souvisejících služeb a náhradních dílů</w:t>
      </w:r>
    </w:p>
    <w:p w14:paraId="2E3B0659" w14:textId="77777777" w:rsidR="00A42511" w:rsidRPr="008A0DBF" w:rsidRDefault="00A42511" w:rsidP="00C82357">
      <w:pPr>
        <w:pStyle w:val="Odstavecseseznamem"/>
        <w:numPr>
          <w:ilvl w:val="0"/>
          <w:numId w:val="47"/>
        </w:numPr>
        <w:spacing w:before="60"/>
        <w:ind w:hanging="436"/>
        <w:jc w:val="both"/>
        <w:rPr>
          <w:rFonts w:cs="Arial"/>
          <w:sz w:val="20"/>
          <w:szCs w:val="20"/>
        </w:rPr>
      </w:pPr>
      <w:r w:rsidRPr="008A0DBF">
        <w:rPr>
          <w:rFonts w:cs="Arial"/>
          <w:color w:val="000000"/>
          <w:sz w:val="20"/>
          <w:szCs w:val="20"/>
          <w:u w:val="single"/>
        </w:rPr>
        <w:t>Uzavření offsetové dohody se zahraničním dodavatelem:</w:t>
      </w:r>
      <w:r w:rsidRPr="008A0DBF">
        <w:rPr>
          <w:rFonts w:cs="Arial"/>
          <w:color w:val="000000"/>
          <w:sz w:val="20"/>
          <w:szCs w:val="20"/>
        </w:rPr>
        <w:t xml:space="preserve"> </w:t>
      </w:r>
      <w:r w:rsidRPr="008A0DBF">
        <w:rPr>
          <w:rStyle w:val="Znakapoznpodarou"/>
          <w:rFonts w:cs="Arial"/>
          <w:color w:val="000000"/>
          <w:sz w:val="20"/>
          <w:szCs w:val="20"/>
          <w:vertAlign w:val="baseline"/>
        </w:rPr>
        <w:t>ANO</w:t>
      </w:r>
    </w:p>
    <w:p w14:paraId="296F3F61" w14:textId="77777777" w:rsidR="00A42511" w:rsidRPr="008A0DBF" w:rsidRDefault="00A42511" w:rsidP="00C82357">
      <w:pPr>
        <w:pStyle w:val="Odstavecseseznamem"/>
        <w:numPr>
          <w:ilvl w:val="0"/>
          <w:numId w:val="47"/>
        </w:numPr>
        <w:spacing w:before="60"/>
        <w:ind w:hanging="436"/>
        <w:jc w:val="both"/>
        <w:rPr>
          <w:rFonts w:cs="Arial"/>
          <w:sz w:val="20"/>
          <w:szCs w:val="20"/>
        </w:rPr>
      </w:pPr>
      <w:r w:rsidRPr="008A0DBF">
        <w:rPr>
          <w:rFonts w:cs="Arial"/>
          <w:color w:val="000000"/>
          <w:sz w:val="20"/>
          <w:szCs w:val="20"/>
          <w:u w:val="single"/>
        </w:rPr>
        <w:t>Výše offsetového závazku:</w:t>
      </w:r>
      <w:r w:rsidRPr="008A0DBF">
        <w:rPr>
          <w:rFonts w:cs="Arial"/>
          <w:sz w:val="20"/>
          <w:szCs w:val="20"/>
        </w:rPr>
        <w:t xml:space="preserve"> 100 % ceny zahraničních dodávek</w:t>
      </w:r>
    </w:p>
    <w:p w14:paraId="2BDF24D0" w14:textId="77777777" w:rsidR="00A42511" w:rsidRDefault="00A42511" w:rsidP="00C82357">
      <w:pPr>
        <w:ind w:hanging="436"/>
      </w:pPr>
    </w:p>
    <w:p w14:paraId="2A93F85C" w14:textId="77777777" w:rsidR="00A42511" w:rsidRDefault="00A42511" w:rsidP="00A42511">
      <w:pPr>
        <w:rPr>
          <w:b/>
          <w:sz w:val="22"/>
          <w:szCs w:val="22"/>
        </w:rPr>
      </w:pPr>
    </w:p>
    <w:p w14:paraId="64506885" w14:textId="77777777" w:rsidR="00FA53D6" w:rsidRPr="00FA53D6" w:rsidRDefault="00FA53D6" w:rsidP="00A42511">
      <w:pPr>
        <w:rPr>
          <w:b/>
          <w:sz w:val="22"/>
          <w:szCs w:val="22"/>
        </w:rPr>
      </w:pPr>
    </w:p>
    <w:p w14:paraId="09ABAF20" w14:textId="77777777" w:rsidR="00A42511" w:rsidRPr="00FA53D6" w:rsidRDefault="00A42511" w:rsidP="00A42511">
      <w:pPr>
        <w:rPr>
          <w:b/>
          <w:sz w:val="22"/>
          <w:szCs w:val="22"/>
        </w:rPr>
      </w:pPr>
    </w:p>
    <w:p w14:paraId="1A6A1FF7" w14:textId="6CEA4DA9" w:rsidR="00AF7B4C" w:rsidRDefault="00AF7B4C">
      <w:pPr>
        <w:rPr>
          <w:b/>
          <w:sz w:val="22"/>
          <w:szCs w:val="22"/>
        </w:rPr>
      </w:pPr>
      <w:r>
        <w:rPr>
          <w:b/>
          <w:sz w:val="22"/>
          <w:szCs w:val="22"/>
        </w:rPr>
        <w:br w:type="page"/>
      </w:r>
    </w:p>
    <w:p w14:paraId="73B23AB0" w14:textId="7EC9CA35" w:rsidR="00A42511" w:rsidRPr="00AF7B4C" w:rsidRDefault="00AF7B4C" w:rsidP="00AF7B4C">
      <w:pPr>
        <w:jc w:val="right"/>
        <w:rPr>
          <w:sz w:val="22"/>
          <w:szCs w:val="22"/>
        </w:rPr>
      </w:pPr>
      <w:r w:rsidRPr="00AF7B4C">
        <w:rPr>
          <w:sz w:val="22"/>
          <w:szCs w:val="22"/>
        </w:rPr>
        <w:lastRenderedPageBreak/>
        <w:t>Příloha č. 4</w:t>
      </w:r>
    </w:p>
    <w:p w14:paraId="17825A2A" w14:textId="77777777" w:rsidR="00AF7B4C" w:rsidRDefault="00AF7B4C" w:rsidP="00A42511">
      <w:pPr>
        <w:rPr>
          <w:b/>
          <w:sz w:val="22"/>
          <w:szCs w:val="22"/>
        </w:rPr>
      </w:pPr>
    </w:p>
    <w:p w14:paraId="1E5F4200" w14:textId="66101FA5" w:rsidR="00AF7B4C" w:rsidRDefault="00AF7B4C" w:rsidP="00A42511">
      <w:pPr>
        <w:rPr>
          <w:b/>
          <w:sz w:val="22"/>
          <w:szCs w:val="22"/>
        </w:rPr>
      </w:pPr>
      <w:r>
        <w:rPr>
          <w:b/>
          <w:sz w:val="22"/>
          <w:szCs w:val="22"/>
        </w:rPr>
        <w:t>Seznam zkratek</w:t>
      </w:r>
    </w:p>
    <w:p w14:paraId="139AEDDD" w14:textId="77777777" w:rsidR="00AF7B4C" w:rsidRPr="00AF7B4C" w:rsidRDefault="00AF7B4C" w:rsidP="00A42511">
      <w:pPr>
        <w:rPr>
          <w:sz w:val="22"/>
          <w:szCs w:val="22"/>
        </w:rPr>
      </w:pPr>
    </w:p>
    <w:p w14:paraId="39A3E07F" w14:textId="77777777" w:rsidR="00AF7B4C" w:rsidRDefault="00AF7B4C" w:rsidP="00A42511">
      <w:pPr>
        <w:rPr>
          <w:sz w:val="22"/>
          <w:szCs w:val="22"/>
        </w:rPr>
      </w:pPr>
    </w:p>
    <w:p w14:paraId="1DAC2988" w14:textId="5F79A258" w:rsidR="00AF7B4C" w:rsidRDefault="00AF7B4C" w:rsidP="00AF7B4C">
      <w:pPr>
        <w:tabs>
          <w:tab w:val="left" w:pos="2268"/>
        </w:tabs>
        <w:rPr>
          <w:sz w:val="22"/>
          <w:szCs w:val="22"/>
        </w:rPr>
      </w:pPr>
      <w:r>
        <w:rPr>
          <w:sz w:val="22"/>
          <w:szCs w:val="22"/>
        </w:rPr>
        <w:t>ČR</w:t>
      </w:r>
      <w:r>
        <w:rPr>
          <w:sz w:val="22"/>
          <w:szCs w:val="22"/>
        </w:rPr>
        <w:tab/>
        <w:t>–</w:t>
      </w:r>
      <w:r>
        <w:rPr>
          <w:sz w:val="22"/>
          <w:szCs w:val="22"/>
        </w:rPr>
        <w:tab/>
        <w:t>Česká republika</w:t>
      </w:r>
    </w:p>
    <w:p w14:paraId="70C20737" w14:textId="46E19E8D" w:rsidR="00AF7B4C" w:rsidRDefault="00AF7B4C" w:rsidP="00AF7B4C">
      <w:pPr>
        <w:tabs>
          <w:tab w:val="left" w:pos="2268"/>
        </w:tabs>
        <w:rPr>
          <w:sz w:val="22"/>
          <w:szCs w:val="22"/>
        </w:rPr>
      </w:pPr>
      <w:r>
        <w:rPr>
          <w:sz w:val="22"/>
          <w:szCs w:val="22"/>
        </w:rPr>
        <w:t>EU</w:t>
      </w:r>
      <w:r>
        <w:rPr>
          <w:sz w:val="22"/>
          <w:szCs w:val="22"/>
        </w:rPr>
        <w:tab/>
        <w:t>–</w:t>
      </w:r>
      <w:r>
        <w:rPr>
          <w:sz w:val="22"/>
          <w:szCs w:val="22"/>
        </w:rPr>
        <w:tab/>
        <w:t>Evropská unie</w:t>
      </w:r>
    </w:p>
    <w:p w14:paraId="5E9BCDC0" w14:textId="62ADCAFD" w:rsidR="00AF7B4C" w:rsidRDefault="00AF7B4C" w:rsidP="00AF7B4C">
      <w:pPr>
        <w:tabs>
          <w:tab w:val="left" w:pos="2268"/>
        </w:tabs>
        <w:rPr>
          <w:sz w:val="22"/>
          <w:szCs w:val="22"/>
        </w:rPr>
      </w:pPr>
      <w:r>
        <w:rPr>
          <w:sz w:val="22"/>
          <w:szCs w:val="22"/>
        </w:rPr>
        <w:t>GFŘ</w:t>
      </w:r>
      <w:r>
        <w:rPr>
          <w:sz w:val="22"/>
          <w:szCs w:val="22"/>
        </w:rPr>
        <w:tab/>
        <w:t>–</w:t>
      </w:r>
      <w:r>
        <w:rPr>
          <w:sz w:val="22"/>
          <w:szCs w:val="22"/>
        </w:rPr>
        <w:tab/>
      </w:r>
      <w:r w:rsidR="00E022C8" w:rsidRPr="00B94012">
        <w:rPr>
          <w:rFonts w:cs="Arial"/>
          <w:sz w:val="22"/>
          <w:szCs w:val="22"/>
        </w:rPr>
        <w:t xml:space="preserve">Generální finanční ředitelství </w:t>
      </w:r>
    </w:p>
    <w:p w14:paraId="1A3139DC" w14:textId="27162CE4" w:rsidR="00AF7B4C" w:rsidRDefault="00AF7B4C" w:rsidP="00AF7B4C">
      <w:pPr>
        <w:tabs>
          <w:tab w:val="left" w:pos="2268"/>
        </w:tabs>
        <w:rPr>
          <w:sz w:val="22"/>
          <w:szCs w:val="22"/>
        </w:rPr>
      </w:pPr>
      <w:r>
        <w:rPr>
          <w:sz w:val="22"/>
          <w:szCs w:val="22"/>
        </w:rPr>
        <w:t>GŘC</w:t>
      </w:r>
      <w:r>
        <w:rPr>
          <w:sz w:val="22"/>
          <w:szCs w:val="22"/>
        </w:rPr>
        <w:tab/>
        <w:t>–</w:t>
      </w:r>
      <w:r>
        <w:rPr>
          <w:sz w:val="22"/>
          <w:szCs w:val="22"/>
        </w:rPr>
        <w:tab/>
      </w:r>
      <w:r w:rsidR="00E022C8" w:rsidRPr="00B94012">
        <w:rPr>
          <w:rFonts w:cs="Arial"/>
          <w:sz w:val="22"/>
          <w:szCs w:val="22"/>
        </w:rPr>
        <w:t xml:space="preserve">Generální ředitelství cel </w:t>
      </w:r>
    </w:p>
    <w:p w14:paraId="6D85711B" w14:textId="6BB7D760" w:rsidR="00AF7B4C" w:rsidRDefault="00AF7B4C" w:rsidP="00AF7B4C">
      <w:pPr>
        <w:tabs>
          <w:tab w:val="left" w:pos="2268"/>
        </w:tabs>
        <w:rPr>
          <w:sz w:val="22"/>
          <w:szCs w:val="22"/>
        </w:rPr>
      </w:pPr>
      <w:r>
        <w:rPr>
          <w:sz w:val="22"/>
          <w:szCs w:val="22"/>
        </w:rPr>
        <w:t>MO</w:t>
      </w:r>
      <w:r>
        <w:rPr>
          <w:sz w:val="22"/>
          <w:szCs w:val="22"/>
        </w:rPr>
        <w:tab/>
        <w:t>–</w:t>
      </w:r>
      <w:r>
        <w:rPr>
          <w:sz w:val="22"/>
          <w:szCs w:val="22"/>
        </w:rPr>
        <w:tab/>
      </w:r>
      <w:r w:rsidR="00E022C8" w:rsidRPr="00B94012">
        <w:rPr>
          <w:rFonts w:cs="Arial"/>
          <w:sz w:val="22"/>
          <w:szCs w:val="22"/>
        </w:rPr>
        <w:t xml:space="preserve">Ministerstvo obrany </w:t>
      </w:r>
    </w:p>
    <w:p w14:paraId="3350FDE3" w14:textId="4036DEFB" w:rsidR="00AF7B4C" w:rsidRDefault="00AF7B4C" w:rsidP="00AF7B4C">
      <w:pPr>
        <w:tabs>
          <w:tab w:val="left" w:pos="2268"/>
        </w:tabs>
        <w:rPr>
          <w:sz w:val="22"/>
          <w:szCs w:val="22"/>
        </w:rPr>
      </w:pPr>
      <w:r>
        <w:rPr>
          <w:sz w:val="22"/>
          <w:szCs w:val="22"/>
        </w:rPr>
        <w:t>MPO</w:t>
      </w:r>
      <w:r>
        <w:rPr>
          <w:sz w:val="22"/>
          <w:szCs w:val="22"/>
        </w:rPr>
        <w:tab/>
        <w:t>–</w:t>
      </w:r>
      <w:r>
        <w:rPr>
          <w:sz w:val="22"/>
          <w:szCs w:val="22"/>
        </w:rPr>
        <w:tab/>
      </w:r>
      <w:r w:rsidR="00E022C8" w:rsidRPr="00B94012">
        <w:rPr>
          <w:rFonts w:cs="Arial"/>
          <w:sz w:val="22"/>
          <w:szCs w:val="22"/>
        </w:rPr>
        <w:t xml:space="preserve">Ministerstvo průmyslu a obchodu </w:t>
      </w:r>
    </w:p>
    <w:p w14:paraId="4528C8A7" w14:textId="3665BB9E" w:rsidR="00AF7B4C" w:rsidRDefault="00AF7B4C" w:rsidP="00AF7B4C">
      <w:pPr>
        <w:tabs>
          <w:tab w:val="left" w:pos="2268"/>
        </w:tabs>
        <w:rPr>
          <w:sz w:val="22"/>
          <w:szCs w:val="22"/>
        </w:rPr>
      </w:pPr>
      <w:r>
        <w:rPr>
          <w:sz w:val="22"/>
          <w:szCs w:val="22"/>
        </w:rPr>
        <w:t>MV</w:t>
      </w:r>
      <w:r>
        <w:rPr>
          <w:sz w:val="22"/>
          <w:szCs w:val="22"/>
        </w:rPr>
        <w:tab/>
        <w:t>–</w:t>
      </w:r>
      <w:r w:rsidR="00E022C8">
        <w:rPr>
          <w:sz w:val="22"/>
          <w:szCs w:val="22"/>
        </w:rPr>
        <w:tab/>
      </w:r>
      <w:r w:rsidR="00E022C8" w:rsidRPr="00B94012">
        <w:rPr>
          <w:rFonts w:cs="Arial"/>
          <w:sz w:val="22"/>
          <w:szCs w:val="22"/>
        </w:rPr>
        <w:t xml:space="preserve">Ministerstvo vnitra </w:t>
      </w:r>
    </w:p>
    <w:p w14:paraId="48A68AAE" w14:textId="159BA29A" w:rsidR="00AF7B4C" w:rsidRDefault="00AF7B4C" w:rsidP="00AF7B4C">
      <w:pPr>
        <w:tabs>
          <w:tab w:val="left" w:pos="2268"/>
        </w:tabs>
        <w:rPr>
          <w:sz w:val="22"/>
          <w:szCs w:val="22"/>
        </w:rPr>
      </w:pPr>
      <w:r>
        <w:rPr>
          <w:sz w:val="22"/>
          <w:szCs w:val="22"/>
        </w:rPr>
        <w:t>NKÚ</w:t>
      </w:r>
      <w:r>
        <w:rPr>
          <w:sz w:val="22"/>
          <w:szCs w:val="22"/>
        </w:rPr>
        <w:tab/>
        <w:t>–</w:t>
      </w:r>
      <w:r w:rsidR="00E022C8">
        <w:rPr>
          <w:sz w:val="22"/>
          <w:szCs w:val="22"/>
        </w:rPr>
        <w:tab/>
        <w:t>Nejvyšší kontrolní úřad</w:t>
      </w:r>
    </w:p>
    <w:p w14:paraId="38231126" w14:textId="5E94E068" w:rsidR="00AF7B4C" w:rsidRDefault="00AF7B4C" w:rsidP="00AF7B4C">
      <w:pPr>
        <w:tabs>
          <w:tab w:val="left" w:pos="2268"/>
        </w:tabs>
        <w:rPr>
          <w:sz w:val="22"/>
          <w:szCs w:val="22"/>
        </w:rPr>
      </w:pPr>
      <w:r>
        <w:rPr>
          <w:sz w:val="22"/>
          <w:szCs w:val="22"/>
        </w:rPr>
        <w:t>offsetová dohoda</w:t>
      </w:r>
      <w:r>
        <w:rPr>
          <w:sz w:val="22"/>
          <w:szCs w:val="22"/>
        </w:rPr>
        <w:tab/>
        <w:t>–</w:t>
      </w:r>
      <w:r w:rsidR="00E022C8">
        <w:rPr>
          <w:sz w:val="22"/>
          <w:szCs w:val="22"/>
        </w:rPr>
        <w:tab/>
      </w:r>
      <w:r w:rsidR="00E022C8" w:rsidRPr="00B94012">
        <w:rPr>
          <w:sz w:val="22"/>
          <w:szCs w:val="22"/>
        </w:rPr>
        <w:t>smlouv</w:t>
      </w:r>
      <w:r w:rsidR="00E022C8">
        <w:rPr>
          <w:sz w:val="22"/>
          <w:szCs w:val="22"/>
        </w:rPr>
        <w:t>a</w:t>
      </w:r>
      <w:r w:rsidR="00E022C8" w:rsidRPr="00B94012">
        <w:rPr>
          <w:sz w:val="22"/>
          <w:szCs w:val="22"/>
        </w:rPr>
        <w:t xml:space="preserve"> o</w:t>
      </w:r>
      <w:r w:rsidR="00E022C8">
        <w:rPr>
          <w:sz w:val="22"/>
          <w:szCs w:val="22"/>
        </w:rPr>
        <w:t> </w:t>
      </w:r>
      <w:r w:rsidR="00E022C8" w:rsidRPr="00B94012">
        <w:rPr>
          <w:sz w:val="22"/>
          <w:szCs w:val="22"/>
        </w:rPr>
        <w:t>realizaci programu průmyslové spolupráce</w:t>
      </w:r>
    </w:p>
    <w:p w14:paraId="3455B3C6" w14:textId="7B10CB48" w:rsidR="00AF7B4C" w:rsidRDefault="00AF7B4C" w:rsidP="00AF7B4C">
      <w:pPr>
        <w:tabs>
          <w:tab w:val="left" w:pos="2268"/>
        </w:tabs>
        <w:rPr>
          <w:sz w:val="22"/>
          <w:szCs w:val="22"/>
        </w:rPr>
      </w:pPr>
      <w:r>
        <w:rPr>
          <w:sz w:val="22"/>
          <w:szCs w:val="22"/>
        </w:rPr>
        <w:t>OFK</w:t>
      </w:r>
      <w:r>
        <w:rPr>
          <w:sz w:val="22"/>
          <w:szCs w:val="22"/>
        </w:rPr>
        <w:tab/>
        <w:t>–</w:t>
      </w:r>
      <w:r w:rsidR="00E022C8">
        <w:rPr>
          <w:sz w:val="22"/>
          <w:szCs w:val="22"/>
        </w:rPr>
        <w:tab/>
        <w:t>offsetová komise</w:t>
      </w:r>
    </w:p>
    <w:p w14:paraId="56DE8C05" w14:textId="6CB023FB" w:rsidR="00AF7B4C" w:rsidRDefault="00AF7B4C" w:rsidP="00AF7B4C">
      <w:pPr>
        <w:tabs>
          <w:tab w:val="left" w:pos="2268"/>
        </w:tabs>
        <w:rPr>
          <w:sz w:val="22"/>
          <w:szCs w:val="22"/>
        </w:rPr>
      </w:pPr>
      <w:r>
        <w:rPr>
          <w:sz w:val="22"/>
          <w:szCs w:val="22"/>
        </w:rPr>
        <w:t>OFT</w:t>
      </w:r>
      <w:r>
        <w:rPr>
          <w:sz w:val="22"/>
          <w:szCs w:val="22"/>
        </w:rPr>
        <w:tab/>
        <w:t>–</w:t>
      </w:r>
      <w:r w:rsidR="00E022C8">
        <w:rPr>
          <w:sz w:val="22"/>
          <w:szCs w:val="22"/>
        </w:rPr>
        <w:tab/>
        <w:t>offsetová transakce (příp. offsetové transakce)</w:t>
      </w:r>
    </w:p>
    <w:p w14:paraId="32AE7488" w14:textId="4504B2F0" w:rsidR="00AF7B4C" w:rsidRDefault="00AF7B4C" w:rsidP="00E022C8">
      <w:pPr>
        <w:tabs>
          <w:tab w:val="left" w:pos="2268"/>
        </w:tabs>
        <w:ind w:left="2835" w:hanging="2835"/>
        <w:rPr>
          <w:sz w:val="22"/>
          <w:szCs w:val="22"/>
        </w:rPr>
      </w:pPr>
      <w:r>
        <w:rPr>
          <w:sz w:val="22"/>
          <w:szCs w:val="22"/>
        </w:rPr>
        <w:t>PPS</w:t>
      </w:r>
      <w:r>
        <w:rPr>
          <w:sz w:val="22"/>
          <w:szCs w:val="22"/>
        </w:rPr>
        <w:tab/>
        <w:t>–</w:t>
      </w:r>
      <w:r w:rsidR="00E022C8">
        <w:rPr>
          <w:sz w:val="22"/>
          <w:szCs w:val="22"/>
        </w:rPr>
        <w:tab/>
        <w:t>p</w:t>
      </w:r>
      <w:r w:rsidR="00E022C8" w:rsidRPr="00B94012">
        <w:rPr>
          <w:rFonts w:cs="Arial"/>
          <w:sz w:val="22"/>
          <w:szCs w:val="22"/>
        </w:rPr>
        <w:t xml:space="preserve">rogram průmyslové spolupráce </w:t>
      </w:r>
      <w:r w:rsidR="00E022C8">
        <w:rPr>
          <w:rFonts w:cs="Arial"/>
          <w:sz w:val="22"/>
          <w:szCs w:val="22"/>
        </w:rPr>
        <w:t>(příp. programy průmyslové spolupráce)</w:t>
      </w:r>
    </w:p>
    <w:p w14:paraId="69B961A4" w14:textId="6053A228" w:rsidR="00AF7B4C" w:rsidRPr="002D6D58" w:rsidRDefault="00AF7B4C" w:rsidP="00E022C8">
      <w:pPr>
        <w:tabs>
          <w:tab w:val="left" w:pos="2268"/>
        </w:tabs>
        <w:ind w:left="2835" w:hanging="2835"/>
        <w:rPr>
          <w:sz w:val="22"/>
          <w:szCs w:val="22"/>
        </w:rPr>
      </w:pPr>
      <w:r>
        <w:rPr>
          <w:sz w:val="22"/>
          <w:szCs w:val="22"/>
        </w:rPr>
        <w:t>Pravidla 1998</w:t>
      </w:r>
      <w:r>
        <w:rPr>
          <w:sz w:val="22"/>
          <w:szCs w:val="22"/>
        </w:rPr>
        <w:tab/>
        <w:t>–</w:t>
      </w:r>
      <w:r w:rsidR="00E022C8">
        <w:rPr>
          <w:sz w:val="22"/>
          <w:szCs w:val="22"/>
        </w:rPr>
        <w:tab/>
      </w:r>
      <w:r w:rsidR="00E022C8" w:rsidRPr="000F7C14">
        <w:rPr>
          <w:rFonts w:cs="Arial"/>
          <w:bCs/>
          <w:i/>
          <w:sz w:val="22"/>
          <w:szCs w:val="22"/>
        </w:rPr>
        <w:t>Základní pravidla projednávání a hodnocení offsetových programů</w:t>
      </w:r>
      <w:r w:rsidR="00E022C8" w:rsidRPr="00E1234B">
        <w:rPr>
          <w:rFonts w:cs="Arial"/>
          <w:bCs/>
          <w:sz w:val="22"/>
          <w:szCs w:val="22"/>
        </w:rPr>
        <w:t xml:space="preserve"> </w:t>
      </w:r>
      <w:r w:rsidR="002D6D58">
        <w:rPr>
          <w:rFonts w:cs="Arial"/>
          <w:bCs/>
          <w:sz w:val="22"/>
          <w:szCs w:val="22"/>
        </w:rPr>
        <w:t xml:space="preserve">(vydáno </w:t>
      </w:r>
      <w:r w:rsidR="002D6D58" w:rsidRPr="002D6D58">
        <w:rPr>
          <w:rFonts w:cs="Arial"/>
          <w:bCs/>
          <w:sz w:val="22"/>
          <w:szCs w:val="22"/>
        </w:rPr>
        <w:t>opatřením č. 26/1998 ministra průmyslu a</w:t>
      </w:r>
      <w:r w:rsidR="002D6D58">
        <w:rPr>
          <w:rFonts w:cs="Arial"/>
          <w:bCs/>
          <w:sz w:val="22"/>
          <w:szCs w:val="22"/>
        </w:rPr>
        <w:t> </w:t>
      </w:r>
      <w:r w:rsidR="002D6D58" w:rsidRPr="002D6D58">
        <w:rPr>
          <w:rFonts w:cs="Arial"/>
          <w:bCs/>
          <w:sz w:val="22"/>
          <w:szCs w:val="22"/>
        </w:rPr>
        <w:t>obchodu k realizaci offsetových programů)</w:t>
      </w:r>
    </w:p>
    <w:p w14:paraId="07E3C16D" w14:textId="3F9F8116" w:rsidR="00AF7B4C" w:rsidRDefault="00AF7B4C" w:rsidP="00616A80">
      <w:pPr>
        <w:tabs>
          <w:tab w:val="left" w:pos="2268"/>
        </w:tabs>
        <w:ind w:left="2835" w:hanging="2835"/>
        <w:rPr>
          <w:sz w:val="22"/>
          <w:szCs w:val="22"/>
        </w:rPr>
      </w:pPr>
      <w:r>
        <w:rPr>
          <w:sz w:val="22"/>
          <w:szCs w:val="22"/>
        </w:rPr>
        <w:t>Pravidla 2005</w:t>
      </w:r>
      <w:r>
        <w:rPr>
          <w:sz w:val="22"/>
          <w:szCs w:val="22"/>
        </w:rPr>
        <w:tab/>
        <w:t>–</w:t>
      </w:r>
      <w:r w:rsidR="00616A80">
        <w:rPr>
          <w:sz w:val="22"/>
          <w:szCs w:val="22"/>
        </w:rPr>
        <w:tab/>
      </w:r>
      <w:r w:rsidR="00616A80" w:rsidRPr="00616A80">
        <w:rPr>
          <w:rFonts w:cs="Arial"/>
          <w:bCs/>
          <w:sz w:val="22"/>
          <w:szCs w:val="22"/>
        </w:rPr>
        <w:t>opatření č. 3/2005 ministra průmyslu a obchodu ze dne 2. února 2005, kterým</w:t>
      </w:r>
      <w:r w:rsidR="00616A80" w:rsidRPr="00231B65">
        <w:rPr>
          <w:rFonts w:cs="Arial"/>
          <w:bCs/>
          <w:sz w:val="22"/>
          <w:szCs w:val="22"/>
        </w:rPr>
        <w:t xml:space="preserve"> byla mj. vydána </w:t>
      </w:r>
      <w:r w:rsidR="00616A80">
        <w:rPr>
          <w:rFonts w:cs="Arial"/>
          <w:bCs/>
          <w:sz w:val="22"/>
          <w:szCs w:val="22"/>
        </w:rPr>
        <w:t>s</w:t>
      </w:r>
      <w:r w:rsidR="00616A80" w:rsidRPr="00231B65">
        <w:rPr>
          <w:rFonts w:cs="Arial"/>
          <w:bCs/>
          <w:sz w:val="22"/>
          <w:szCs w:val="22"/>
        </w:rPr>
        <w:t xml:space="preserve">měrnice pro realizaci programů průmyslové spolupráce </w:t>
      </w:r>
    </w:p>
    <w:p w14:paraId="478014D7" w14:textId="0380BAD7" w:rsidR="00AF7B4C" w:rsidRDefault="00AF7B4C" w:rsidP="00616A80">
      <w:pPr>
        <w:tabs>
          <w:tab w:val="left" w:pos="2268"/>
        </w:tabs>
        <w:ind w:left="2835" w:hanging="2835"/>
        <w:rPr>
          <w:sz w:val="22"/>
          <w:szCs w:val="22"/>
        </w:rPr>
      </w:pPr>
      <w:r>
        <w:rPr>
          <w:sz w:val="22"/>
          <w:szCs w:val="22"/>
        </w:rPr>
        <w:t>Pravidla 2010</w:t>
      </w:r>
      <w:r>
        <w:rPr>
          <w:sz w:val="22"/>
          <w:szCs w:val="22"/>
        </w:rPr>
        <w:tab/>
        <w:t>–</w:t>
      </w:r>
      <w:r w:rsidR="00616A80">
        <w:rPr>
          <w:sz w:val="22"/>
          <w:szCs w:val="22"/>
        </w:rPr>
        <w:tab/>
      </w:r>
      <w:r w:rsidR="00616A80" w:rsidRPr="00616A80">
        <w:rPr>
          <w:rFonts w:cs="Arial"/>
          <w:sz w:val="22"/>
          <w:szCs w:val="22"/>
        </w:rPr>
        <w:t>opatření č. 19/2010 ministra průmyslu a obchodu ze dne 29.</w:t>
      </w:r>
      <w:r w:rsidR="00616A80">
        <w:rPr>
          <w:rFonts w:cs="Arial"/>
          <w:sz w:val="22"/>
          <w:szCs w:val="22"/>
        </w:rPr>
        <w:t> </w:t>
      </w:r>
      <w:r w:rsidR="00616A80" w:rsidRPr="00616A80">
        <w:rPr>
          <w:rFonts w:cs="Arial"/>
          <w:sz w:val="22"/>
          <w:szCs w:val="22"/>
        </w:rPr>
        <w:t>října 2010</w:t>
      </w:r>
      <w:r w:rsidR="00616A80" w:rsidRPr="00231B65">
        <w:rPr>
          <w:rFonts w:cs="Arial"/>
          <w:sz w:val="22"/>
          <w:szCs w:val="22"/>
        </w:rPr>
        <w:t xml:space="preserve">, kterým byla mj. vydána </w:t>
      </w:r>
      <w:r w:rsidR="00616A80">
        <w:rPr>
          <w:rFonts w:cs="Arial"/>
          <w:sz w:val="22"/>
          <w:szCs w:val="22"/>
        </w:rPr>
        <w:t>s</w:t>
      </w:r>
      <w:r w:rsidR="00616A80" w:rsidRPr="00231B65">
        <w:rPr>
          <w:rFonts w:cs="Arial"/>
          <w:sz w:val="22"/>
          <w:szCs w:val="22"/>
        </w:rPr>
        <w:t xml:space="preserve">měrnice </w:t>
      </w:r>
      <w:r w:rsidR="00616A80">
        <w:rPr>
          <w:rFonts w:cs="Arial"/>
          <w:sz w:val="22"/>
          <w:szCs w:val="22"/>
        </w:rPr>
        <w:t xml:space="preserve">pro </w:t>
      </w:r>
      <w:r w:rsidR="00616A80" w:rsidRPr="00231B65">
        <w:rPr>
          <w:rFonts w:cs="Arial"/>
          <w:sz w:val="22"/>
          <w:szCs w:val="22"/>
        </w:rPr>
        <w:t xml:space="preserve">realizaci programů průmyslové spolupráce </w:t>
      </w:r>
    </w:p>
    <w:p w14:paraId="17AC5652" w14:textId="5C295E79" w:rsidR="00AF7B4C" w:rsidRDefault="00AF7B4C" w:rsidP="00AF7B4C">
      <w:pPr>
        <w:tabs>
          <w:tab w:val="left" w:pos="2268"/>
        </w:tabs>
        <w:rPr>
          <w:sz w:val="22"/>
          <w:szCs w:val="22"/>
        </w:rPr>
      </w:pPr>
      <w:r>
        <w:rPr>
          <w:sz w:val="22"/>
          <w:szCs w:val="22"/>
        </w:rPr>
        <w:t>Rejstřík</w:t>
      </w:r>
      <w:r>
        <w:rPr>
          <w:sz w:val="22"/>
          <w:szCs w:val="22"/>
        </w:rPr>
        <w:tab/>
        <w:t>–</w:t>
      </w:r>
      <w:r w:rsidR="00616A80">
        <w:rPr>
          <w:sz w:val="22"/>
          <w:szCs w:val="22"/>
        </w:rPr>
        <w:tab/>
      </w:r>
      <w:r w:rsidR="00616A80" w:rsidRPr="00616A80">
        <w:rPr>
          <w:rFonts w:cs="Arial"/>
          <w:bCs/>
          <w:sz w:val="22"/>
          <w:szCs w:val="22"/>
        </w:rPr>
        <w:t xml:space="preserve">evidence návrhů offsetových transakcí </w:t>
      </w:r>
    </w:p>
    <w:p w14:paraId="497855F0" w14:textId="383B91C2" w:rsidR="00AF7B4C" w:rsidRDefault="00AF7B4C" w:rsidP="00933B11">
      <w:pPr>
        <w:tabs>
          <w:tab w:val="left" w:pos="2268"/>
        </w:tabs>
        <w:ind w:left="2835" w:hanging="2835"/>
        <w:rPr>
          <w:sz w:val="22"/>
          <w:szCs w:val="22"/>
        </w:rPr>
      </w:pPr>
      <w:r>
        <w:rPr>
          <w:sz w:val="22"/>
          <w:szCs w:val="22"/>
        </w:rPr>
        <w:t>TFEU</w:t>
      </w:r>
      <w:r>
        <w:rPr>
          <w:sz w:val="22"/>
          <w:szCs w:val="22"/>
        </w:rPr>
        <w:tab/>
        <w:t>–</w:t>
      </w:r>
      <w:r w:rsidR="00E022C8">
        <w:rPr>
          <w:sz w:val="22"/>
          <w:szCs w:val="22"/>
        </w:rPr>
        <w:tab/>
      </w:r>
      <w:r w:rsidR="00E022C8" w:rsidRPr="00933B11">
        <w:rPr>
          <w:i/>
          <w:sz w:val="22"/>
          <w:szCs w:val="22"/>
        </w:rPr>
        <w:t>Smlouva o fungování Evropské unie</w:t>
      </w:r>
      <w:r w:rsidR="00933B11">
        <w:rPr>
          <w:sz w:val="22"/>
          <w:szCs w:val="22"/>
        </w:rPr>
        <w:t xml:space="preserve"> (z anglického názvu: </w:t>
      </w:r>
      <w:r w:rsidR="00933B11" w:rsidRPr="00933B11">
        <w:rPr>
          <w:rFonts w:cs="Arial"/>
          <w:i/>
          <w:sz w:val="22"/>
          <w:szCs w:val="22"/>
          <w:lang w:val="en-GB"/>
        </w:rPr>
        <w:t>Treaty on the Functioning of the European Union</w:t>
      </w:r>
      <w:r w:rsidR="00933B11">
        <w:rPr>
          <w:rFonts w:cs="Arial"/>
          <w:sz w:val="22"/>
          <w:szCs w:val="22"/>
        </w:rPr>
        <w:t>)</w:t>
      </w:r>
    </w:p>
    <w:p w14:paraId="2885C356" w14:textId="0BACCAF3" w:rsidR="00AF7B4C" w:rsidRDefault="00AF7B4C" w:rsidP="00AF7B4C">
      <w:pPr>
        <w:tabs>
          <w:tab w:val="left" w:pos="2268"/>
        </w:tabs>
        <w:rPr>
          <w:sz w:val="22"/>
          <w:szCs w:val="22"/>
        </w:rPr>
      </w:pPr>
      <w:r>
        <w:rPr>
          <w:sz w:val="22"/>
          <w:szCs w:val="22"/>
        </w:rPr>
        <w:t>VZ</w:t>
      </w:r>
      <w:r>
        <w:rPr>
          <w:sz w:val="22"/>
          <w:szCs w:val="22"/>
        </w:rPr>
        <w:tab/>
        <w:t>–</w:t>
      </w:r>
      <w:r w:rsidR="00E022C8">
        <w:rPr>
          <w:sz w:val="22"/>
          <w:szCs w:val="22"/>
        </w:rPr>
        <w:tab/>
        <w:t>veřejná zakázka</w:t>
      </w:r>
    </w:p>
    <w:p w14:paraId="2EA38A58" w14:textId="49D27487" w:rsidR="00AF7B4C" w:rsidRDefault="00AF7B4C" w:rsidP="00616A80">
      <w:pPr>
        <w:tabs>
          <w:tab w:val="left" w:pos="2268"/>
        </w:tabs>
        <w:ind w:left="2835" w:hanging="2835"/>
        <w:rPr>
          <w:sz w:val="22"/>
          <w:szCs w:val="22"/>
        </w:rPr>
      </w:pPr>
      <w:r>
        <w:rPr>
          <w:sz w:val="22"/>
          <w:szCs w:val="22"/>
        </w:rPr>
        <w:t>Zásady 1998</w:t>
      </w:r>
      <w:r>
        <w:rPr>
          <w:sz w:val="22"/>
          <w:szCs w:val="22"/>
        </w:rPr>
        <w:tab/>
        <w:t>–</w:t>
      </w:r>
      <w:r w:rsidR="00E022C8">
        <w:rPr>
          <w:sz w:val="22"/>
          <w:szCs w:val="22"/>
        </w:rPr>
        <w:tab/>
      </w:r>
      <w:r w:rsidR="00E022C8" w:rsidRPr="000F7C14">
        <w:rPr>
          <w:rFonts w:cs="Arial"/>
          <w:i/>
          <w:sz w:val="22"/>
          <w:szCs w:val="22"/>
        </w:rPr>
        <w:t>Zásady realizace offsetových programů</w:t>
      </w:r>
      <w:r w:rsidR="00E022C8" w:rsidRPr="00E1234B">
        <w:rPr>
          <w:rFonts w:cs="Arial"/>
          <w:sz w:val="22"/>
          <w:szCs w:val="22"/>
        </w:rPr>
        <w:t xml:space="preserve"> </w:t>
      </w:r>
      <w:r w:rsidR="00E022C8">
        <w:rPr>
          <w:rFonts w:cs="Arial"/>
          <w:sz w:val="22"/>
          <w:szCs w:val="22"/>
        </w:rPr>
        <w:t>z roku 1998</w:t>
      </w:r>
      <w:r w:rsidR="00616A80">
        <w:rPr>
          <w:rFonts w:cs="Arial"/>
          <w:sz w:val="22"/>
          <w:szCs w:val="22"/>
        </w:rPr>
        <w:t xml:space="preserve"> (vydán</w:t>
      </w:r>
      <w:r w:rsidR="002D6D58">
        <w:rPr>
          <w:rFonts w:cs="Arial"/>
          <w:sz w:val="22"/>
          <w:szCs w:val="22"/>
        </w:rPr>
        <w:t>y</w:t>
      </w:r>
      <w:r w:rsidR="00616A80">
        <w:rPr>
          <w:rFonts w:cs="Arial"/>
          <w:sz w:val="22"/>
          <w:szCs w:val="22"/>
        </w:rPr>
        <w:t xml:space="preserve"> </w:t>
      </w:r>
      <w:r w:rsidR="00616A80" w:rsidRPr="00616A80">
        <w:rPr>
          <w:rFonts w:cs="Arial"/>
          <w:bCs/>
          <w:sz w:val="22"/>
          <w:szCs w:val="22"/>
        </w:rPr>
        <w:t>usnesení</w:t>
      </w:r>
      <w:r w:rsidR="00616A80">
        <w:rPr>
          <w:rFonts w:cs="Arial"/>
          <w:bCs/>
          <w:sz w:val="22"/>
          <w:szCs w:val="22"/>
        </w:rPr>
        <w:t>m</w:t>
      </w:r>
      <w:r w:rsidR="00616A80" w:rsidRPr="00616A80">
        <w:rPr>
          <w:rFonts w:cs="Arial"/>
          <w:bCs/>
          <w:sz w:val="22"/>
          <w:szCs w:val="22"/>
        </w:rPr>
        <w:t xml:space="preserve"> vlády ze dne 17. června 1998 č. 421</w:t>
      </w:r>
      <w:r w:rsidR="00616A80">
        <w:rPr>
          <w:rFonts w:cs="Arial"/>
          <w:bCs/>
          <w:sz w:val="22"/>
          <w:szCs w:val="22"/>
        </w:rPr>
        <w:t>)</w:t>
      </w:r>
    </w:p>
    <w:p w14:paraId="52FF0C1D" w14:textId="392DD4F6" w:rsidR="00AF7B4C" w:rsidRDefault="00AF7B4C" w:rsidP="002D6D58">
      <w:pPr>
        <w:tabs>
          <w:tab w:val="left" w:pos="2268"/>
        </w:tabs>
        <w:ind w:left="2835" w:hanging="2835"/>
        <w:rPr>
          <w:sz w:val="22"/>
          <w:szCs w:val="22"/>
        </w:rPr>
      </w:pPr>
      <w:r>
        <w:rPr>
          <w:sz w:val="22"/>
          <w:szCs w:val="22"/>
        </w:rPr>
        <w:t>Zásady 2005</w:t>
      </w:r>
      <w:r>
        <w:rPr>
          <w:sz w:val="22"/>
          <w:szCs w:val="22"/>
        </w:rPr>
        <w:tab/>
        <w:t>–</w:t>
      </w:r>
      <w:r w:rsidR="00616A80">
        <w:rPr>
          <w:sz w:val="22"/>
          <w:szCs w:val="22"/>
        </w:rPr>
        <w:tab/>
      </w:r>
      <w:r w:rsidR="00616A80">
        <w:rPr>
          <w:rFonts w:cs="Arial"/>
          <w:i/>
          <w:sz w:val="22"/>
          <w:szCs w:val="22"/>
        </w:rPr>
        <w:t>Z</w:t>
      </w:r>
      <w:r w:rsidR="00616A80" w:rsidRPr="009D5AEB">
        <w:rPr>
          <w:rFonts w:cs="Arial"/>
          <w:i/>
          <w:sz w:val="22"/>
          <w:szCs w:val="22"/>
        </w:rPr>
        <w:t>ásad</w:t>
      </w:r>
      <w:r w:rsidR="00616A80">
        <w:rPr>
          <w:rFonts w:cs="Arial"/>
          <w:i/>
          <w:sz w:val="22"/>
          <w:szCs w:val="22"/>
        </w:rPr>
        <w:t>y</w:t>
      </w:r>
      <w:r w:rsidR="00616A80" w:rsidRPr="009D5AEB">
        <w:rPr>
          <w:rFonts w:cs="Arial"/>
          <w:i/>
          <w:sz w:val="22"/>
          <w:szCs w:val="22"/>
        </w:rPr>
        <w:t xml:space="preserve"> realizace programů průmyslové spolupráce</w:t>
      </w:r>
      <w:r w:rsidR="00616A80" w:rsidRPr="00231B65">
        <w:rPr>
          <w:rFonts w:cs="Arial"/>
          <w:sz w:val="22"/>
          <w:szCs w:val="22"/>
        </w:rPr>
        <w:t xml:space="preserve"> </w:t>
      </w:r>
      <w:r w:rsidR="00616A80">
        <w:rPr>
          <w:rFonts w:cs="Arial"/>
          <w:sz w:val="22"/>
          <w:szCs w:val="22"/>
        </w:rPr>
        <w:t>z roku 2005</w:t>
      </w:r>
      <w:r w:rsidR="002D6D58">
        <w:rPr>
          <w:rFonts w:cs="Arial"/>
          <w:sz w:val="22"/>
          <w:szCs w:val="22"/>
        </w:rPr>
        <w:t xml:space="preserve"> (vydány </w:t>
      </w:r>
      <w:r w:rsidR="002D6D58" w:rsidRPr="002D6D58">
        <w:rPr>
          <w:rFonts w:cs="Arial"/>
          <w:bCs/>
          <w:sz w:val="22"/>
          <w:szCs w:val="22"/>
        </w:rPr>
        <w:t xml:space="preserve">usnesením vlády ze dne 5. </w:t>
      </w:r>
      <w:r w:rsidR="002D6D58">
        <w:rPr>
          <w:rFonts w:cs="Arial"/>
          <w:bCs/>
          <w:sz w:val="22"/>
          <w:szCs w:val="22"/>
        </w:rPr>
        <w:t>ledna</w:t>
      </w:r>
      <w:r w:rsidR="002D6D58" w:rsidRPr="002D6D58">
        <w:rPr>
          <w:rFonts w:cs="Arial"/>
          <w:bCs/>
          <w:sz w:val="22"/>
          <w:szCs w:val="22"/>
        </w:rPr>
        <w:t xml:space="preserve"> 2005 č. 9</w:t>
      </w:r>
      <w:r w:rsidR="002D6D58">
        <w:rPr>
          <w:rFonts w:cs="Arial"/>
          <w:bCs/>
          <w:sz w:val="22"/>
          <w:szCs w:val="22"/>
        </w:rPr>
        <w:t>)</w:t>
      </w:r>
    </w:p>
    <w:p w14:paraId="1D808C94" w14:textId="4A1D6813" w:rsidR="00AF7B4C" w:rsidRPr="002D6D58" w:rsidRDefault="00AF7B4C" w:rsidP="002D6D58">
      <w:pPr>
        <w:tabs>
          <w:tab w:val="left" w:pos="2268"/>
        </w:tabs>
        <w:ind w:left="2835" w:hanging="2835"/>
        <w:rPr>
          <w:sz w:val="22"/>
          <w:szCs w:val="22"/>
        </w:rPr>
      </w:pPr>
      <w:r>
        <w:rPr>
          <w:sz w:val="22"/>
          <w:szCs w:val="22"/>
        </w:rPr>
        <w:t>Zásady 2010</w:t>
      </w:r>
      <w:r>
        <w:rPr>
          <w:sz w:val="22"/>
          <w:szCs w:val="22"/>
        </w:rPr>
        <w:tab/>
        <w:t>–</w:t>
      </w:r>
      <w:r w:rsidR="00616A80">
        <w:rPr>
          <w:sz w:val="22"/>
          <w:szCs w:val="22"/>
        </w:rPr>
        <w:tab/>
      </w:r>
      <w:r w:rsidR="00616A80">
        <w:rPr>
          <w:rFonts w:cs="Arial"/>
          <w:i/>
          <w:sz w:val="22"/>
          <w:szCs w:val="22"/>
        </w:rPr>
        <w:t>Zásady</w:t>
      </w:r>
      <w:r w:rsidR="00616A80" w:rsidRPr="009D5AEB">
        <w:rPr>
          <w:rFonts w:cs="Arial"/>
          <w:i/>
          <w:sz w:val="22"/>
          <w:szCs w:val="22"/>
        </w:rPr>
        <w:t xml:space="preserve"> realizace programů průmyslové spolupráce</w:t>
      </w:r>
      <w:r w:rsidR="00616A80" w:rsidRPr="00231B65">
        <w:rPr>
          <w:rFonts w:cs="Arial"/>
          <w:sz w:val="22"/>
          <w:szCs w:val="22"/>
        </w:rPr>
        <w:t xml:space="preserve"> </w:t>
      </w:r>
      <w:r w:rsidR="00616A80">
        <w:rPr>
          <w:rFonts w:cs="Arial"/>
          <w:sz w:val="22"/>
          <w:szCs w:val="22"/>
        </w:rPr>
        <w:t>z roku 2010</w:t>
      </w:r>
      <w:r w:rsidR="002D6D58">
        <w:rPr>
          <w:rFonts w:cs="Arial"/>
          <w:sz w:val="22"/>
          <w:szCs w:val="22"/>
        </w:rPr>
        <w:t xml:space="preserve"> </w:t>
      </w:r>
      <w:r w:rsidR="002D6D58" w:rsidRPr="002D6D58">
        <w:rPr>
          <w:rFonts w:cs="Arial"/>
          <w:sz w:val="22"/>
          <w:szCs w:val="22"/>
        </w:rPr>
        <w:t xml:space="preserve">(vydány </w:t>
      </w:r>
      <w:r w:rsidR="002D6D58" w:rsidRPr="002D6D58">
        <w:rPr>
          <w:rFonts w:cs="Arial"/>
          <w:bCs/>
          <w:sz w:val="22"/>
          <w:szCs w:val="22"/>
        </w:rPr>
        <w:t>usnesením vlády ze dne 28. června 2010 č. 499)</w:t>
      </w:r>
    </w:p>
    <w:p w14:paraId="2C5E2C6A" w14:textId="77777777" w:rsidR="00AF7B4C" w:rsidRDefault="00AF7B4C" w:rsidP="00AF7B4C">
      <w:pPr>
        <w:tabs>
          <w:tab w:val="left" w:pos="2268"/>
        </w:tabs>
        <w:rPr>
          <w:sz w:val="22"/>
          <w:szCs w:val="22"/>
        </w:rPr>
      </w:pPr>
    </w:p>
    <w:p w14:paraId="33DA962E" w14:textId="77777777" w:rsidR="00AF7B4C" w:rsidRDefault="00AF7B4C" w:rsidP="00AF7B4C">
      <w:pPr>
        <w:tabs>
          <w:tab w:val="left" w:pos="2835"/>
        </w:tabs>
        <w:rPr>
          <w:sz w:val="22"/>
          <w:szCs w:val="22"/>
        </w:rPr>
      </w:pPr>
    </w:p>
    <w:p w14:paraId="2BD8A17A" w14:textId="77777777" w:rsidR="00616A80" w:rsidRDefault="00616A80" w:rsidP="00AF7B4C">
      <w:pPr>
        <w:tabs>
          <w:tab w:val="left" w:pos="2835"/>
        </w:tabs>
        <w:rPr>
          <w:sz w:val="22"/>
          <w:szCs w:val="22"/>
        </w:rPr>
      </w:pPr>
    </w:p>
    <w:p w14:paraId="13164C35" w14:textId="77777777" w:rsidR="00AF7B4C" w:rsidRPr="00AF7B4C" w:rsidRDefault="00AF7B4C" w:rsidP="00A42511">
      <w:pPr>
        <w:rPr>
          <w:sz w:val="22"/>
          <w:szCs w:val="22"/>
        </w:rPr>
      </w:pPr>
    </w:p>
    <w:p w14:paraId="16C27B10" w14:textId="166237CE" w:rsidR="00A42511" w:rsidRPr="00AF7B4C" w:rsidRDefault="00430ACA" w:rsidP="00A42511">
      <w:pPr>
        <w:tabs>
          <w:tab w:val="left" w:pos="284"/>
        </w:tabs>
        <w:spacing w:before="60" w:after="60"/>
        <w:rPr>
          <w:rFonts w:cs="Arial"/>
          <w:sz w:val="20"/>
          <w:szCs w:val="20"/>
        </w:rPr>
      </w:pPr>
      <w:r>
        <w:rPr>
          <w:rFonts w:cs="Arial"/>
          <w:sz w:val="20"/>
          <w:szCs w:val="20"/>
        </w:rPr>
        <w:t xml:space="preserve"> </w:t>
      </w:r>
    </w:p>
    <w:p w14:paraId="4E2411CB" w14:textId="77777777" w:rsidR="00A42511" w:rsidRDefault="00A42511" w:rsidP="00A42511">
      <w:pPr>
        <w:contextualSpacing/>
        <w:jc w:val="right"/>
        <w:rPr>
          <w:rFonts w:cs="Arial"/>
          <w:b/>
          <w:szCs w:val="22"/>
        </w:rPr>
      </w:pPr>
    </w:p>
    <w:sectPr w:rsidR="00A42511" w:rsidSect="000669F3">
      <w:pgSz w:w="11907" w:h="16839" w:code="9"/>
      <w:pgMar w:top="1418" w:right="1418" w:bottom="1418" w:left="1418"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5ACDB" w14:textId="77777777" w:rsidR="00616A80" w:rsidRDefault="00616A80">
      <w:r>
        <w:separator/>
      </w:r>
    </w:p>
  </w:endnote>
  <w:endnote w:type="continuationSeparator" w:id="0">
    <w:p w14:paraId="3F25ACDC" w14:textId="77777777" w:rsidR="00616A80" w:rsidRDefault="006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5ACDD" w14:textId="77777777" w:rsidR="00616A80" w:rsidRPr="009A12AE" w:rsidRDefault="00616A80" w:rsidP="009A12AE">
    <w:pPr>
      <w:pStyle w:val="Zpat"/>
      <w:jc w:val="center"/>
      <w:rPr>
        <w:rFonts w:cs="Arial"/>
        <w:sz w:val="22"/>
        <w:szCs w:val="22"/>
      </w:rPr>
    </w:pPr>
    <w:r w:rsidRPr="009A12AE">
      <w:rPr>
        <w:rFonts w:cs="Arial"/>
        <w:sz w:val="22"/>
        <w:szCs w:val="22"/>
      </w:rPr>
      <w:fldChar w:fldCharType="begin"/>
    </w:r>
    <w:r w:rsidRPr="009A12AE">
      <w:rPr>
        <w:rFonts w:cs="Arial"/>
        <w:sz w:val="22"/>
        <w:szCs w:val="22"/>
      </w:rPr>
      <w:instrText xml:space="preserve"> PAGE   \* MERGEFORMAT </w:instrText>
    </w:r>
    <w:r w:rsidRPr="009A12AE">
      <w:rPr>
        <w:rFonts w:cs="Arial"/>
        <w:sz w:val="22"/>
        <w:szCs w:val="22"/>
      </w:rPr>
      <w:fldChar w:fldCharType="separate"/>
    </w:r>
    <w:r w:rsidR="006E229E">
      <w:rPr>
        <w:rFonts w:cs="Arial"/>
        <w:noProof/>
        <w:sz w:val="22"/>
        <w:szCs w:val="22"/>
      </w:rPr>
      <w:t>29</w:t>
    </w:r>
    <w:r w:rsidRPr="009A12AE">
      <w:rPr>
        <w:rFonts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5ACD9" w14:textId="77777777" w:rsidR="00616A80" w:rsidRDefault="00616A80">
      <w:r>
        <w:separator/>
      </w:r>
    </w:p>
  </w:footnote>
  <w:footnote w:type="continuationSeparator" w:id="0">
    <w:p w14:paraId="3F25ACDA" w14:textId="77777777" w:rsidR="00616A80" w:rsidRDefault="00616A80">
      <w:r>
        <w:continuationSeparator/>
      </w:r>
    </w:p>
  </w:footnote>
  <w:footnote w:id="1">
    <w:p w14:paraId="3F25ACDE" w14:textId="71479732" w:rsidR="00616A80" w:rsidRPr="00635A29" w:rsidRDefault="00616A80" w:rsidP="007A7093">
      <w:pPr>
        <w:pStyle w:val="Textpoznpodarou"/>
        <w:ind w:left="284" w:hanging="284"/>
        <w:jc w:val="both"/>
        <w:rPr>
          <w:rFonts w:cs="Arial"/>
          <w:sz w:val="18"/>
          <w:szCs w:val="18"/>
        </w:rPr>
      </w:pPr>
      <w:r w:rsidRPr="00635A29">
        <w:rPr>
          <w:rStyle w:val="Znakapoznpodarou"/>
          <w:rFonts w:cs="Arial"/>
          <w:sz w:val="18"/>
          <w:szCs w:val="18"/>
        </w:rPr>
        <w:footnoteRef/>
      </w:r>
      <w:r w:rsidRPr="00635A29">
        <w:rPr>
          <w:rFonts w:cs="Arial"/>
          <w:sz w:val="18"/>
          <w:szCs w:val="18"/>
        </w:rPr>
        <w:t xml:space="preserve"> </w:t>
      </w:r>
      <w:r>
        <w:rPr>
          <w:rFonts w:cs="Arial"/>
          <w:sz w:val="18"/>
          <w:szCs w:val="18"/>
        </w:rPr>
        <w:tab/>
      </w:r>
      <w:r w:rsidRPr="00635A29">
        <w:rPr>
          <w:rFonts w:cs="Arial"/>
          <w:sz w:val="18"/>
          <w:szCs w:val="18"/>
        </w:rPr>
        <w:t>Jednotlivé offsetové dohody uzavřené MO a MV s dodavateli veřejných zakázek mají různ</w:t>
      </w:r>
      <w:r>
        <w:rPr>
          <w:rFonts w:cs="Arial"/>
          <w:sz w:val="18"/>
          <w:szCs w:val="18"/>
        </w:rPr>
        <w:t>á</w:t>
      </w:r>
      <w:r w:rsidRPr="00635A29">
        <w:rPr>
          <w:rFonts w:cs="Arial"/>
          <w:sz w:val="18"/>
          <w:szCs w:val="18"/>
        </w:rPr>
        <w:t xml:space="preserve"> označení, nicméně odpovídají ve své podstatě vzniku offsetového závazku a specifikaci podmínek jeho plnění. </w:t>
      </w:r>
    </w:p>
  </w:footnote>
  <w:footnote w:id="2">
    <w:p w14:paraId="3F25ACDF" w14:textId="77777777"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Tento PPS je pouze zahrnut v celkové hodnotě realizovaných PPS v České republice (dále také „ČR“) na základě informací z dokladů předložených MPO.</w:t>
      </w:r>
    </w:p>
  </w:footnote>
  <w:footnote w:id="3">
    <w:p w14:paraId="3F25ACE0" w14:textId="497860AB"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rFonts w:cs="Arial"/>
          <w:sz w:val="18"/>
          <w:szCs w:val="18"/>
        </w:rPr>
        <w:t xml:space="preserve">Pro potřeby kontrolního závěru jsou označovány veřejnými zakázkami všechny způsoby a podmínky přidělení veřejných (státních) zakázek na </w:t>
      </w:r>
      <w:r>
        <w:rPr>
          <w:rFonts w:cs="Arial"/>
          <w:sz w:val="18"/>
          <w:szCs w:val="18"/>
        </w:rPr>
        <w:t>zá</w:t>
      </w:r>
      <w:r w:rsidRPr="00635A29">
        <w:rPr>
          <w:rFonts w:cs="Arial"/>
          <w:sz w:val="18"/>
          <w:szCs w:val="18"/>
        </w:rPr>
        <w:t>kladě příslušných právních předpisů, tj. i výběr dodavatele mimo rámec příslušného zákona (</w:t>
      </w:r>
      <w:r w:rsidRPr="00635A29">
        <w:rPr>
          <w:sz w:val="18"/>
          <w:szCs w:val="18"/>
        </w:rPr>
        <w:t>zákon č. 199/1994 Sb., o zadávání veřejných zakázek</w:t>
      </w:r>
      <w:r>
        <w:rPr>
          <w:sz w:val="18"/>
          <w:szCs w:val="18"/>
        </w:rPr>
        <w:t>,</w:t>
      </w:r>
      <w:r w:rsidRPr="00635A29">
        <w:rPr>
          <w:sz w:val="18"/>
          <w:szCs w:val="18"/>
        </w:rPr>
        <w:t xml:space="preserve"> zákon č. 40/2004 Sb., o</w:t>
      </w:r>
      <w:r>
        <w:rPr>
          <w:sz w:val="18"/>
          <w:szCs w:val="18"/>
        </w:rPr>
        <w:t> </w:t>
      </w:r>
      <w:r w:rsidRPr="00635A29">
        <w:rPr>
          <w:sz w:val="18"/>
          <w:szCs w:val="18"/>
        </w:rPr>
        <w:t>veřejných zakázkách</w:t>
      </w:r>
      <w:r>
        <w:rPr>
          <w:sz w:val="18"/>
          <w:szCs w:val="18"/>
        </w:rPr>
        <w:t>,</w:t>
      </w:r>
      <w:r w:rsidRPr="00635A29">
        <w:rPr>
          <w:sz w:val="18"/>
          <w:szCs w:val="18"/>
        </w:rPr>
        <w:t xml:space="preserve"> zákon č. 137/2006 Sb., o veřejných zakázkách)</w:t>
      </w:r>
      <w:r>
        <w:rPr>
          <w:sz w:val="18"/>
          <w:szCs w:val="18"/>
        </w:rPr>
        <w:t>.</w:t>
      </w:r>
      <w:r w:rsidRPr="00635A29">
        <w:rPr>
          <w:rFonts w:cs="Arial"/>
          <w:sz w:val="18"/>
          <w:szCs w:val="18"/>
        </w:rPr>
        <w:t xml:space="preserve"> Toto zobecnění nemá na faktické právní posouzení offsetů vliv.</w:t>
      </w:r>
    </w:p>
  </w:footnote>
  <w:footnote w:id="4">
    <w:p w14:paraId="3F25ACE1" w14:textId="2A2156D1" w:rsidR="00616A80" w:rsidRPr="007C66B7" w:rsidRDefault="00616A80" w:rsidP="000F7C14">
      <w:pPr>
        <w:pStyle w:val="Textpoznpodarou"/>
        <w:ind w:left="284" w:hanging="284"/>
        <w:rPr>
          <w:sz w:val="18"/>
          <w:szCs w:val="18"/>
        </w:rPr>
      </w:pPr>
      <w:r w:rsidRPr="007C66B7">
        <w:rPr>
          <w:rStyle w:val="Znakapoznpodarou"/>
          <w:sz w:val="18"/>
          <w:szCs w:val="18"/>
        </w:rPr>
        <w:footnoteRef/>
      </w:r>
      <w:r w:rsidRPr="007C66B7">
        <w:rPr>
          <w:sz w:val="18"/>
          <w:szCs w:val="18"/>
        </w:rPr>
        <w:t xml:space="preserve"> </w:t>
      </w:r>
      <w:r>
        <w:rPr>
          <w:sz w:val="18"/>
          <w:szCs w:val="18"/>
        </w:rPr>
        <w:tab/>
      </w:r>
      <w:r w:rsidRPr="007C66B7">
        <w:rPr>
          <w:sz w:val="18"/>
          <w:szCs w:val="18"/>
        </w:rPr>
        <w:t>§</w:t>
      </w:r>
      <w:r>
        <w:rPr>
          <w:sz w:val="18"/>
          <w:szCs w:val="18"/>
        </w:rPr>
        <w:t xml:space="preserve"> </w:t>
      </w:r>
      <w:r w:rsidRPr="007C66B7">
        <w:rPr>
          <w:sz w:val="18"/>
          <w:szCs w:val="18"/>
        </w:rPr>
        <w:t>59</w:t>
      </w:r>
      <w:r>
        <w:rPr>
          <w:sz w:val="18"/>
          <w:szCs w:val="18"/>
        </w:rPr>
        <w:t xml:space="preserve"> odst. 1 a 2 zákona č. 280/2009 Sb., daňový řád.</w:t>
      </w:r>
    </w:p>
  </w:footnote>
  <w:footnote w:id="5">
    <w:p w14:paraId="3F25ACE2" w14:textId="77777777" w:rsidR="00616A80" w:rsidRPr="00635A29" w:rsidRDefault="00616A80" w:rsidP="007A7093">
      <w:pPr>
        <w:pStyle w:val="Textpoznpodarou"/>
        <w:ind w:left="284" w:hanging="284"/>
        <w:jc w:val="both"/>
        <w:rPr>
          <w:sz w:val="18"/>
          <w:szCs w:val="18"/>
        </w:rPr>
      </w:pPr>
      <w:r w:rsidRPr="00635A29">
        <w:rPr>
          <w:rStyle w:val="Znakapoznpodarou"/>
          <w:rFonts w:cs="Arial"/>
          <w:sz w:val="18"/>
          <w:szCs w:val="18"/>
        </w:rPr>
        <w:footnoteRef/>
      </w:r>
      <w:r w:rsidRPr="00635A29">
        <w:rPr>
          <w:rFonts w:cs="Arial"/>
          <w:sz w:val="18"/>
          <w:szCs w:val="18"/>
        </w:rPr>
        <w:t xml:space="preserve"> </w:t>
      </w:r>
      <w:r>
        <w:rPr>
          <w:rFonts w:cs="Arial"/>
          <w:sz w:val="18"/>
          <w:szCs w:val="18"/>
        </w:rPr>
        <w:tab/>
      </w:r>
      <w:r w:rsidRPr="00635A29">
        <w:rPr>
          <w:rFonts w:cs="Arial"/>
          <w:bCs/>
          <w:sz w:val="18"/>
          <w:szCs w:val="18"/>
        </w:rPr>
        <w:t>§ 13 zákona č. 2/1969 Sb</w:t>
      </w:r>
      <w:r w:rsidRPr="00635A29">
        <w:rPr>
          <w:rFonts w:cs="Arial"/>
          <w:sz w:val="18"/>
          <w:szCs w:val="18"/>
        </w:rPr>
        <w:t>., o zřízení ministerstev a jiných ústředních orgánů státní správy České republiky, ve znění pozdějších předpisů.</w:t>
      </w:r>
    </w:p>
  </w:footnote>
  <w:footnote w:id="6">
    <w:p w14:paraId="3F25ACE3" w14:textId="77777777" w:rsidR="00616A80" w:rsidRPr="00635A29" w:rsidRDefault="00616A80" w:rsidP="007A7093">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rFonts w:cs="Arial"/>
          <w:bCs/>
          <w:sz w:val="18"/>
          <w:szCs w:val="18"/>
        </w:rPr>
        <w:t>§ 16 zákona č. 2/1969 Sb</w:t>
      </w:r>
      <w:r w:rsidRPr="00635A29">
        <w:rPr>
          <w:rFonts w:cs="Arial"/>
          <w:sz w:val="18"/>
          <w:szCs w:val="18"/>
        </w:rPr>
        <w:t>.</w:t>
      </w:r>
    </w:p>
  </w:footnote>
  <w:footnote w:id="7">
    <w:p w14:paraId="3F25ACE4" w14:textId="77777777"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rFonts w:cs="Arial"/>
          <w:bCs/>
          <w:sz w:val="18"/>
          <w:szCs w:val="18"/>
        </w:rPr>
        <w:t>§ 12 zákona č. 2/1969 Sb</w:t>
      </w:r>
      <w:r w:rsidRPr="00635A29">
        <w:rPr>
          <w:rFonts w:cs="Arial"/>
          <w:sz w:val="18"/>
          <w:szCs w:val="18"/>
        </w:rPr>
        <w:t>.</w:t>
      </w:r>
    </w:p>
  </w:footnote>
  <w:footnote w:id="8">
    <w:p w14:paraId="3F25ACE5" w14:textId="466DCF12" w:rsidR="00616A80" w:rsidRPr="00635A29" w:rsidRDefault="00616A80">
      <w:pPr>
        <w:pStyle w:val="Textpoznpodarou"/>
        <w:ind w:left="284" w:hanging="284"/>
        <w:jc w:val="both"/>
        <w:rPr>
          <w:sz w:val="18"/>
          <w:szCs w:val="18"/>
        </w:rPr>
      </w:pPr>
      <w:r w:rsidRPr="00635A29">
        <w:rPr>
          <w:rStyle w:val="Znakapoznpodarou"/>
          <w:sz w:val="18"/>
          <w:szCs w:val="18"/>
        </w:rPr>
        <w:footnoteRef/>
      </w:r>
      <w:r>
        <w:rPr>
          <w:sz w:val="18"/>
          <w:szCs w:val="18"/>
        </w:rPr>
        <w:tab/>
      </w:r>
      <w:r w:rsidRPr="00635A29">
        <w:rPr>
          <w:sz w:val="18"/>
          <w:szCs w:val="18"/>
        </w:rPr>
        <w:t xml:space="preserve">Obsahem opatření byly čtyři přílohy: </w:t>
      </w:r>
      <w:r>
        <w:rPr>
          <w:sz w:val="18"/>
          <w:szCs w:val="18"/>
        </w:rPr>
        <w:t>p</w:t>
      </w:r>
      <w:r w:rsidRPr="00635A29">
        <w:rPr>
          <w:sz w:val="18"/>
          <w:szCs w:val="18"/>
        </w:rPr>
        <w:t>říloha č. 1</w:t>
      </w:r>
      <w:r>
        <w:rPr>
          <w:sz w:val="18"/>
          <w:szCs w:val="18"/>
        </w:rPr>
        <w:t>:</w:t>
      </w:r>
      <w:r w:rsidRPr="00635A29">
        <w:rPr>
          <w:sz w:val="18"/>
          <w:szCs w:val="18"/>
        </w:rPr>
        <w:t xml:space="preserve"> </w:t>
      </w:r>
      <w:r>
        <w:rPr>
          <w:sz w:val="18"/>
          <w:szCs w:val="18"/>
        </w:rPr>
        <w:t>o</w:t>
      </w:r>
      <w:r w:rsidRPr="00635A29">
        <w:rPr>
          <w:sz w:val="18"/>
          <w:szCs w:val="18"/>
        </w:rPr>
        <w:t>patření č. 26/98</w:t>
      </w:r>
      <w:r>
        <w:rPr>
          <w:sz w:val="18"/>
          <w:szCs w:val="18"/>
        </w:rPr>
        <w:t>,</w:t>
      </w:r>
      <w:r w:rsidRPr="00635A29">
        <w:rPr>
          <w:sz w:val="18"/>
          <w:szCs w:val="18"/>
        </w:rPr>
        <w:t xml:space="preserve"> </w:t>
      </w:r>
      <w:r w:rsidRPr="000F7C14">
        <w:rPr>
          <w:i/>
          <w:sz w:val="18"/>
          <w:szCs w:val="18"/>
        </w:rPr>
        <w:t>Personální složení Offsetové komise pro realizaci kompenzujících transakcí</w:t>
      </w:r>
      <w:r w:rsidRPr="00635A29">
        <w:rPr>
          <w:sz w:val="18"/>
          <w:szCs w:val="18"/>
        </w:rPr>
        <w:t xml:space="preserve">; </w:t>
      </w:r>
      <w:r>
        <w:rPr>
          <w:sz w:val="18"/>
          <w:szCs w:val="18"/>
        </w:rPr>
        <w:t>p</w:t>
      </w:r>
      <w:r w:rsidRPr="00635A29">
        <w:rPr>
          <w:sz w:val="18"/>
          <w:szCs w:val="18"/>
        </w:rPr>
        <w:t>říloha č. 2</w:t>
      </w:r>
      <w:r>
        <w:rPr>
          <w:sz w:val="18"/>
          <w:szCs w:val="18"/>
        </w:rPr>
        <w:t>:</w:t>
      </w:r>
      <w:r w:rsidRPr="00635A29">
        <w:rPr>
          <w:sz w:val="18"/>
          <w:szCs w:val="18"/>
        </w:rPr>
        <w:t xml:space="preserve"> </w:t>
      </w:r>
      <w:r>
        <w:rPr>
          <w:sz w:val="18"/>
          <w:szCs w:val="18"/>
        </w:rPr>
        <w:t>o</w:t>
      </w:r>
      <w:r w:rsidRPr="00635A29">
        <w:rPr>
          <w:sz w:val="18"/>
          <w:szCs w:val="18"/>
        </w:rPr>
        <w:t>patření č. 26/98</w:t>
      </w:r>
      <w:r>
        <w:rPr>
          <w:sz w:val="18"/>
          <w:szCs w:val="18"/>
        </w:rPr>
        <w:t>,</w:t>
      </w:r>
      <w:r w:rsidRPr="00635A29">
        <w:rPr>
          <w:sz w:val="18"/>
          <w:szCs w:val="18"/>
        </w:rPr>
        <w:t xml:space="preserve"> </w:t>
      </w:r>
      <w:r w:rsidRPr="000F7C14">
        <w:rPr>
          <w:i/>
          <w:sz w:val="18"/>
          <w:szCs w:val="18"/>
        </w:rPr>
        <w:t>Statut Offsetové komise pro realizaci kompenzujících transakcí (offsetových programů)</w:t>
      </w:r>
      <w:r w:rsidRPr="00635A29">
        <w:rPr>
          <w:sz w:val="18"/>
          <w:szCs w:val="18"/>
        </w:rPr>
        <w:t xml:space="preserve">; </w:t>
      </w:r>
      <w:r>
        <w:rPr>
          <w:sz w:val="18"/>
          <w:szCs w:val="18"/>
        </w:rPr>
        <w:t>p</w:t>
      </w:r>
      <w:r w:rsidRPr="00635A29">
        <w:rPr>
          <w:sz w:val="18"/>
          <w:szCs w:val="18"/>
        </w:rPr>
        <w:t>říloha č. 3</w:t>
      </w:r>
      <w:r>
        <w:rPr>
          <w:sz w:val="18"/>
          <w:szCs w:val="18"/>
        </w:rPr>
        <w:t>:</w:t>
      </w:r>
      <w:r w:rsidRPr="00635A29">
        <w:rPr>
          <w:sz w:val="18"/>
          <w:szCs w:val="18"/>
        </w:rPr>
        <w:t xml:space="preserve"> </w:t>
      </w:r>
      <w:r>
        <w:rPr>
          <w:sz w:val="18"/>
          <w:szCs w:val="18"/>
        </w:rPr>
        <w:t>o</w:t>
      </w:r>
      <w:r w:rsidRPr="00635A29">
        <w:rPr>
          <w:sz w:val="18"/>
          <w:szCs w:val="18"/>
        </w:rPr>
        <w:t>patření č. 26/98</w:t>
      </w:r>
      <w:r>
        <w:rPr>
          <w:sz w:val="18"/>
          <w:szCs w:val="18"/>
        </w:rPr>
        <w:t>,</w:t>
      </w:r>
      <w:r w:rsidRPr="00635A29">
        <w:rPr>
          <w:sz w:val="18"/>
          <w:szCs w:val="18"/>
        </w:rPr>
        <w:t xml:space="preserve"> </w:t>
      </w:r>
      <w:r w:rsidRPr="000F7C14">
        <w:rPr>
          <w:i/>
          <w:sz w:val="18"/>
          <w:szCs w:val="18"/>
        </w:rPr>
        <w:t>Jednací řád Offsetové komise pro realizaci kompenzujících transakcí (offsetových programů)</w:t>
      </w:r>
      <w:r w:rsidRPr="00635A29">
        <w:rPr>
          <w:sz w:val="18"/>
          <w:szCs w:val="18"/>
        </w:rPr>
        <w:t xml:space="preserve">; </w:t>
      </w:r>
      <w:r>
        <w:rPr>
          <w:sz w:val="18"/>
          <w:szCs w:val="18"/>
        </w:rPr>
        <w:t>p</w:t>
      </w:r>
      <w:r w:rsidRPr="00635A29">
        <w:rPr>
          <w:sz w:val="18"/>
          <w:szCs w:val="18"/>
        </w:rPr>
        <w:t>říloha č. 4</w:t>
      </w:r>
      <w:r>
        <w:rPr>
          <w:sz w:val="18"/>
          <w:szCs w:val="18"/>
        </w:rPr>
        <w:t>:</w:t>
      </w:r>
      <w:r w:rsidRPr="00635A29">
        <w:rPr>
          <w:sz w:val="18"/>
          <w:szCs w:val="18"/>
        </w:rPr>
        <w:t xml:space="preserve"> </w:t>
      </w:r>
      <w:r>
        <w:rPr>
          <w:sz w:val="18"/>
          <w:szCs w:val="18"/>
        </w:rPr>
        <w:t>o</w:t>
      </w:r>
      <w:r w:rsidRPr="00635A29">
        <w:rPr>
          <w:sz w:val="18"/>
          <w:szCs w:val="18"/>
        </w:rPr>
        <w:t>patření č. 26/98</w:t>
      </w:r>
      <w:r>
        <w:rPr>
          <w:sz w:val="18"/>
          <w:szCs w:val="18"/>
        </w:rPr>
        <w:t>,</w:t>
      </w:r>
      <w:r w:rsidRPr="00635A29">
        <w:rPr>
          <w:sz w:val="18"/>
          <w:szCs w:val="18"/>
        </w:rPr>
        <w:t xml:space="preserve"> </w:t>
      </w:r>
      <w:r w:rsidRPr="000F7C14">
        <w:rPr>
          <w:rFonts w:cs="Arial"/>
          <w:bCs/>
          <w:i/>
          <w:sz w:val="18"/>
          <w:szCs w:val="18"/>
        </w:rPr>
        <w:t>Pravidla projednávání a hodnocení offsetových programů</w:t>
      </w:r>
      <w:r w:rsidRPr="00635A29">
        <w:rPr>
          <w:rFonts w:cs="Arial"/>
          <w:bCs/>
          <w:sz w:val="18"/>
          <w:szCs w:val="18"/>
        </w:rPr>
        <w:t>.</w:t>
      </w:r>
      <w:r w:rsidRPr="00635A29">
        <w:rPr>
          <w:sz w:val="18"/>
          <w:szCs w:val="18"/>
        </w:rPr>
        <w:t xml:space="preserve"> </w:t>
      </w:r>
    </w:p>
  </w:footnote>
  <w:footnote w:id="9">
    <w:p w14:paraId="3F25ACE6" w14:textId="31678C6F" w:rsidR="00616A80" w:rsidRPr="00635A29" w:rsidRDefault="00616A80">
      <w:pPr>
        <w:pStyle w:val="Textpoznpodarou"/>
        <w:ind w:left="284" w:hanging="284"/>
        <w:rPr>
          <w:sz w:val="18"/>
          <w:szCs w:val="18"/>
        </w:rPr>
      </w:pPr>
      <w:r w:rsidRPr="00635A29">
        <w:rPr>
          <w:rStyle w:val="Znakapoznpodarou"/>
          <w:sz w:val="18"/>
          <w:szCs w:val="18"/>
        </w:rPr>
        <w:footnoteRef/>
      </w:r>
      <w:r>
        <w:rPr>
          <w:i/>
          <w:sz w:val="18"/>
          <w:szCs w:val="18"/>
        </w:rPr>
        <w:tab/>
      </w:r>
      <w:r w:rsidRPr="00635A29">
        <w:rPr>
          <w:i/>
          <w:sz w:val="18"/>
          <w:szCs w:val="18"/>
        </w:rPr>
        <w:t xml:space="preserve">Studie realizace offsetových programů v České republice, </w:t>
      </w:r>
      <w:r w:rsidRPr="002A3031">
        <w:rPr>
          <w:sz w:val="18"/>
          <w:szCs w:val="18"/>
        </w:rPr>
        <w:t>prosinec 1998</w:t>
      </w:r>
      <w:r>
        <w:rPr>
          <w:sz w:val="18"/>
          <w:szCs w:val="18"/>
        </w:rPr>
        <w:t>.</w:t>
      </w:r>
    </w:p>
  </w:footnote>
  <w:footnote w:id="10">
    <w:p w14:paraId="3F25ACE7" w14:textId="13649666"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Č</w:t>
      </w:r>
      <w:r w:rsidRPr="00635A29">
        <w:rPr>
          <w:rFonts w:cs="Arial"/>
          <w:sz w:val="18"/>
          <w:szCs w:val="18"/>
        </w:rPr>
        <w:t xml:space="preserve">l. 296 Smlouvy o založení Evropského společenství, resp. čl. 346 </w:t>
      </w:r>
      <w:r w:rsidRPr="00635A29">
        <w:rPr>
          <w:rFonts w:cs="Arial"/>
          <w:b/>
          <w:sz w:val="18"/>
          <w:szCs w:val="18"/>
        </w:rPr>
        <w:t xml:space="preserve">Smlouvy o fungování Evropské </w:t>
      </w:r>
      <w:r>
        <w:rPr>
          <w:rFonts w:cs="Arial"/>
          <w:b/>
          <w:sz w:val="18"/>
          <w:szCs w:val="18"/>
        </w:rPr>
        <w:t>u</w:t>
      </w:r>
      <w:r w:rsidRPr="00635A29">
        <w:rPr>
          <w:rFonts w:cs="Arial"/>
          <w:b/>
          <w:sz w:val="18"/>
          <w:szCs w:val="18"/>
        </w:rPr>
        <w:t>nie</w:t>
      </w:r>
      <w:r w:rsidRPr="00635A29">
        <w:rPr>
          <w:rFonts w:cs="Arial"/>
          <w:sz w:val="18"/>
          <w:szCs w:val="18"/>
        </w:rPr>
        <w:t xml:space="preserve"> (dále také „</w:t>
      </w:r>
      <w:r w:rsidRPr="00635A29">
        <w:rPr>
          <w:rFonts w:cs="Arial"/>
          <w:b/>
          <w:sz w:val="18"/>
          <w:szCs w:val="18"/>
        </w:rPr>
        <w:t>TFEU</w:t>
      </w:r>
      <w:r w:rsidRPr="00635A29">
        <w:rPr>
          <w:rFonts w:cs="Arial"/>
          <w:sz w:val="18"/>
          <w:szCs w:val="18"/>
        </w:rPr>
        <w:t>“)</w:t>
      </w:r>
      <w:r>
        <w:rPr>
          <w:rFonts w:cs="Arial"/>
          <w:sz w:val="18"/>
          <w:szCs w:val="18"/>
        </w:rPr>
        <w:t>.</w:t>
      </w:r>
    </w:p>
  </w:footnote>
  <w:footnote w:id="11">
    <w:p w14:paraId="3F25ACE8" w14:textId="033A7BC5" w:rsidR="00616A80" w:rsidRPr="00635A29" w:rsidRDefault="00616A80">
      <w:pPr>
        <w:autoSpaceDE w:val="0"/>
        <w:autoSpaceDN w:val="0"/>
        <w:adjustRightInd w:val="0"/>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rFonts w:cs="Arial"/>
          <w:sz w:val="18"/>
          <w:szCs w:val="18"/>
        </w:rPr>
        <w:t>Přijetím novely, kterou představoval zákon č. 258/2011 Sb., kterým se mění zákon č. 137/2006 Sb., o</w:t>
      </w:r>
      <w:r>
        <w:rPr>
          <w:rFonts w:cs="Arial"/>
          <w:sz w:val="18"/>
          <w:szCs w:val="18"/>
        </w:rPr>
        <w:t> </w:t>
      </w:r>
      <w:r w:rsidRPr="00635A29">
        <w:rPr>
          <w:rFonts w:cs="Arial"/>
          <w:sz w:val="18"/>
          <w:szCs w:val="18"/>
        </w:rPr>
        <w:t>veřejných zakázkách, ve znění pozdějších předpisů</w:t>
      </w:r>
      <w:r>
        <w:rPr>
          <w:rFonts w:cs="Arial"/>
          <w:sz w:val="18"/>
          <w:szCs w:val="18"/>
        </w:rPr>
        <w:t>,</w:t>
      </w:r>
      <w:r w:rsidRPr="00635A29">
        <w:rPr>
          <w:rFonts w:cs="Arial"/>
          <w:sz w:val="18"/>
          <w:szCs w:val="18"/>
        </w:rPr>
        <w:t xml:space="preserve"> splnila Česká republika povinnost transponovat směrnici Evropského parlamentu a Rady 2009/81/ES ze dne 13. července 2009</w:t>
      </w:r>
      <w:r>
        <w:rPr>
          <w:rFonts w:cs="Arial"/>
          <w:sz w:val="18"/>
          <w:szCs w:val="18"/>
        </w:rPr>
        <w:t>,</w:t>
      </w:r>
      <w:r w:rsidRPr="00635A29">
        <w:rPr>
          <w:rFonts w:cs="Arial"/>
          <w:sz w:val="18"/>
          <w:szCs w:val="18"/>
        </w:rPr>
        <w:t xml:space="preserve"> o koordinaci postupů při zadávání některých zakázek na stavební práce, dodávky a služby zadavateli v oblasti obrany a bezpečnosti a</w:t>
      </w:r>
      <w:r>
        <w:rPr>
          <w:rFonts w:cs="Arial"/>
          <w:sz w:val="18"/>
          <w:szCs w:val="18"/>
        </w:rPr>
        <w:t> </w:t>
      </w:r>
      <w:r w:rsidRPr="00635A29">
        <w:rPr>
          <w:rFonts w:cs="Arial"/>
          <w:sz w:val="18"/>
          <w:szCs w:val="18"/>
        </w:rPr>
        <w:t xml:space="preserve">o změně směrnic 2004/17/ES a 2004/18/ES. </w:t>
      </w:r>
    </w:p>
  </w:footnote>
  <w:footnote w:id="12">
    <w:p w14:paraId="3F25ACE9" w14:textId="4A1668E1" w:rsidR="00616A80" w:rsidRPr="002A3031" w:rsidRDefault="00616A80">
      <w:pPr>
        <w:pStyle w:val="Textpoznpodarou"/>
        <w:ind w:left="284" w:hanging="284"/>
        <w:jc w:val="both"/>
        <w:rPr>
          <w:sz w:val="18"/>
          <w:szCs w:val="18"/>
        </w:rPr>
      </w:pPr>
      <w:r w:rsidRPr="002A3031">
        <w:rPr>
          <w:rStyle w:val="Znakapoznpodarou"/>
          <w:sz w:val="18"/>
          <w:szCs w:val="18"/>
        </w:rPr>
        <w:footnoteRef/>
      </w:r>
      <w:r w:rsidRPr="002A3031">
        <w:rPr>
          <w:sz w:val="18"/>
          <w:szCs w:val="18"/>
        </w:rPr>
        <w:tab/>
        <w:t>Usnesení vlády ČR ze dne 15. srpna 2012 č. 594</w:t>
      </w:r>
      <w:r>
        <w:rPr>
          <w:sz w:val="18"/>
          <w:szCs w:val="18"/>
        </w:rPr>
        <w:t>,</w:t>
      </w:r>
      <w:r w:rsidRPr="00635A29">
        <w:rPr>
          <w:i/>
          <w:sz w:val="18"/>
          <w:szCs w:val="18"/>
        </w:rPr>
        <w:t xml:space="preserve"> ke změnám v uplatňování Zásad realizace programů průmyslové spolupráce</w:t>
      </w:r>
      <w:r>
        <w:rPr>
          <w:sz w:val="18"/>
          <w:szCs w:val="18"/>
        </w:rPr>
        <w:t>.</w:t>
      </w:r>
    </w:p>
  </w:footnote>
  <w:footnote w:id="13">
    <w:p w14:paraId="3F25ACEA" w14:textId="1D136E58"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2A3031">
        <w:rPr>
          <w:rFonts w:cs="Arial"/>
          <w:b/>
          <w:bCs/>
          <w:sz w:val="18"/>
          <w:szCs w:val="18"/>
        </w:rPr>
        <w:t>Směrnice Evropského parlamentu a Rady 2009/81/ES</w:t>
      </w:r>
      <w:r w:rsidRPr="002A3031">
        <w:rPr>
          <w:rFonts w:cs="Arial"/>
          <w:sz w:val="18"/>
          <w:szCs w:val="18"/>
        </w:rPr>
        <w:t xml:space="preserve"> ze dne 13. července 2009</w:t>
      </w:r>
      <w:r>
        <w:rPr>
          <w:rFonts w:cs="Arial"/>
          <w:i/>
          <w:sz w:val="18"/>
          <w:szCs w:val="18"/>
        </w:rPr>
        <w:t>,</w:t>
      </w:r>
      <w:r w:rsidRPr="00635A29">
        <w:rPr>
          <w:rFonts w:cs="Arial"/>
          <w:i/>
          <w:sz w:val="18"/>
          <w:szCs w:val="18"/>
        </w:rPr>
        <w:t xml:space="preserve"> o koordinaci postupů při zadávání některých zakázek na stavební práce, dodávky a služby zadavateli v oblasti obrany a bezpečnosti a</w:t>
      </w:r>
      <w:r>
        <w:rPr>
          <w:rFonts w:cs="Arial"/>
          <w:i/>
          <w:sz w:val="18"/>
          <w:szCs w:val="18"/>
        </w:rPr>
        <w:t> </w:t>
      </w:r>
      <w:r w:rsidRPr="00635A29">
        <w:rPr>
          <w:rFonts w:cs="Arial"/>
          <w:i/>
          <w:sz w:val="18"/>
          <w:szCs w:val="18"/>
        </w:rPr>
        <w:t>o změně směrnic 2004/17/ES a 2004/18/ES</w:t>
      </w:r>
      <w:r>
        <w:rPr>
          <w:rFonts w:cs="Arial"/>
          <w:i/>
          <w:sz w:val="18"/>
          <w:szCs w:val="18"/>
        </w:rPr>
        <w:t>.</w:t>
      </w:r>
    </w:p>
  </w:footnote>
  <w:footnote w:id="14">
    <w:p w14:paraId="3F25ACEB" w14:textId="357CA0E8"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R</w:t>
      </w:r>
      <w:r w:rsidRPr="00635A29">
        <w:rPr>
          <w:rFonts w:cs="Arial"/>
          <w:sz w:val="18"/>
          <w:szCs w:val="18"/>
        </w:rPr>
        <w:t>ozhodnutí říd</w:t>
      </w:r>
      <w:r>
        <w:rPr>
          <w:rFonts w:cs="Arial"/>
          <w:sz w:val="18"/>
          <w:szCs w:val="18"/>
        </w:rPr>
        <w:t>i</w:t>
      </w:r>
      <w:r w:rsidRPr="00635A29">
        <w:rPr>
          <w:rFonts w:cs="Arial"/>
          <w:sz w:val="18"/>
          <w:szCs w:val="18"/>
        </w:rPr>
        <w:t>cího výboru Evropské obranné agentury (EDA) č. 2008/31</w:t>
      </w:r>
      <w:r>
        <w:rPr>
          <w:rFonts w:cs="Arial"/>
          <w:sz w:val="18"/>
          <w:szCs w:val="18"/>
        </w:rPr>
        <w:t>,</w:t>
      </w:r>
      <w:r w:rsidRPr="00635A29">
        <w:rPr>
          <w:rFonts w:cs="Arial"/>
          <w:sz w:val="18"/>
          <w:szCs w:val="18"/>
        </w:rPr>
        <w:t xml:space="preserve"> o kodexu chování při uplatňování offsetů (</w:t>
      </w:r>
      <w:r w:rsidRPr="00DB37E6">
        <w:rPr>
          <w:rFonts w:cs="Arial"/>
          <w:sz w:val="18"/>
          <w:szCs w:val="18"/>
        </w:rPr>
        <w:t>Code of Conduct on Offsets</w:t>
      </w:r>
      <w:r w:rsidRPr="00635A29">
        <w:rPr>
          <w:rFonts w:cs="Arial"/>
          <w:sz w:val="18"/>
          <w:szCs w:val="18"/>
        </w:rPr>
        <w:t>)</w:t>
      </w:r>
      <w:r>
        <w:rPr>
          <w:rFonts w:cs="Arial"/>
          <w:sz w:val="18"/>
          <w:szCs w:val="18"/>
        </w:rPr>
        <w:t>,</w:t>
      </w:r>
      <w:r w:rsidRPr="00635A29">
        <w:rPr>
          <w:rFonts w:cs="Arial"/>
          <w:sz w:val="18"/>
          <w:szCs w:val="18"/>
        </w:rPr>
        <w:t xml:space="preserve"> ze dne 15. 10. 2008 (dále také „Kodex“), k jehož implementaci se ČR zavázala od 1. 9. 2009. Kodex byl vytvořen v průběhu roku 2008</w:t>
      </w:r>
      <w:r>
        <w:rPr>
          <w:rFonts w:cs="Arial"/>
          <w:sz w:val="18"/>
          <w:szCs w:val="18"/>
        </w:rPr>
        <w:t xml:space="preserve"> </w:t>
      </w:r>
      <w:r w:rsidRPr="00635A29">
        <w:rPr>
          <w:rFonts w:cs="Arial"/>
          <w:sz w:val="18"/>
          <w:szCs w:val="18"/>
        </w:rPr>
        <w:t xml:space="preserve">expertní skupinou členských států EDA </w:t>
      </w:r>
      <w:r>
        <w:rPr>
          <w:rFonts w:cs="Arial"/>
          <w:sz w:val="18"/>
          <w:szCs w:val="18"/>
        </w:rPr>
        <w:t>za účasti</w:t>
      </w:r>
      <w:r w:rsidRPr="00635A29">
        <w:rPr>
          <w:rFonts w:cs="Arial"/>
          <w:sz w:val="18"/>
          <w:szCs w:val="18"/>
        </w:rPr>
        <w:t xml:space="preserve"> zástupce MPO a MO.</w:t>
      </w:r>
    </w:p>
  </w:footnote>
  <w:footnote w:id="15">
    <w:p w14:paraId="3F25ACEC" w14:textId="5F2A95C3" w:rsidR="00616A80" w:rsidRPr="00DB37E6"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Zákon č. 248/2011 Sb., kterým se mění zákon č. 38/1994 Sb., o zahraničním obchodu s vojenským materiálem a o doplnění zákona č. 455/1991 Sb., o živnostenském podnikání (živnostenský zákon), ve znění pozdějších předpisů, a zákona č. 140/1961 Sb., trestní zákon, ve znění pozdějších předpisů</w:t>
      </w:r>
      <w:r>
        <w:rPr>
          <w:sz w:val="18"/>
          <w:szCs w:val="18"/>
        </w:rPr>
        <w:t xml:space="preserve">, </w:t>
      </w:r>
      <w:r w:rsidRPr="00635A29">
        <w:rPr>
          <w:sz w:val="18"/>
          <w:szCs w:val="18"/>
        </w:rPr>
        <w:t>ve znění pozdějších předpisů.</w:t>
      </w:r>
    </w:p>
  </w:footnote>
  <w:footnote w:id="16">
    <w:p w14:paraId="3F25ACED" w14:textId="65EC9D21" w:rsidR="00616A80" w:rsidRPr="00635A29" w:rsidRDefault="00616A80" w:rsidP="00DB37E6">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 xml:space="preserve">MPO </w:t>
      </w:r>
      <w:r>
        <w:rPr>
          <w:sz w:val="18"/>
          <w:szCs w:val="18"/>
        </w:rPr>
        <w:t>v</w:t>
      </w:r>
      <w:r w:rsidRPr="00635A29">
        <w:rPr>
          <w:sz w:val="18"/>
          <w:szCs w:val="18"/>
        </w:rPr>
        <w:t xml:space="preserve"> odpovědi </w:t>
      </w:r>
      <w:r>
        <w:rPr>
          <w:sz w:val="18"/>
          <w:szCs w:val="18"/>
        </w:rPr>
        <w:t xml:space="preserve">na </w:t>
      </w:r>
      <w:r w:rsidRPr="00635A29">
        <w:rPr>
          <w:sz w:val="18"/>
          <w:szCs w:val="18"/>
        </w:rPr>
        <w:t xml:space="preserve">žádost NKÚ definovalo markantní navýšení </w:t>
      </w:r>
      <w:r>
        <w:rPr>
          <w:sz w:val="18"/>
          <w:szCs w:val="18"/>
        </w:rPr>
        <w:t>pouze obecně, sdělilo, že se jedná o </w:t>
      </w:r>
      <w:r w:rsidRPr="00635A29">
        <w:rPr>
          <w:sz w:val="18"/>
          <w:szCs w:val="18"/>
        </w:rPr>
        <w:t xml:space="preserve">navýšení zakázky řádově o desítky procent. Pro potřebu kontroly </w:t>
      </w:r>
      <w:r>
        <w:rPr>
          <w:sz w:val="18"/>
          <w:szCs w:val="18"/>
        </w:rPr>
        <w:t>tedy</w:t>
      </w:r>
      <w:r w:rsidRPr="00635A29">
        <w:rPr>
          <w:sz w:val="18"/>
          <w:szCs w:val="18"/>
        </w:rPr>
        <w:t xml:space="preserve"> NKÚ stanov</w:t>
      </w:r>
      <w:r>
        <w:rPr>
          <w:sz w:val="18"/>
          <w:szCs w:val="18"/>
        </w:rPr>
        <w:t>il toto</w:t>
      </w:r>
      <w:r w:rsidRPr="00635A29">
        <w:rPr>
          <w:sz w:val="18"/>
          <w:szCs w:val="18"/>
        </w:rPr>
        <w:t xml:space="preserve"> kritérium </w:t>
      </w:r>
      <w:r>
        <w:rPr>
          <w:sz w:val="18"/>
          <w:szCs w:val="18"/>
        </w:rPr>
        <w:t>ve výši</w:t>
      </w:r>
      <w:r w:rsidRPr="00635A29">
        <w:rPr>
          <w:sz w:val="18"/>
          <w:szCs w:val="18"/>
        </w:rPr>
        <w:t xml:space="preserve"> min. 20 %.</w:t>
      </w:r>
    </w:p>
  </w:footnote>
  <w:footnote w:id="17">
    <w:p w14:paraId="3F25ACEE" w14:textId="44AC49A6" w:rsidR="00616A80" w:rsidRPr="00635A29" w:rsidRDefault="00616A80" w:rsidP="00DB37E6">
      <w:pPr>
        <w:autoSpaceDE w:val="0"/>
        <w:autoSpaceDN w:val="0"/>
        <w:adjustRightInd w:val="0"/>
        <w:ind w:left="284" w:hanging="284"/>
        <w:rPr>
          <w:sz w:val="18"/>
          <w:szCs w:val="18"/>
        </w:rPr>
      </w:pPr>
      <w:r w:rsidRPr="00635A29">
        <w:rPr>
          <w:rStyle w:val="Znakapoznpodarou"/>
          <w:sz w:val="18"/>
          <w:szCs w:val="18"/>
        </w:rPr>
        <w:footnoteRef/>
      </w:r>
      <w:r>
        <w:rPr>
          <w:rFonts w:cs="Arial"/>
          <w:bCs/>
          <w:sz w:val="18"/>
          <w:szCs w:val="18"/>
        </w:rPr>
        <w:tab/>
      </w:r>
      <w:r w:rsidRPr="00635A29">
        <w:rPr>
          <w:rFonts w:cs="Arial"/>
          <w:bCs/>
          <w:sz w:val="18"/>
          <w:szCs w:val="18"/>
        </w:rPr>
        <w:t xml:space="preserve">Sekretariát </w:t>
      </w:r>
      <w:r w:rsidRPr="003417CC">
        <w:rPr>
          <w:rFonts w:cs="Arial"/>
          <w:bCs/>
          <w:sz w:val="18"/>
          <w:szCs w:val="18"/>
        </w:rPr>
        <w:t>OECD (</w:t>
      </w:r>
      <w:r w:rsidRPr="00DB37E6">
        <w:rPr>
          <w:rFonts w:cs="Arial"/>
          <w:sz w:val="18"/>
          <w:szCs w:val="18"/>
          <w:lang w:val="en-GB"/>
        </w:rPr>
        <w:t>Organisation for Economic Co-operation and Development</w:t>
      </w:r>
      <w:r w:rsidRPr="00DB37E6">
        <w:rPr>
          <w:rFonts w:cs="Arial"/>
          <w:sz w:val="18"/>
          <w:szCs w:val="18"/>
        </w:rPr>
        <w:t xml:space="preserve">) </w:t>
      </w:r>
      <w:r w:rsidRPr="003417CC">
        <w:rPr>
          <w:rFonts w:cs="Arial"/>
          <w:bCs/>
          <w:sz w:val="18"/>
          <w:szCs w:val="18"/>
        </w:rPr>
        <w:t>publikoval</w:t>
      </w:r>
      <w:r w:rsidRPr="00635A29">
        <w:rPr>
          <w:rFonts w:cs="Arial"/>
          <w:bCs/>
          <w:sz w:val="18"/>
          <w:szCs w:val="18"/>
        </w:rPr>
        <w:t xml:space="preserve"> pod č. 1997/2 </w:t>
      </w:r>
      <w:r w:rsidRPr="00DB37E6">
        <w:rPr>
          <w:rFonts w:cs="Arial"/>
          <w:bCs/>
          <w:i/>
          <w:sz w:val="18"/>
          <w:szCs w:val="18"/>
        </w:rPr>
        <w:t>Revizi klasifikací vysokoúrovňových sektorů a klasifikace produkce</w:t>
      </w:r>
      <w:r w:rsidRPr="00635A29">
        <w:rPr>
          <w:rFonts w:cs="Arial"/>
          <w:bCs/>
          <w:sz w:val="18"/>
          <w:szCs w:val="18"/>
        </w:rPr>
        <w:t xml:space="preserve"> (</w:t>
      </w:r>
      <w:r w:rsidRPr="00DB37E6">
        <w:rPr>
          <w:rFonts w:cs="Arial"/>
          <w:bCs/>
          <w:i/>
          <w:sz w:val="18"/>
          <w:szCs w:val="18"/>
          <w:lang w:val="en-US"/>
        </w:rPr>
        <w:t>Revision of the High-Technology Sector and Product Classification</w:t>
      </w:r>
      <w:r w:rsidRPr="00635A29">
        <w:rPr>
          <w:rFonts w:cs="Arial"/>
          <w:bCs/>
          <w:sz w:val="18"/>
          <w:szCs w:val="18"/>
        </w:rPr>
        <w:t>)</w:t>
      </w:r>
      <w:r>
        <w:rPr>
          <w:rFonts w:cs="Arial"/>
          <w:bCs/>
          <w:sz w:val="18"/>
          <w:szCs w:val="18"/>
        </w:rPr>
        <w:t>.</w:t>
      </w:r>
    </w:p>
  </w:footnote>
  <w:footnote w:id="18">
    <w:p w14:paraId="3F25ACEF" w14:textId="02CDA1F0" w:rsidR="00616A80" w:rsidRPr="00635A29" w:rsidRDefault="00616A80" w:rsidP="007A7093">
      <w:pPr>
        <w:pStyle w:val="Textpoznpodarou"/>
        <w:ind w:left="284" w:hanging="284"/>
        <w:jc w:val="both"/>
        <w:rPr>
          <w:sz w:val="18"/>
          <w:szCs w:val="18"/>
        </w:rPr>
      </w:pPr>
      <w:r w:rsidRPr="00635A29">
        <w:rPr>
          <w:rStyle w:val="Znakapoznpodarou"/>
          <w:sz w:val="18"/>
          <w:szCs w:val="18"/>
        </w:rPr>
        <w:footnoteRef/>
      </w:r>
      <w:r>
        <w:rPr>
          <w:sz w:val="18"/>
          <w:szCs w:val="18"/>
        </w:rPr>
        <w:tab/>
      </w:r>
      <w:r w:rsidRPr="00635A29">
        <w:rPr>
          <w:sz w:val="18"/>
          <w:szCs w:val="18"/>
        </w:rPr>
        <w:t>Rozumí se veřejná zakázka, v</w:t>
      </w:r>
      <w:r>
        <w:rPr>
          <w:sz w:val="18"/>
          <w:szCs w:val="18"/>
        </w:rPr>
        <w:t xml:space="preserve"> jejíž </w:t>
      </w:r>
      <w:r w:rsidRPr="00635A29">
        <w:rPr>
          <w:sz w:val="18"/>
          <w:szCs w:val="18"/>
        </w:rPr>
        <w:t>souvislosti vznikla offsetov</w:t>
      </w:r>
      <w:r>
        <w:rPr>
          <w:sz w:val="18"/>
          <w:szCs w:val="18"/>
        </w:rPr>
        <w:t>á</w:t>
      </w:r>
      <w:r w:rsidRPr="00635A29">
        <w:rPr>
          <w:sz w:val="18"/>
          <w:szCs w:val="18"/>
        </w:rPr>
        <w:t xml:space="preserve"> povinnost.</w:t>
      </w:r>
    </w:p>
  </w:footnote>
  <w:footnote w:id="19">
    <w:p w14:paraId="3F25ACF0" w14:textId="65C13021" w:rsidR="00616A80" w:rsidRPr="00635A29" w:rsidRDefault="00616A80" w:rsidP="007A7093">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 xml:space="preserve">Podíl národní práce měl představovat hodnotu minimálně 40 % smluvní ceny dohodnutých dodávek. Podmínky byly vládou stanoveny v době, kdy ČR nebyla vázána mezinárodní </w:t>
      </w:r>
      <w:r>
        <w:rPr>
          <w:sz w:val="18"/>
          <w:szCs w:val="18"/>
        </w:rPr>
        <w:t>d</w:t>
      </w:r>
      <w:r w:rsidRPr="00635A29">
        <w:rPr>
          <w:sz w:val="18"/>
          <w:szCs w:val="18"/>
        </w:rPr>
        <w:t>ohodou o veřejných zakázkách (GPA).</w:t>
      </w:r>
    </w:p>
  </w:footnote>
  <w:footnote w:id="20">
    <w:p w14:paraId="0A2631C6" w14:textId="77777777" w:rsidR="00616A80" w:rsidRPr="00635A29" w:rsidRDefault="00616A80" w:rsidP="001059CA">
      <w:pPr>
        <w:pStyle w:val="Textpoznpodarou"/>
        <w:ind w:left="284" w:hanging="284"/>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 xml:space="preserve">Nejvyšší podíl předoffsetů (52 %) na uznaném plnění vykazuje PPS GRIPEN. </w:t>
      </w:r>
    </w:p>
  </w:footnote>
  <w:footnote w:id="21">
    <w:p w14:paraId="3F25ACF2" w14:textId="32009DB2" w:rsidR="00616A80" w:rsidRPr="00635A29" w:rsidRDefault="00616A80" w:rsidP="009C019C">
      <w:pPr>
        <w:pStyle w:val="Textpoznpodarou"/>
        <w:ind w:left="284" w:hanging="284"/>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Kontrol</w:t>
      </w:r>
      <w:r>
        <w:rPr>
          <w:sz w:val="18"/>
          <w:szCs w:val="18"/>
        </w:rPr>
        <w:t>a</w:t>
      </w:r>
      <w:r w:rsidRPr="00635A29">
        <w:rPr>
          <w:sz w:val="18"/>
          <w:szCs w:val="18"/>
        </w:rPr>
        <w:t xml:space="preserve"> u MV </w:t>
      </w:r>
      <w:r>
        <w:rPr>
          <w:sz w:val="18"/>
          <w:szCs w:val="18"/>
        </w:rPr>
        <w:t>byla ukončena</w:t>
      </w:r>
      <w:r w:rsidRPr="00635A29">
        <w:rPr>
          <w:sz w:val="18"/>
          <w:szCs w:val="18"/>
        </w:rPr>
        <w:t xml:space="preserve"> ke dni 31. 10. 2012</w:t>
      </w:r>
      <w:r>
        <w:rPr>
          <w:sz w:val="18"/>
          <w:szCs w:val="18"/>
        </w:rPr>
        <w:t>.</w:t>
      </w:r>
    </w:p>
  </w:footnote>
  <w:footnote w:id="22">
    <w:p w14:paraId="3F25ACF3" w14:textId="77777777" w:rsidR="00616A80" w:rsidRPr="00635A29" w:rsidRDefault="00616A80" w:rsidP="0052334B">
      <w:pPr>
        <w:pStyle w:val="Textpoznpodarou"/>
        <w:ind w:left="284" w:hanging="284"/>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Rozumí se bez započtení PPS Pendolino.</w:t>
      </w:r>
    </w:p>
  </w:footnote>
  <w:footnote w:id="23">
    <w:p w14:paraId="3F25ACF4" w14:textId="21D33865" w:rsidR="00616A80" w:rsidRPr="00635A29" w:rsidRDefault="00616A80" w:rsidP="0052334B">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Složení OFK ze zástupců jednotlivých ústředních orgánů státní správy a dalších státních organizací se měnilo dle příslušných Zásad. Statuty OFK stanovily 15, resp. 16 členů v případě Zásad 2005</w:t>
      </w:r>
      <w:r>
        <w:rPr>
          <w:sz w:val="18"/>
          <w:szCs w:val="18"/>
        </w:rPr>
        <w:t>;</w:t>
      </w:r>
      <w:r w:rsidRPr="00635A29">
        <w:rPr>
          <w:sz w:val="18"/>
          <w:szCs w:val="18"/>
        </w:rPr>
        <w:t xml:space="preserve"> kromě MPO, MO</w:t>
      </w:r>
      <w:r>
        <w:rPr>
          <w:sz w:val="18"/>
          <w:szCs w:val="18"/>
        </w:rPr>
        <w:t xml:space="preserve"> a </w:t>
      </w:r>
      <w:r w:rsidRPr="00635A29">
        <w:rPr>
          <w:sz w:val="18"/>
          <w:szCs w:val="18"/>
        </w:rPr>
        <w:t xml:space="preserve">MV </w:t>
      </w:r>
      <w:r>
        <w:rPr>
          <w:sz w:val="18"/>
          <w:szCs w:val="18"/>
        </w:rPr>
        <w:t xml:space="preserve">měly v komisi své zástupce </w:t>
      </w:r>
      <w:r w:rsidRPr="00635A29">
        <w:rPr>
          <w:sz w:val="18"/>
          <w:szCs w:val="18"/>
        </w:rPr>
        <w:t xml:space="preserve">např. Ministerstvo dopravy a spojů, Ministerstvo zemědělství, Ministerstvo pro místní rozvoj, Ministerstvo školství, mládeže a tělovýchovy atd. </w:t>
      </w:r>
    </w:p>
  </w:footnote>
  <w:footnote w:id="24">
    <w:p w14:paraId="3F25ACF5" w14:textId="3F274E16"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rFonts w:cs="Arial"/>
          <w:sz w:val="18"/>
          <w:szCs w:val="18"/>
        </w:rPr>
        <w:t>Odbor řízení projektu nadzvukového letounu byl u MO zřízen v roce 2004 a ředitel odboru byl podřízen příslušnému náměstkovi ministra obrany.</w:t>
      </w:r>
      <w:r w:rsidRPr="00BC6672">
        <w:rPr>
          <w:rFonts w:cs="Arial"/>
          <w:sz w:val="18"/>
          <w:szCs w:val="18"/>
        </w:rPr>
        <w:t xml:space="preserve"> </w:t>
      </w:r>
      <w:r w:rsidRPr="00E105E8">
        <w:rPr>
          <w:rFonts w:cs="Arial"/>
          <w:sz w:val="18"/>
          <w:szCs w:val="18"/>
        </w:rPr>
        <w:t xml:space="preserve">Část dokumentace PPS GRIPEN vedená tímto odborem nebyla </w:t>
      </w:r>
      <w:r>
        <w:rPr>
          <w:rFonts w:cs="Arial"/>
          <w:sz w:val="18"/>
          <w:szCs w:val="18"/>
        </w:rPr>
        <w:t>předložena</w:t>
      </w:r>
      <w:r w:rsidRPr="00E105E8">
        <w:rPr>
          <w:rFonts w:cs="Arial"/>
          <w:sz w:val="18"/>
          <w:szCs w:val="18"/>
        </w:rPr>
        <w:t xml:space="preserve"> NKÚ ke kontrole s odůvodněním, že ji MO nebylo schopno dohledat.</w:t>
      </w:r>
    </w:p>
  </w:footnote>
  <w:footnote w:id="25">
    <w:p w14:paraId="3F25ACF6" w14:textId="61EB8233"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Dle statutu se primárně zabýval přípravou offsetov</w:t>
      </w:r>
      <w:r>
        <w:rPr>
          <w:sz w:val="18"/>
          <w:szCs w:val="18"/>
        </w:rPr>
        <w:t>ých</w:t>
      </w:r>
      <w:r w:rsidRPr="00635A29">
        <w:rPr>
          <w:sz w:val="18"/>
          <w:szCs w:val="18"/>
        </w:rPr>
        <w:t xml:space="preserve"> dohod, výběrem externího auditora, kontrolou výročních zpráv o plnění PPS a přípravou podkladů k vydání stanoviska. </w:t>
      </w:r>
    </w:p>
  </w:footnote>
  <w:footnote w:id="26">
    <w:p w14:paraId="3F25ACF7" w14:textId="038A1287" w:rsidR="00616A80" w:rsidRPr="00635A29" w:rsidRDefault="00616A80">
      <w:pPr>
        <w:pStyle w:val="Textpoznpodarou"/>
        <w:ind w:left="284" w:hanging="284"/>
        <w:rPr>
          <w:sz w:val="18"/>
          <w:szCs w:val="18"/>
        </w:rPr>
      </w:pPr>
      <w:r w:rsidRPr="00635A29">
        <w:rPr>
          <w:rStyle w:val="Znakapoznpodarou"/>
          <w:sz w:val="18"/>
          <w:szCs w:val="18"/>
        </w:rPr>
        <w:footnoteRef/>
      </w:r>
      <w:r w:rsidRPr="00635A29">
        <w:rPr>
          <w:sz w:val="18"/>
          <w:szCs w:val="18"/>
        </w:rPr>
        <w:t xml:space="preserve"> </w:t>
      </w:r>
      <w:r>
        <w:rPr>
          <w:sz w:val="18"/>
          <w:szCs w:val="18"/>
        </w:rPr>
        <w:tab/>
      </w:r>
      <w:r>
        <w:rPr>
          <w:rFonts w:cs="Arial"/>
          <w:bCs/>
          <w:sz w:val="18"/>
          <w:szCs w:val="18"/>
        </w:rPr>
        <w:t>N</w:t>
      </w:r>
      <w:r w:rsidRPr="00635A29">
        <w:rPr>
          <w:rFonts w:cs="Arial"/>
          <w:bCs/>
          <w:sz w:val="18"/>
          <w:szCs w:val="18"/>
        </w:rPr>
        <w:t xml:space="preserve">ávrhy OFT schválené </w:t>
      </w:r>
      <w:r>
        <w:rPr>
          <w:rFonts w:cs="Arial"/>
          <w:bCs/>
          <w:sz w:val="18"/>
          <w:szCs w:val="18"/>
        </w:rPr>
        <w:t xml:space="preserve">offsetovou komisí </w:t>
      </w:r>
      <w:r w:rsidRPr="00635A29">
        <w:rPr>
          <w:rFonts w:cs="Arial"/>
          <w:bCs/>
          <w:sz w:val="18"/>
          <w:szCs w:val="18"/>
        </w:rPr>
        <w:t>byly zpravidla označovány jako „OF/</w:t>
      </w:r>
      <w:r w:rsidRPr="00635A29">
        <w:rPr>
          <w:rFonts w:cs="Arial"/>
          <w:bCs/>
          <w:i/>
          <w:sz w:val="18"/>
          <w:szCs w:val="18"/>
        </w:rPr>
        <w:t>pořadové číslo</w:t>
      </w:r>
      <w:r w:rsidRPr="00635A29">
        <w:rPr>
          <w:rFonts w:cs="Arial"/>
          <w:bCs/>
          <w:sz w:val="18"/>
          <w:szCs w:val="18"/>
        </w:rPr>
        <w:t>“.</w:t>
      </w:r>
    </w:p>
  </w:footnote>
  <w:footnote w:id="27">
    <w:p w14:paraId="3F25ACF8" w14:textId="39C271F5" w:rsidR="00616A80" w:rsidRPr="00635A29" w:rsidRDefault="00616A80">
      <w:pPr>
        <w:pStyle w:val="Textpoznpodarou"/>
        <w:ind w:left="284" w:hanging="284"/>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Úpravy údajů bylo možné činit bez možnosti ověření historie těchto úprav, resp. bez možnosti ověření předchozího stavu.</w:t>
      </w:r>
    </w:p>
  </w:footnote>
  <w:footnote w:id="28">
    <w:p w14:paraId="3F25ACF9" w14:textId="62F57D17" w:rsidR="00616A80" w:rsidRPr="00635A29" w:rsidRDefault="00616A80">
      <w:pPr>
        <w:pStyle w:val="Textpoznpodarou"/>
        <w:ind w:left="284" w:hanging="284"/>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 xml:space="preserve">Podle dokladů MPO předložených </w:t>
      </w:r>
      <w:r>
        <w:rPr>
          <w:sz w:val="18"/>
          <w:szCs w:val="18"/>
        </w:rPr>
        <w:t xml:space="preserve">ke kontrole </w:t>
      </w:r>
      <w:r w:rsidRPr="00635A29">
        <w:rPr>
          <w:sz w:val="18"/>
          <w:szCs w:val="18"/>
        </w:rPr>
        <w:t>bylo u PPS PENDOLINO evidováno 28 OFT.</w:t>
      </w:r>
    </w:p>
  </w:footnote>
  <w:footnote w:id="29">
    <w:p w14:paraId="3F25ACFA" w14:textId="6B4AD527"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rFonts w:cs="Arial"/>
          <w:sz w:val="18"/>
          <w:szCs w:val="18"/>
        </w:rPr>
        <w:t>Za plnění zakázky ve skutečnosti odpovídala česká obchodní společnost jako vybraný uchazeč, který dodávky ze zahraničí zprostředkovával ve smyslu zákona č. 38/1994 Sb.</w:t>
      </w:r>
    </w:p>
  </w:footnote>
  <w:footnote w:id="30">
    <w:p w14:paraId="3F25ACFB" w14:textId="638494F7"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 xml:space="preserve">Efekt mrtvé váhy </w:t>
      </w:r>
      <w:r>
        <w:rPr>
          <w:sz w:val="18"/>
          <w:szCs w:val="18"/>
        </w:rPr>
        <w:t>vzniká</w:t>
      </w:r>
      <w:r w:rsidRPr="00635A29">
        <w:rPr>
          <w:sz w:val="18"/>
          <w:szCs w:val="18"/>
        </w:rPr>
        <w:t xml:space="preserve"> </w:t>
      </w:r>
      <w:r>
        <w:rPr>
          <w:sz w:val="18"/>
          <w:szCs w:val="18"/>
        </w:rPr>
        <w:t xml:space="preserve">v </w:t>
      </w:r>
      <w:r w:rsidRPr="00635A29">
        <w:rPr>
          <w:sz w:val="18"/>
          <w:szCs w:val="18"/>
        </w:rPr>
        <w:t>situac</w:t>
      </w:r>
      <w:r>
        <w:rPr>
          <w:sz w:val="18"/>
          <w:szCs w:val="18"/>
        </w:rPr>
        <w:t>i</w:t>
      </w:r>
      <w:r w:rsidRPr="00635A29">
        <w:rPr>
          <w:sz w:val="18"/>
          <w:szCs w:val="18"/>
        </w:rPr>
        <w:t xml:space="preserve">, kdy dotovaný projekt (v tomto případě podpořený investiční pobídkou za současného zahrnutí do plnění offsetového závazku) </w:t>
      </w:r>
      <w:r>
        <w:rPr>
          <w:sz w:val="18"/>
          <w:szCs w:val="18"/>
        </w:rPr>
        <w:t>je</w:t>
      </w:r>
      <w:r w:rsidRPr="00635A29">
        <w:rPr>
          <w:sz w:val="18"/>
          <w:szCs w:val="18"/>
        </w:rPr>
        <w:t xml:space="preserve"> zcela nebo zčásti realizován bez ohledu na tuto formu veřejné podpory. </w:t>
      </w:r>
    </w:p>
  </w:footnote>
  <w:footnote w:id="31">
    <w:p w14:paraId="3F25ACFC" w14:textId="1338AE00" w:rsidR="00616A80" w:rsidRPr="00635A29" w:rsidRDefault="00616A80">
      <w:pPr>
        <w:pStyle w:val="Textpoznpodarou"/>
        <w:ind w:left="284" w:hanging="284"/>
        <w:jc w:val="both"/>
        <w:rPr>
          <w:sz w:val="18"/>
          <w:szCs w:val="18"/>
        </w:rPr>
      </w:pPr>
      <w:r w:rsidRPr="00635A29">
        <w:rPr>
          <w:rStyle w:val="Znakapoznpodarou"/>
          <w:sz w:val="18"/>
          <w:szCs w:val="18"/>
        </w:rPr>
        <w:footnoteRef/>
      </w:r>
      <w:r>
        <w:rPr>
          <w:sz w:val="18"/>
          <w:szCs w:val="18"/>
        </w:rPr>
        <w:tab/>
      </w:r>
      <w:r w:rsidRPr="00635A29">
        <w:rPr>
          <w:sz w:val="18"/>
          <w:szCs w:val="18"/>
        </w:rPr>
        <w:t>Údaj o 147 OFT vychází z tabulky č. 3 a liší se od údaje v tabulce č. 2</w:t>
      </w:r>
      <w:r>
        <w:rPr>
          <w:sz w:val="18"/>
          <w:szCs w:val="18"/>
        </w:rPr>
        <w:t xml:space="preserve"> </w:t>
      </w:r>
      <w:r w:rsidRPr="00635A29">
        <w:rPr>
          <w:sz w:val="18"/>
          <w:szCs w:val="18"/>
        </w:rPr>
        <w:t>(15</w:t>
      </w:r>
      <w:r>
        <w:rPr>
          <w:sz w:val="18"/>
          <w:szCs w:val="18"/>
        </w:rPr>
        <w:t>5</w:t>
      </w:r>
      <w:r w:rsidRPr="00635A29">
        <w:rPr>
          <w:sz w:val="18"/>
          <w:szCs w:val="18"/>
        </w:rPr>
        <w:t xml:space="preserve"> OFT), neboť některé předoffsety nebyly přiřazeny ke konkrétnímu typu OFT.  </w:t>
      </w:r>
    </w:p>
  </w:footnote>
  <w:footnote w:id="32">
    <w:p w14:paraId="3F25ACFD" w14:textId="0077E270" w:rsidR="00616A80" w:rsidRPr="00635A29" w:rsidRDefault="00616A80">
      <w:pPr>
        <w:pStyle w:val="Textpoznpodarou"/>
        <w:ind w:left="284" w:hanging="284"/>
        <w:jc w:val="both"/>
        <w:rPr>
          <w:sz w:val="18"/>
          <w:szCs w:val="18"/>
        </w:rPr>
      </w:pPr>
      <w:r w:rsidRPr="00635A29">
        <w:rPr>
          <w:rStyle w:val="Znakapoznpodarou"/>
          <w:sz w:val="18"/>
          <w:szCs w:val="18"/>
        </w:rPr>
        <w:footnoteRef/>
      </w:r>
      <w:r>
        <w:rPr>
          <w:sz w:val="18"/>
          <w:szCs w:val="18"/>
        </w:rPr>
        <w:tab/>
      </w:r>
      <w:r w:rsidRPr="00635A29">
        <w:rPr>
          <w:sz w:val="18"/>
          <w:szCs w:val="18"/>
        </w:rPr>
        <w:t>Každý z českých partnerů byl v rámci každého PPS započítán pouze jednou. Pokud se podílel na realizaci více OFT v různých PPS</w:t>
      </w:r>
      <w:r>
        <w:rPr>
          <w:sz w:val="18"/>
          <w:szCs w:val="18"/>
        </w:rPr>
        <w:t>,</w:t>
      </w:r>
      <w:r w:rsidRPr="00635A29">
        <w:rPr>
          <w:sz w:val="18"/>
          <w:szCs w:val="18"/>
        </w:rPr>
        <w:t xml:space="preserve"> byl započten v každém z těchto PPS.  </w:t>
      </w:r>
    </w:p>
  </w:footnote>
  <w:footnote w:id="33">
    <w:p w14:paraId="3F25ACFE" w14:textId="51850DF1" w:rsidR="00616A80" w:rsidRPr="00635A29" w:rsidRDefault="00616A80">
      <w:pPr>
        <w:pStyle w:val="Textpoznpodarou"/>
        <w:ind w:left="284" w:hanging="284"/>
        <w:jc w:val="both"/>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Dříve vojenské opravárenské podniky s názvem VOP-026 Šternberk, s.p.</w:t>
      </w:r>
      <w:r>
        <w:rPr>
          <w:sz w:val="18"/>
          <w:szCs w:val="18"/>
        </w:rPr>
        <w:t>,</w:t>
      </w:r>
      <w:r w:rsidRPr="00635A29">
        <w:rPr>
          <w:sz w:val="18"/>
          <w:szCs w:val="18"/>
        </w:rPr>
        <w:t xml:space="preserve"> a VOP-025 Nový Jičín, s.p., jejichž zakladatelem bylo MO.</w:t>
      </w:r>
    </w:p>
  </w:footnote>
  <w:footnote w:id="34">
    <w:p w14:paraId="3F25ACFF" w14:textId="638BDB79" w:rsidR="00616A80" w:rsidRPr="00635A29" w:rsidRDefault="00616A80">
      <w:pPr>
        <w:pStyle w:val="Textpoznpodarou"/>
        <w:ind w:left="284" w:hanging="284"/>
        <w:jc w:val="both"/>
        <w:rPr>
          <w:sz w:val="18"/>
          <w:szCs w:val="18"/>
        </w:rPr>
      </w:pPr>
      <w:r w:rsidRPr="00A77368">
        <w:rPr>
          <w:rStyle w:val="Znakapoznpodarou"/>
          <w:sz w:val="18"/>
          <w:szCs w:val="18"/>
        </w:rPr>
        <w:footnoteRef/>
      </w:r>
      <w:r w:rsidRPr="00A77368">
        <w:rPr>
          <w:sz w:val="18"/>
          <w:szCs w:val="18"/>
        </w:rPr>
        <w:t xml:space="preserve"> </w:t>
      </w:r>
      <w:r w:rsidRPr="00A77368">
        <w:rPr>
          <w:sz w:val="18"/>
          <w:szCs w:val="18"/>
        </w:rPr>
        <w:tab/>
        <w:t>Celkem 14 OFT ne</w:t>
      </w:r>
      <w:r w:rsidRPr="00635A29">
        <w:rPr>
          <w:sz w:val="18"/>
          <w:szCs w:val="18"/>
        </w:rPr>
        <w:t xml:space="preserve">mohlo být ověřeno, neboť nebylo předmětem evidence celních a finančních orgánů. U čtyř OFT (261, 260, 282, 296) </w:t>
      </w:r>
      <w:r>
        <w:rPr>
          <w:sz w:val="18"/>
          <w:szCs w:val="18"/>
        </w:rPr>
        <w:t xml:space="preserve">– </w:t>
      </w:r>
      <w:r w:rsidRPr="00635A29">
        <w:rPr>
          <w:sz w:val="18"/>
          <w:szCs w:val="18"/>
        </w:rPr>
        <w:t xml:space="preserve">ačkoli byly vykázány jako </w:t>
      </w:r>
      <w:r>
        <w:rPr>
          <w:sz w:val="18"/>
          <w:szCs w:val="18"/>
        </w:rPr>
        <w:t>„</w:t>
      </w:r>
      <w:r w:rsidRPr="00635A29">
        <w:rPr>
          <w:sz w:val="18"/>
          <w:szCs w:val="18"/>
        </w:rPr>
        <w:t>podpora</w:t>
      </w:r>
      <w:r>
        <w:rPr>
          <w:sz w:val="18"/>
          <w:szCs w:val="18"/>
        </w:rPr>
        <w:t xml:space="preserve"> </w:t>
      </w:r>
      <w:r w:rsidRPr="00635A29">
        <w:rPr>
          <w:sz w:val="18"/>
          <w:szCs w:val="18"/>
        </w:rPr>
        <w:t>exportu/export</w:t>
      </w:r>
      <w:r>
        <w:rPr>
          <w:sz w:val="18"/>
          <w:szCs w:val="18"/>
        </w:rPr>
        <w:t>“</w:t>
      </w:r>
      <w:r w:rsidRPr="00635A29">
        <w:rPr>
          <w:sz w:val="18"/>
          <w:szCs w:val="18"/>
        </w:rPr>
        <w:t xml:space="preserve"> nebo měly stanoven mechanismu</w:t>
      </w:r>
      <w:r>
        <w:rPr>
          <w:sz w:val="18"/>
          <w:szCs w:val="18"/>
        </w:rPr>
        <w:t>s</w:t>
      </w:r>
      <w:r w:rsidRPr="00635A29">
        <w:rPr>
          <w:sz w:val="18"/>
          <w:szCs w:val="18"/>
        </w:rPr>
        <w:t xml:space="preserve"> měření A </w:t>
      </w:r>
      <w:r>
        <w:rPr>
          <w:sz w:val="18"/>
          <w:szCs w:val="18"/>
        </w:rPr>
        <w:t xml:space="preserve">– </w:t>
      </w:r>
      <w:r w:rsidRPr="00635A29">
        <w:rPr>
          <w:sz w:val="18"/>
          <w:szCs w:val="18"/>
        </w:rPr>
        <w:t xml:space="preserve">se jednalo pouze o dodávky na tuzemský trh. Jedna OFT (185) byla exportem služeb a </w:t>
      </w:r>
      <w:r>
        <w:rPr>
          <w:sz w:val="18"/>
          <w:szCs w:val="18"/>
        </w:rPr>
        <w:t xml:space="preserve">jedna </w:t>
      </w:r>
      <w:r w:rsidRPr="00635A29">
        <w:rPr>
          <w:sz w:val="18"/>
          <w:szCs w:val="18"/>
        </w:rPr>
        <w:t>OFT (258) byla zrušena. U osmi OFT (50, 51, 52, 147, 148, 211, 213, 249) došlo k přenosu technologií a know-how.</w:t>
      </w:r>
    </w:p>
  </w:footnote>
  <w:footnote w:id="35">
    <w:p w14:paraId="3F25AD00" w14:textId="33331FFE" w:rsidR="00616A80" w:rsidRPr="00635A29" w:rsidRDefault="00616A80">
      <w:pPr>
        <w:pStyle w:val="Textpoznpodarou"/>
        <w:ind w:left="284" w:hanging="284"/>
        <w:jc w:val="both"/>
        <w:rPr>
          <w:sz w:val="18"/>
          <w:szCs w:val="18"/>
        </w:rPr>
      </w:pPr>
      <w:r w:rsidRPr="00635A29">
        <w:rPr>
          <w:rStyle w:val="Znakapoznpodarou"/>
          <w:sz w:val="18"/>
          <w:szCs w:val="18"/>
        </w:rPr>
        <w:footnoteRef/>
      </w:r>
      <w:r>
        <w:rPr>
          <w:sz w:val="18"/>
          <w:szCs w:val="18"/>
        </w:rPr>
        <w:tab/>
      </w:r>
      <w:r w:rsidRPr="00635A29">
        <w:rPr>
          <w:sz w:val="18"/>
          <w:szCs w:val="18"/>
        </w:rPr>
        <w:t xml:space="preserve">Tyto podmínky souvisí s uzavřením </w:t>
      </w:r>
      <w:r>
        <w:rPr>
          <w:rFonts w:cs="Arial"/>
          <w:sz w:val="18"/>
          <w:szCs w:val="18"/>
        </w:rPr>
        <w:t>s</w:t>
      </w:r>
      <w:r w:rsidRPr="00635A29">
        <w:rPr>
          <w:rFonts w:cs="Arial"/>
          <w:sz w:val="18"/>
          <w:szCs w:val="18"/>
        </w:rPr>
        <w:t>polečného memoranda o předoffsetových transakcích ze dne 16.</w:t>
      </w:r>
      <w:r>
        <w:rPr>
          <w:rFonts w:cs="Arial"/>
          <w:sz w:val="18"/>
          <w:szCs w:val="18"/>
        </w:rPr>
        <w:t> </w:t>
      </w:r>
      <w:r w:rsidRPr="00635A29">
        <w:rPr>
          <w:rFonts w:cs="Arial"/>
          <w:sz w:val="18"/>
          <w:szCs w:val="18"/>
        </w:rPr>
        <w:t>11.</w:t>
      </w:r>
      <w:r>
        <w:rPr>
          <w:rFonts w:cs="Arial"/>
          <w:sz w:val="18"/>
          <w:szCs w:val="18"/>
        </w:rPr>
        <w:t> </w:t>
      </w:r>
      <w:r w:rsidRPr="00635A29">
        <w:rPr>
          <w:rFonts w:cs="Arial"/>
          <w:sz w:val="18"/>
          <w:szCs w:val="18"/>
        </w:rPr>
        <w:t>1999 s offsetovou komisí, resp. MPO.</w:t>
      </w:r>
    </w:p>
  </w:footnote>
  <w:footnote w:id="36">
    <w:p w14:paraId="334B4CC4" w14:textId="7903E595" w:rsidR="00616A80" w:rsidRPr="00635A29" w:rsidRDefault="00616A80" w:rsidP="000A0843">
      <w:pPr>
        <w:pStyle w:val="Textpoznpodarou"/>
        <w:ind w:left="284" w:hanging="284"/>
        <w:rPr>
          <w:sz w:val="18"/>
          <w:szCs w:val="18"/>
        </w:rPr>
      </w:pPr>
      <w:r w:rsidRPr="00635A29">
        <w:rPr>
          <w:rStyle w:val="Znakapoznpodarou"/>
          <w:sz w:val="18"/>
          <w:szCs w:val="18"/>
        </w:rPr>
        <w:footnoteRef/>
      </w:r>
      <w:r>
        <w:rPr>
          <w:sz w:val="18"/>
          <w:szCs w:val="18"/>
        </w:rPr>
        <w:tab/>
      </w:r>
      <w:r w:rsidRPr="00F6465D">
        <w:rPr>
          <w:sz w:val="18"/>
          <w:szCs w:val="18"/>
        </w:rPr>
        <w:t>Viz příloha č. 3</w:t>
      </w:r>
      <w:r w:rsidRPr="00635A29">
        <w:rPr>
          <w:sz w:val="18"/>
          <w:szCs w:val="18"/>
        </w:rPr>
        <w:t xml:space="preserve"> – PPS GRIPEN</w:t>
      </w:r>
      <w:r>
        <w:rPr>
          <w:sz w:val="18"/>
          <w:szCs w:val="18"/>
        </w:rPr>
        <w:t>.</w:t>
      </w:r>
    </w:p>
  </w:footnote>
  <w:footnote w:id="37">
    <w:p w14:paraId="3F25AD02" w14:textId="3F736BE1" w:rsidR="00616A80" w:rsidRPr="00635A29" w:rsidRDefault="00616A80">
      <w:pPr>
        <w:pStyle w:val="Textpoznpodarou"/>
        <w:ind w:left="284" w:hanging="284"/>
        <w:jc w:val="both"/>
        <w:rPr>
          <w:sz w:val="18"/>
          <w:szCs w:val="18"/>
        </w:rPr>
      </w:pPr>
      <w:r w:rsidRPr="00635A29">
        <w:rPr>
          <w:rStyle w:val="Znakapoznpodarou"/>
          <w:sz w:val="18"/>
          <w:szCs w:val="18"/>
        </w:rPr>
        <w:footnoteRef/>
      </w:r>
      <w:r>
        <w:rPr>
          <w:sz w:val="18"/>
          <w:szCs w:val="18"/>
        </w:rPr>
        <w:tab/>
      </w:r>
      <w:r w:rsidRPr="00635A29">
        <w:rPr>
          <w:sz w:val="18"/>
          <w:szCs w:val="18"/>
        </w:rPr>
        <w:t>Cena servisní podpory je vyjádřena bez 20% DPH. Čerpání finančních prostředků určených na servisní podporu dosáhlo 364 871 660 Kč ke dni 8. 8. 2012 a bylo ovlivněno garančními opravami výrobce a dobou neschopnosti smluvního provozu letounů, která k 31. 12. 2011</w:t>
      </w:r>
      <w:r>
        <w:rPr>
          <w:sz w:val="18"/>
          <w:szCs w:val="18"/>
        </w:rPr>
        <w:t xml:space="preserve"> </w:t>
      </w:r>
      <w:r w:rsidRPr="00635A29">
        <w:rPr>
          <w:sz w:val="18"/>
          <w:szCs w:val="18"/>
        </w:rPr>
        <w:t xml:space="preserve">dosáhla za všechny čtyři letouny 767 dnů. </w:t>
      </w:r>
    </w:p>
  </w:footnote>
  <w:footnote w:id="38">
    <w:p w14:paraId="3F25AD03" w14:textId="77777777" w:rsidR="00616A80" w:rsidRPr="00635A29" w:rsidRDefault="00616A80">
      <w:pPr>
        <w:pStyle w:val="Textpoznpodarou"/>
        <w:ind w:left="284" w:hanging="284"/>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Vyškolení servisního personálu, nákup diagnostického vybavení, referenční zbraňové stanice apod.</w:t>
      </w:r>
    </w:p>
  </w:footnote>
  <w:footnote w:id="39">
    <w:p w14:paraId="3F25AD04" w14:textId="33251503" w:rsidR="00616A80" w:rsidRPr="00635A29" w:rsidRDefault="00616A80">
      <w:pPr>
        <w:ind w:left="284" w:hanging="284"/>
        <w:jc w:val="both"/>
        <w:rPr>
          <w:rFonts w:cs="Arial"/>
          <w:sz w:val="18"/>
          <w:szCs w:val="18"/>
        </w:rPr>
      </w:pPr>
      <w:r w:rsidRPr="00635A29">
        <w:rPr>
          <w:rStyle w:val="Znakapoznpodarou"/>
          <w:rFonts w:cs="Arial"/>
          <w:sz w:val="18"/>
          <w:szCs w:val="18"/>
        </w:rPr>
        <w:footnoteRef/>
      </w:r>
      <w:r>
        <w:rPr>
          <w:rFonts w:cs="Arial"/>
          <w:sz w:val="18"/>
          <w:szCs w:val="18"/>
        </w:rPr>
        <w:tab/>
      </w:r>
      <w:r w:rsidRPr="00635A29">
        <w:rPr>
          <w:rFonts w:cs="Arial"/>
          <w:sz w:val="18"/>
          <w:szCs w:val="18"/>
        </w:rPr>
        <w:t>Při přepočtu směnným kurzem 31,60</w:t>
      </w:r>
      <w:r>
        <w:rPr>
          <w:rFonts w:cs="Arial"/>
          <w:sz w:val="18"/>
          <w:szCs w:val="18"/>
        </w:rPr>
        <w:t xml:space="preserve"> CZK</w:t>
      </w:r>
      <w:r w:rsidRPr="00635A29">
        <w:rPr>
          <w:rFonts w:cs="Arial"/>
          <w:sz w:val="18"/>
          <w:szCs w:val="18"/>
        </w:rPr>
        <w:t xml:space="preserve">/EUR uvedeným </w:t>
      </w:r>
      <w:r>
        <w:rPr>
          <w:rFonts w:cs="Arial"/>
          <w:sz w:val="18"/>
          <w:szCs w:val="18"/>
        </w:rPr>
        <w:t>v k</w:t>
      </w:r>
      <w:r w:rsidRPr="00635A29">
        <w:rPr>
          <w:rFonts w:cs="Arial"/>
          <w:sz w:val="18"/>
          <w:szCs w:val="18"/>
        </w:rPr>
        <w:t>upní smlouvě by cena zahraničního zboží a</w:t>
      </w:r>
      <w:r>
        <w:rPr>
          <w:rFonts w:cs="Arial"/>
          <w:sz w:val="18"/>
          <w:szCs w:val="18"/>
        </w:rPr>
        <w:t> </w:t>
      </w:r>
      <w:r w:rsidRPr="00635A29">
        <w:rPr>
          <w:rFonts w:cs="Arial"/>
          <w:sz w:val="18"/>
          <w:szCs w:val="18"/>
        </w:rPr>
        <w:t xml:space="preserve">služeb nezajištěná offsetovým závazkem činila </w:t>
      </w:r>
      <w:r w:rsidRPr="00635A29">
        <w:rPr>
          <w:rFonts w:cs="Arial"/>
          <w:color w:val="000000"/>
          <w:sz w:val="18"/>
          <w:szCs w:val="18"/>
        </w:rPr>
        <w:t>63 553 130 Kč</w:t>
      </w:r>
      <w:r>
        <w:rPr>
          <w:rFonts w:cs="Arial"/>
          <w:color w:val="000000"/>
          <w:sz w:val="18"/>
          <w:szCs w:val="18"/>
        </w:rPr>
        <w:t>.</w:t>
      </w:r>
    </w:p>
  </w:footnote>
  <w:footnote w:id="40">
    <w:p w14:paraId="3F25AD05" w14:textId="77777777" w:rsidR="00616A80" w:rsidRPr="00635A29" w:rsidRDefault="00616A80">
      <w:pPr>
        <w:pStyle w:val="Textpoznpodarou"/>
        <w:ind w:left="284" w:hanging="284"/>
        <w:rPr>
          <w:sz w:val="18"/>
          <w:szCs w:val="18"/>
        </w:rPr>
      </w:pPr>
      <w:r w:rsidRPr="00635A29">
        <w:rPr>
          <w:rStyle w:val="Znakapoznpodarou"/>
          <w:sz w:val="18"/>
          <w:szCs w:val="18"/>
        </w:rPr>
        <w:footnoteRef/>
      </w:r>
      <w:r>
        <w:rPr>
          <w:sz w:val="18"/>
          <w:szCs w:val="18"/>
        </w:rPr>
        <w:tab/>
      </w:r>
      <w:r w:rsidRPr="00635A29">
        <w:rPr>
          <w:sz w:val="18"/>
          <w:szCs w:val="18"/>
        </w:rPr>
        <w:t>Z</w:t>
      </w:r>
      <w:r w:rsidRPr="00635A29">
        <w:rPr>
          <w:rFonts w:cs="Arial"/>
          <w:sz w:val="18"/>
          <w:szCs w:val="18"/>
        </w:rPr>
        <w:t xml:space="preserve">ákon č. 2/1969 Sb., </w:t>
      </w:r>
      <w:r w:rsidRPr="00635A29">
        <w:rPr>
          <w:rStyle w:val="st"/>
          <w:rFonts w:cs="Arial"/>
          <w:color w:val="222222"/>
          <w:sz w:val="18"/>
          <w:szCs w:val="18"/>
        </w:rPr>
        <w:t>o zřízení ministerstev a jiných ústřed</w:t>
      </w:r>
      <w:r>
        <w:rPr>
          <w:rStyle w:val="st"/>
          <w:rFonts w:cs="Arial"/>
          <w:color w:val="222222"/>
          <w:sz w:val="18"/>
          <w:szCs w:val="18"/>
        </w:rPr>
        <w:t>ních orgánů státní správy České republiky.</w:t>
      </w:r>
    </w:p>
  </w:footnote>
  <w:footnote w:id="41">
    <w:p w14:paraId="3F25AD06" w14:textId="77777777" w:rsidR="00616A80" w:rsidRPr="00635A29" w:rsidRDefault="00616A80">
      <w:pPr>
        <w:pStyle w:val="Textpoznpodarou"/>
        <w:ind w:left="284" w:hanging="284"/>
        <w:rPr>
          <w:sz w:val="18"/>
          <w:szCs w:val="18"/>
        </w:rPr>
      </w:pPr>
      <w:r w:rsidRPr="00635A29">
        <w:rPr>
          <w:rStyle w:val="Znakapoznpodarou"/>
          <w:sz w:val="18"/>
          <w:szCs w:val="18"/>
        </w:rPr>
        <w:footnoteRef/>
      </w:r>
      <w:r w:rsidRPr="00635A29">
        <w:rPr>
          <w:sz w:val="18"/>
          <w:szCs w:val="18"/>
        </w:rPr>
        <w:t xml:space="preserve"> </w:t>
      </w:r>
      <w:r>
        <w:rPr>
          <w:sz w:val="18"/>
          <w:szCs w:val="18"/>
        </w:rPr>
        <w:tab/>
      </w:r>
      <w:r w:rsidRPr="00635A29">
        <w:rPr>
          <w:sz w:val="18"/>
          <w:szCs w:val="18"/>
        </w:rPr>
        <w:t>Rozumí se bez započtení PPS Pendolino.</w:t>
      </w:r>
    </w:p>
  </w:footnote>
  <w:footnote w:id="42">
    <w:p w14:paraId="3F25AD07" w14:textId="77777777" w:rsidR="00616A80" w:rsidRPr="00635A29" w:rsidRDefault="00616A80">
      <w:pPr>
        <w:pStyle w:val="Textpoznpodarou"/>
        <w:ind w:left="284" w:hanging="284"/>
        <w:jc w:val="both"/>
        <w:rPr>
          <w:sz w:val="18"/>
          <w:szCs w:val="18"/>
        </w:rPr>
      </w:pPr>
      <w:r w:rsidRPr="00635A29">
        <w:rPr>
          <w:rStyle w:val="Znakapoznpodarou"/>
          <w:sz w:val="18"/>
          <w:szCs w:val="18"/>
        </w:rPr>
        <w:footnoteRef/>
      </w:r>
      <w:r>
        <w:rPr>
          <w:sz w:val="18"/>
          <w:szCs w:val="18"/>
        </w:rPr>
        <w:tab/>
      </w:r>
      <w:r w:rsidRPr="00635A29">
        <w:rPr>
          <w:sz w:val="18"/>
          <w:szCs w:val="18"/>
        </w:rPr>
        <w:t>NKÚ nejsou známy uznané hodnoty plnění za rok 2012, neboť nebyly s ohledem na období kontroly dostupné.</w:t>
      </w:r>
      <w:r>
        <w:rPr>
          <w:sz w:val="18"/>
          <w:szCs w:val="18"/>
        </w:rPr>
        <w:t xml:space="preserve"> V případě MV nebyly v době kontroly dostupné ani uznané hodnoty plnění PPS PEGAS za rok 2011.</w:t>
      </w:r>
    </w:p>
  </w:footnote>
  <w:footnote w:id="43">
    <w:p w14:paraId="394F4BB0" w14:textId="01BEFEFA" w:rsidR="00616A80" w:rsidRPr="00DD6E77" w:rsidRDefault="00616A80" w:rsidP="009F0BEA">
      <w:pPr>
        <w:pStyle w:val="Textpoznpodarou"/>
        <w:ind w:left="284" w:hanging="284"/>
        <w:rPr>
          <w:sz w:val="18"/>
          <w:szCs w:val="18"/>
        </w:rPr>
      </w:pPr>
      <w:r w:rsidRPr="00DD6E77">
        <w:rPr>
          <w:rStyle w:val="Znakapoznpodarou"/>
          <w:sz w:val="18"/>
          <w:szCs w:val="18"/>
        </w:rPr>
        <w:footnoteRef/>
      </w:r>
      <w:r w:rsidRPr="00DD6E77">
        <w:rPr>
          <w:sz w:val="18"/>
          <w:szCs w:val="18"/>
        </w:rPr>
        <w:t xml:space="preserve"> </w:t>
      </w:r>
      <w:r>
        <w:rPr>
          <w:sz w:val="18"/>
          <w:szCs w:val="18"/>
        </w:rPr>
        <w:tab/>
      </w:r>
      <w:r w:rsidRPr="00DD6E77">
        <w:rPr>
          <w:sz w:val="18"/>
          <w:szCs w:val="18"/>
        </w:rPr>
        <w:t xml:space="preserve">Zásady </w:t>
      </w:r>
      <w:r>
        <w:rPr>
          <w:sz w:val="18"/>
          <w:szCs w:val="18"/>
        </w:rPr>
        <w:t xml:space="preserve">2010 </w:t>
      </w:r>
      <w:r w:rsidRPr="00DD6E77">
        <w:rPr>
          <w:sz w:val="18"/>
          <w:szCs w:val="18"/>
        </w:rPr>
        <w:t>a Pravidla 2010 definovaly přímé offsety šířeji, tj. bez nutnosti přímého vztahu k veřejné zakázce</w:t>
      </w:r>
      <w:r>
        <w:rPr>
          <w:sz w:val="18"/>
          <w:szCs w:val="18"/>
        </w:rPr>
        <w:t>.</w:t>
      </w:r>
    </w:p>
  </w:footnote>
  <w:footnote w:id="44">
    <w:p w14:paraId="3EEFEA01" w14:textId="357C7F25" w:rsidR="00616A80" w:rsidRPr="00594D46" w:rsidRDefault="00616A80" w:rsidP="0001099B">
      <w:pPr>
        <w:pStyle w:val="Textpoznpodarou"/>
        <w:ind w:left="284" w:hanging="284"/>
        <w:rPr>
          <w:sz w:val="18"/>
          <w:szCs w:val="18"/>
        </w:rPr>
      </w:pPr>
      <w:r w:rsidRPr="00594D46">
        <w:rPr>
          <w:rStyle w:val="Znakapoznpodarou"/>
          <w:sz w:val="18"/>
          <w:szCs w:val="18"/>
        </w:rPr>
        <w:footnoteRef/>
      </w:r>
      <w:r w:rsidRPr="00594D46">
        <w:rPr>
          <w:sz w:val="18"/>
          <w:szCs w:val="18"/>
        </w:rPr>
        <w:t xml:space="preserve"> </w:t>
      </w:r>
      <w:r>
        <w:rPr>
          <w:sz w:val="18"/>
          <w:szCs w:val="18"/>
        </w:rPr>
        <w:tab/>
      </w:r>
      <w:r w:rsidRPr="00594D46">
        <w:rPr>
          <w:sz w:val="18"/>
          <w:szCs w:val="18"/>
        </w:rPr>
        <w:t xml:space="preserve">MO </w:t>
      </w:r>
      <w:r>
        <w:rPr>
          <w:sz w:val="18"/>
          <w:szCs w:val="18"/>
        </w:rPr>
        <w:t xml:space="preserve">již </w:t>
      </w:r>
      <w:r w:rsidRPr="00594D46">
        <w:rPr>
          <w:sz w:val="18"/>
          <w:szCs w:val="18"/>
        </w:rPr>
        <w:t>ve výzvě č.</w:t>
      </w:r>
      <w:r>
        <w:rPr>
          <w:sz w:val="18"/>
          <w:szCs w:val="18"/>
        </w:rPr>
        <w:t xml:space="preserve"> </w:t>
      </w:r>
      <w:r w:rsidRPr="00594D46">
        <w:rPr>
          <w:sz w:val="18"/>
          <w:szCs w:val="18"/>
        </w:rPr>
        <w:t>j. 1412-17/2008/DP-5800 ze dne 7. 11. 2008 požadoval</w:t>
      </w:r>
      <w:r>
        <w:rPr>
          <w:sz w:val="18"/>
          <w:szCs w:val="18"/>
        </w:rPr>
        <w:t>o</w:t>
      </w:r>
      <w:r w:rsidRPr="00594D46">
        <w:rPr>
          <w:sz w:val="18"/>
          <w:szCs w:val="18"/>
        </w:rPr>
        <w:t xml:space="preserve"> zajištění servisní podpory letounů</w:t>
      </w:r>
      <w:r>
        <w:rPr>
          <w:sz w:val="18"/>
          <w:szCs w:val="18"/>
        </w:rPr>
        <w:t>.</w:t>
      </w:r>
    </w:p>
  </w:footnote>
  <w:footnote w:id="45">
    <w:p w14:paraId="14F0F0F9" w14:textId="5CC7F5E3" w:rsidR="00616A80" w:rsidRPr="00594D46" w:rsidRDefault="00616A80" w:rsidP="0001099B">
      <w:pPr>
        <w:pStyle w:val="Textpoznpodarou"/>
        <w:ind w:left="284" w:hanging="284"/>
        <w:rPr>
          <w:sz w:val="18"/>
          <w:szCs w:val="18"/>
        </w:rPr>
      </w:pPr>
      <w:r w:rsidRPr="00594D46">
        <w:rPr>
          <w:rStyle w:val="Znakapoznpodarou"/>
          <w:sz w:val="18"/>
          <w:szCs w:val="18"/>
        </w:rPr>
        <w:footnoteRef/>
      </w:r>
      <w:r w:rsidRPr="00594D46">
        <w:rPr>
          <w:sz w:val="18"/>
          <w:szCs w:val="18"/>
        </w:rPr>
        <w:t xml:space="preserve"> </w:t>
      </w:r>
      <w:r>
        <w:rPr>
          <w:sz w:val="18"/>
          <w:szCs w:val="18"/>
        </w:rPr>
        <w:tab/>
      </w:r>
      <w:r w:rsidRPr="00594D46">
        <w:rPr>
          <w:sz w:val="18"/>
          <w:szCs w:val="18"/>
        </w:rPr>
        <w:t>Kupní a směnná smlouva, v souvislosti s níž byl realizován PPS CASA.</w:t>
      </w:r>
    </w:p>
  </w:footnote>
  <w:footnote w:id="46">
    <w:p w14:paraId="7A59344E" w14:textId="042691BA" w:rsidR="00616A80" w:rsidRDefault="00616A80" w:rsidP="0001099B">
      <w:pPr>
        <w:pStyle w:val="Textpoznpodarou"/>
        <w:ind w:left="284" w:hanging="284"/>
      </w:pPr>
      <w:r w:rsidRPr="00594D46">
        <w:rPr>
          <w:rStyle w:val="Znakapoznpodarou"/>
          <w:sz w:val="18"/>
          <w:szCs w:val="18"/>
        </w:rPr>
        <w:footnoteRef/>
      </w:r>
      <w:r w:rsidRPr="00594D46">
        <w:rPr>
          <w:sz w:val="18"/>
          <w:szCs w:val="18"/>
        </w:rPr>
        <w:t xml:space="preserve"> </w:t>
      </w:r>
      <w:r>
        <w:rPr>
          <w:sz w:val="18"/>
          <w:szCs w:val="18"/>
        </w:rPr>
        <w:tab/>
      </w:r>
      <w:r w:rsidRPr="00594D46">
        <w:rPr>
          <w:sz w:val="18"/>
          <w:szCs w:val="18"/>
        </w:rPr>
        <w:t>Offsetový závazek se v souvislosti s uzavřením této smlouvy (č. 092600657) nezměnil.</w:t>
      </w:r>
    </w:p>
  </w:footnote>
  <w:footnote w:id="47">
    <w:p w14:paraId="4B3888D9" w14:textId="584D9E8E" w:rsidR="00616A80" w:rsidRPr="004A79EC" w:rsidRDefault="00616A80" w:rsidP="0001099B">
      <w:pPr>
        <w:pStyle w:val="Textpoznpodarou"/>
        <w:ind w:left="284" w:hanging="284"/>
        <w:rPr>
          <w:sz w:val="18"/>
          <w:szCs w:val="18"/>
        </w:rPr>
      </w:pPr>
      <w:r w:rsidRPr="004A79EC">
        <w:rPr>
          <w:rStyle w:val="Znakapoznpodarou"/>
          <w:sz w:val="18"/>
          <w:szCs w:val="18"/>
        </w:rPr>
        <w:footnoteRef/>
      </w:r>
      <w:r w:rsidRPr="004A79EC">
        <w:rPr>
          <w:sz w:val="18"/>
          <w:szCs w:val="18"/>
        </w:rPr>
        <w:t xml:space="preserve"> </w:t>
      </w:r>
      <w:r>
        <w:rPr>
          <w:sz w:val="18"/>
          <w:szCs w:val="18"/>
        </w:rPr>
        <w:tab/>
      </w:r>
      <w:r w:rsidRPr="004A79EC">
        <w:rPr>
          <w:sz w:val="18"/>
          <w:szCs w:val="18"/>
        </w:rPr>
        <w:t>Nejednalo se o uzavření smlouvy na základě veřejné (státní) zakázky</w:t>
      </w:r>
      <w:r>
        <w:rPr>
          <w:sz w:val="18"/>
          <w:szCs w:val="18"/>
        </w:rPr>
        <w:t>, nejedná se o PPS založený na offsetovém závazku, který by vyplýval z požadavků v rámci veřejné soutěže, ale o výsledek vyjednávání iniciovaného MV při dostavbě radiokomunikační sítě PEGAS.</w:t>
      </w:r>
    </w:p>
  </w:footnote>
  <w:footnote w:id="48">
    <w:p w14:paraId="52E6D80E" w14:textId="67B4BFC7" w:rsidR="00616A80" w:rsidRPr="007705DC" w:rsidRDefault="00616A80" w:rsidP="0001099B">
      <w:pPr>
        <w:pStyle w:val="Textpoznpodarou"/>
        <w:ind w:left="284" w:hanging="284"/>
        <w:rPr>
          <w:sz w:val="18"/>
          <w:szCs w:val="18"/>
        </w:rPr>
      </w:pPr>
      <w:r w:rsidRPr="004A79EC">
        <w:rPr>
          <w:rStyle w:val="Znakapoznpodarou"/>
          <w:sz w:val="18"/>
          <w:szCs w:val="18"/>
        </w:rPr>
        <w:footnoteRef/>
      </w:r>
      <w:r w:rsidRPr="004A79EC">
        <w:rPr>
          <w:sz w:val="18"/>
          <w:szCs w:val="18"/>
        </w:rPr>
        <w:t xml:space="preserve"> </w:t>
      </w:r>
      <w:r>
        <w:rPr>
          <w:sz w:val="18"/>
          <w:szCs w:val="18"/>
        </w:rPr>
        <w:tab/>
      </w:r>
      <w:r w:rsidRPr="004A79EC">
        <w:rPr>
          <w:sz w:val="18"/>
          <w:szCs w:val="18"/>
        </w:rPr>
        <w:t xml:space="preserve">Cena uvedená MV v odpovědi ze dne 10. 10. 2012. Z dokladů MV předložených </w:t>
      </w:r>
      <w:r>
        <w:rPr>
          <w:sz w:val="18"/>
          <w:szCs w:val="18"/>
        </w:rPr>
        <w:t xml:space="preserve">ke kontrole </w:t>
      </w:r>
      <w:r w:rsidRPr="004A79EC">
        <w:rPr>
          <w:sz w:val="18"/>
          <w:szCs w:val="18"/>
        </w:rPr>
        <w:t>nemohl NKÚ ověřit správnost výše offsetového závazku.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749"/>
    <w:multiLevelType w:val="hybridMultilevel"/>
    <w:tmpl w:val="9460C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42021C"/>
    <w:multiLevelType w:val="hybridMultilevel"/>
    <w:tmpl w:val="5B764C5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4611A8"/>
    <w:multiLevelType w:val="hybridMultilevel"/>
    <w:tmpl w:val="2DCEB9A6"/>
    <w:lvl w:ilvl="0" w:tplc="334A1C2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CD0D9C"/>
    <w:multiLevelType w:val="hybridMultilevel"/>
    <w:tmpl w:val="BB869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0A3A42"/>
    <w:multiLevelType w:val="hybridMultilevel"/>
    <w:tmpl w:val="5232AC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1D167B"/>
    <w:multiLevelType w:val="hybridMultilevel"/>
    <w:tmpl w:val="4BC2E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D2689A"/>
    <w:multiLevelType w:val="hybridMultilevel"/>
    <w:tmpl w:val="4F9C8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124AC7"/>
    <w:multiLevelType w:val="hybridMultilevel"/>
    <w:tmpl w:val="F59E4D74"/>
    <w:lvl w:ilvl="0" w:tplc="ECF04B6E">
      <w:start w:val="1"/>
      <w:numFmt w:val="bullet"/>
      <w:lvlText w:val=""/>
      <w:lvlJc w:val="left"/>
      <w:pPr>
        <w:ind w:left="720" w:hanging="360"/>
      </w:pPr>
      <w:rPr>
        <w:rFonts w:ascii="Symbol" w:hAnsi="Symbol" w:hint="default"/>
        <w:color w:val="auto"/>
      </w:rPr>
    </w:lvl>
    <w:lvl w:ilvl="1" w:tplc="40FEC850">
      <w:numFmt w:val="bullet"/>
      <w:lvlText w:val="-"/>
      <w:lvlJc w:val="left"/>
      <w:pPr>
        <w:ind w:left="1353" w:hanging="360"/>
      </w:pPr>
      <w:rPr>
        <w:rFonts w:ascii="Arial" w:eastAsia="Calibri"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F212932"/>
    <w:multiLevelType w:val="hybridMultilevel"/>
    <w:tmpl w:val="3C866060"/>
    <w:lvl w:ilvl="0" w:tplc="F5182F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FD1757D"/>
    <w:multiLevelType w:val="hybridMultilevel"/>
    <w:tmpl w:val="FB1857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F64C2B"/>
    <w:multiLevelType w:val="hybridMultilevel"/>
    <w:tmpl w:val="B7D269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E40895"/>
    <w:multiLevelType w:val="hybridMultilevel"/>
    <w:tmpl w:val="DEDC4F08"/>
    <w:lvl w:ilvl="0" w:tplc="40FEC850">
      <w:numFmt w:val="bullet"/>
      <w:lvlText w:val="-"/>
      <w:lvlJc w:val="left"/>
      <w:pPr>
        <w:ind w:left="1080" w:hanging="360"/>
      </w:pPr>
      <w:rPr>
        <w:rFonts w:ascii="Arial" w:eastAsia="Calibri" w:hAnsi="Arial" w:cs="Arial" w:hint="default"/>
        <w:b w:val="0"/>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19F871AC"/>
    <w:multiLevelType w:val="multilevel"/>
    <w:tmpl w:val="C2D025D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02D1571"/>
    <w:multiLevelType w:val="hybridMultilevel"/>
    <w:tmpl w:val="2DD6C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5C52388"/>
    <w:multiLevelType w:val="hybridMultilevel"/>
    <w:tmpl w:val="2FFE8AE0"/>
    <w:lvl w:ilvl="0" w:tplc="FB36E12E">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5">
    <w:nsid w:val="277E3E7F"/>
    <w:multiLevelType w:val="hybridMultilevel"/>
    <w:tmpl w:val="87F4302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BC4A23"/>
    <w:multiLevelType w:val="hybridMultilevel"/>
    <w:tmpl w:val="E16EE4A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E6603C"/>
    <w:multiLevelType w:val="hybridMultilevel"/>
    <w:tmpl w:val="B1323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F9F2F87"/>
    <w:multiLevelType w:val="hybridMultilevel"/>
    <w:tmpl w:val="EC8684D6"/>
    <w:lvl w:ilvl="0" w:tplc="04050003">
      <w:start w:val="1"/>
      <w:numFmt w:val="bullet"/>
      <w:lvlText w:val="o"/>
      <w:lvlJc w:val="left"/>
      <w:pPr>
        <w:ind w:left="1481" w:hanging="360"/>
      </w:pPr>
      <w:rPr>
        <w:rFonts w:ascii="Courier New" w:hAnsi="Courier New" w:cs="Courier New" w:hint="default"/>
      </w:rPr>
    </w:lvl>
    <w:lvl w:ilvl="1" w:tplc="04050003" w:tentative="1">
      <w:start w:val="1"/>
      <w:numFmt w:val="bullet"/>
      <w:lvlText w:val="o"/>
      <w:lvlJc w:val="left"/>
      <w:pPr>
        <w:ind w:left="2201" w:hanging="360"/>
      </w:pPr>
      <w:rPr>
        <w:rFonts w:ascii="Courier New" w:hAnsi="Courier New" w:cs="Courier New" w:hint="default"/>
      </w:rPr>
    </w:lvl>
    <w:lvl w:ilvl="2" w:tplc="04050005" w:tentative="1">
      <w:start w:val="1"/>
      <w:numFmt w:val="bullet"/>
      <w:lvlText w:val=""/>
      <w:lvlJc w:val="left"/>
      <w:pPr>
        <w:ind w:left="2921" w:hanging="360"/>
      </w:pPr>
      <w:rPr>
        <w:rFonts w:ascii="Wingdings" w:hAnsi="Wingdings" w:hint="default"/>
      </w:rPr>
    </w:lvl>
    <w:lvl w:ilvl="3" w:tplc="04050001" w:tentative="1">
      <w:start w:val="1"/>
      <w:numFmt w:val="bullet"/>
      <w:lvlText w:val=""/>
      <w:lvlJc w:val="left"/>
      <w:pPr>
        <w:ind w:left="3641" w:hanging="360"/>
      </w:pPr>
      <w:rPr>
        <w:rFonts w:ascii="Symbol" w:hAnsi="Symbol" w:hint="default"/>
      </w:rPr>
    </w:lvl>
    <w:lvl w:ilvl="4" w:tplc="04050003" w:tentative="1">
      <w:start w:val="1"/>
      <w:numFmt w:val="bullet"/>
      <w:lvlText w:val="o"/>
      <w:lvlJc w:val="left"/>
      <w:pPr>
        <w:ind w:left="4361" w:hanging="360"/>
      </w:pPr>
      <w:rPr>
        <w:rFonts w:ascii="Courier New" w:hAnsi="Courier New" w:cs="Courier New" w:hint="default"/>
      </w:rPr>
    </w:lvl>
    <w:lvl w:ilvl="5" w:tplc="04050005" w:tentative="1">
      <w:start w:val="1"/>
      <w:numFmt w:val="bullet"/>
      <w:lvlText w:val=""/>
      <w:lvlJc w:val="left"/>
      <w:pPr>
        <w:ind w:left="5081" w:hanging="360"/>
      </w:pPr>
      <w:rPr>
        <w:rFonts w:ascii="Wingdings" w:hAnsi="Wingdings" w:hint="default"/>
      </w:rPr>
    </w:lvl>
    <w:lvl w:ilvl="6" w:tplc="04050001" w:tentative="1">
      <w:start w:val="1"/>
      <w:numFmt w:val="bullet"/>
      <w:lvlText w:val=""/>
      <w:lvlJc w:val="left"/>
      <w:pPr>
        <w:ind w:left="5801" w:hanging="360"/>
      </w:pPr>
      <w:rPr>
        <w:rFonts w:ascii="Symbol" w:hAnsi="Symbol" w:hint="default"/>
      </w:rPr>
    </w:lvl>
    <w:lvl w:ilvl="7" w:tplc="04050003" w:tentative="1">
      <w:start w:val="1"/>
      <w:numFmt w:val="bullet"/>
      <w:lvlText w:val="o"/>
      <w:lvlJc w:val="left"/>
      <w:pPr>
        <w:ind w:left="6521" w:hanging="360"/>
      </w:pPr>
      <w:rPr>
        <w:rFonts w:ascii="Courier New" w:hAnsi="Courier New" w:cs="Courier New" w:hint="default"/>
      </w:rPr>
    </w:lvl>
    <w:lvl w:ilvl="8" w:tplc="04050005" w:tentative="1">
      <w:start w:val="1"/>
      <w:numFmt w:val="bullet"/>
      <w:lvlText w:val=""/>
      <w:lvlJc w:val="left"/>
      <w:pPr>
        <w:ind w:left="7241" w:hanging="360"/>
      </w:pPr>
      <w:rPr>
        <w:rFonts w:ascii="Wingdings" w:hAnsi="Wingdings" w:hint="default"/>
      </w:rPr>
    </w:lvl>
  </w:abstractNum>
  <w:abstractNum w:abstractNumId="19">
    <w:nsid w:val="33D063EE"/>
    <w:multiLevelType w:val="multilevel"/>
    <w:tmpl w:val="DD5E1B10"/>
    <w:lvl w:ilvl="0">
      <w:start w:val="4"/>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3A85367F"/>
    <w:multiLevelType w:val="hybridMultilevel"/>
    <w:tmpl w:val="C5D40D3A"/>
    <w:lvl w:ilvl="0" w:tplc="EC6C81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ED5034"/>
    <w:multiLevelType w:val="hybridMultilevel"/>
    <w:tmpl w:val="CE5E61A0"/>
    <w:lvl w:ilvl="0" w:tplc="0405000F">
      <w:start w:val="1"/>
      <w:numFmt w:val="decimal"/>
      <w:lvlText w:val="%1."/>
      <w:lvlJc w:val="left"/>
      <w:pPr>
        <w:ind w:left="720" w:hanging="360"/>
      </w:pPr>
      <w:rPr>
        <w:rFonts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1B14CB"/>
    <w:multiLevelType w:val="hybridMultilevel"/>
    <w:tmpl w:val="2732FD86"/>
    <w:lvl w:ilvl="0" w:tplc="A5F07BF0">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0B7F25"/>
    <w:multiLevelType w:val="hybridMultilevel"/>
    <w:tmpl w:val="ECAADD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C65386"/>
    <w:multiLevelType w:val="hybridMultilevel"/>
    <w:tmpl w:val="87D81206"/>
    <w:lvl w:ilvl="0" w:tplc="D5D4DD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7B50D2"/>
    <w:multiLevelType w:val="hybridMultilevel"/>
    <w:tmpl w:val="C1A0C746"/>
    <w:lvl w:ilvl="0" w:tplc="FDEAA32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E22189"/>
    <w:multiLevelType w:val="hybridMultilevel"/>
    <w:tmpl w:val="97DA2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2AF3D7F"/>
    <w:multiLevelType w:val="hybridMultilevel"/>
    <w:tmpl w:val="23EA3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7F0A1B"/>
    <w:multiLevelType w:val="multilevel"/>
    <w:tmpl w:val="6AC6C770"/>
    <w:lvl w:ilvl="0">
      <w:start w:val="4"/>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7C73573"/>
    <w:multiLevelType w:val="hybridMultilevel"/>
    <w:tmpl w:val="928EB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1C7BE0"/>
    <w:multiLevelType w:val="hybridMultilevel"/>
    <w:tmpl w:val="12A2150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5ECD1C8F"/>
    <w:multiLevelType w:val="hybridMultilevel"/>
    <w:tmpl w:val="8412124A"/>
    <w:lvl w:ilvl="0" w:tplc="B6BCBDD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D66BB0"/>
    <w:multiLevelType w:val="hybridMultilevel"/>
    <w:tmpl w:val="44AE1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35F7A33"/>
    <w:multiLevelType w:val="hybridMultilevel"/>
    <w:tmpl w:val="94A6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17608D"/>
    <w:multiLevelType w:val="hybridMultilevel"/>
    <w:tmpl w:val="00C24CC8"/>
    <w:lvl w:ilvl="0" w:tplc="08CCDA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837B29"/>
    <w:multiLevelType w:val="hybridMultilevel"/>
    <w:tmpl w:val="2E5AAA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6D175B19"/>
    <w:multiLevelType w:val="hybridMultilevel"/>
    <w:tmpl w:val="81EE1D00"/>
    <w:lvl w:ilvl="0" w:tplc="08CCDA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F184C06"/>
    <w:multiLevelType w:val="hybridMultilevel"/>
    <w:tmpl w:val="81062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0FA75F5"/>
    <w:multiLevelType w:val="hybridMultilevel"/>
    <w:tmpl w:val="E436A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CD467D"/>
    <w:multiLevelType w:val="hybridMultilevel"/>
    <w:tmpl w:val="10D2A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3C4065"/>
    <w:multiLevelType w:val="hybridMultilevel"/>
    <w:tmpl w:val="59A6B7F2"/>
    <w:lvl w:ilvl="0" w:tplc="04050019">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75AE61FC"/>
    <w:multiLevelType w:val="hybridMultilevel"/>
    <w:tmpl w:val="788E7CFA"/>
    <w:lvl w:ilvl="0" w:tplc="10E6978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nsid w:val="7B036EC4"/>
    <w:multiLevelType w:val="hybridMultilevel"/>
    <w:tmpl w:val="3E3CF060"/>
    <w:lvl w:ilvl="0" w:tplc="01D47E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B436A1"/>
    <w:multiLevelType w:val="hybridMultilevel"/>
    <w:tmpl w:val="15E07C70"/>
    <w:lvl w:ilvl="0" w:tplc="1338D3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FC68EF"/>
    <w:multiLevelType w:val="hybridMultilevel"/>
    <w:tmpl w:val="FCDE5DA0"/>
    <w:lvl w:ilvl="0" w:tplc="31FC1E5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nsid w:val="7FE7259A"/>
    <w:multiLevelType w:val="hybridMultilevel"/>
    <w:tmpl w:val="82BAB7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29"/>
  </w:num>
  <w:num w:numId="3">
    <w:abstractNumId w:val="12"/>
  </w:num>
  <w:num w:numId="4">
    <w:abstractNumId w:val="41"/>
  </w:num>
  <w:num w:numId="5">
    <w:abstractNumId w:val="22"/>
  </w:num>
  <w:num w:numId="6">
    <w:abstractNumId w:val="44"/>
  </w:num>
  <w:num w:numId="7">
    <w:abstractNumId w:val="40"/>
  </w:num>
  <w:num w:numId="8">
    <w:abstractNumId w:val="2"/>
  </w:num>
  <w:num w:numId="9">
    <w:abstractNumId w:val="16"/>
  </w:num>
  <w:num w:numId="10">
    <w:abstractNumId w:val="38"/>
  </w:num>
  <w:num w:numId="11">
    <w:abstractNumId w:val="27"/>
  </w:num>
  <w:num w:numId="12">
    <w:abstractNumId w:val="10"/>
  </w:num>
  <w:num w:numId="13">
    <w:abstractNumId w:val="28"/>
  </w:num>
  <w:num w:numId="14">
    <w:abstractNumId w:val="19"/>
  </w:num>
  <w:num w:numId="15">
    <w:abstractNumId w:val="5"/>
  </w:num>
  <w:num w:numId="16">
    <w:abstractNumId w:val="4"/>
  </w:num>
  <w:num w:numId="17">
    <w:abstractNumId w:val="11"/>
  </w:num>
  <w:num w:numId="18">
    <w:abstractNumId w:val="13"/>
  </w:num>
  <w:num w:numId="19">
    <w:abstractNumId w:val="35"/>
  </w:num>
  <w:num w:numId="20">
    <w:abstractNumId w:val="7"/>
  </w:num>
  <w:num w:numId="21">
    <w:abstractNumId w:val="0"/>
  </w:num>
  <w:num w:numId="22">
    <w:abstractNumId w:val="37"/>
  </w:num>
  <w:num w:numId="23">
    <w:abstractNumId w:val="32"/>
  </w:num>
  <w:num w:numId="24">
    <w:abstractNumId w:val="6"/>
  </w:num>
  <w:num w:numId="25">
    <w:abstractNumId w:val="34"/>
  </w:num>
  <w:num w:numId="26">
    <w:abstractNumId w:val="39"/>
  </w:num>
  <w:num w:numId="27">
    <w:abstractNumId w:val="1"/>
  </w:num>
  <w:num w:numId="28">
    <w:abstractNumId w:val="3"/>
  </w:num>
  <w:num w:numId="29">
    <w:abstractNumId w:val="26"/>
  </w:num>
  <w:num w:numId="30">
    <w:abstractNumId w:val="33"/>
  </w:num>
  <w:num w:numId="31">
    <w:abstractNumId w:val="9"/>
  </w:num>
  <w:num w:numId="32">
    <w:abstractNumId w:val="24"/>
  </w:num>
  <w:num w:numId="33">
    <w:abstractNumId w:val="14"/>
  </w:num>
  <w:num w:numId="34">
    <w:abstractNumId w:val="25"/>
  </w:num>
  <w:num w:numId="35">
    <w:abstractNumId w:val="8"/>
  </w:num>
  <w:num w:numId="36">
    <w:abstractNumId w:val="20"/>
  </w:num>
  <w:num w:numId="37">
    <w:abstractNumId w:val="43"/>
  </w:num>
  <w:num w:numId="38">
    <w:abstractNumId w:val="42"/>
  </w:num>
  <w:num w:numId="39">
    <w:abstractNumId w:val="1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 w:numId="43">
    <w:abstractNumId w:val="18"/>
  </w:num>
  <w:num w:numId="44">
    <w:abstractNumId w:val="30"/>
  </w:num>
  <w:num w:numId="45">
    <w:abstractNumId w:val="31"/>
  </w:num>
  <w:num w:numId="46">
    <w:abstractNumId w:val="17"/>
  </w:num>
  <w:num w:numId="47">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0B"/>
    <w:rsid w:val="00000932"/>
    <w:rsid w:val="00000F96"/>
    <w:rsid w:val="00001621"/>
    <w:rsid w:val="00001B72"/>
    <w:rsid w:val="00002073"/>
    <w:rsid w:val="0000330E"/>
    <w:rsid w:val="000033DB"/>
    <w:rsid w:val="00003408"/>
    <w:rsid w:val="00003D20"/>
    <w:rsid w:val="000044CF"/>
    <w:rsid w:val="00004DB0"/>
    <w:rsid w:val="00005220"/>
    <w:rsid w:val="0000580F"/>
    <w:rsid w:val="00005C3E"/>
    <w:rsid w:val="00005C47"/>
    <w:rsid w:val="00005C6C"/>
    <w:rsid w:val="000066B9"/>
    <w:rsid w:val="00006886"/>
    <w:rsid w:val="00006B02"/>
    <w:rsid w:val="000075AF"/>
    <w:rsid w:val="00007773"/>
    <w:rsid w:val="000079EA"/>
    <w:rsid w:val="00010472"/>
    <w:rsid w:val="0001099B"/>
    <w:rsid w:val="000112F9"/>
    <w:rsid w:val="0001251F"/>
    <w:rsid w:val="00013006"/>
    <w:rsid w:val="000131C6"/>
    <w:rsid w:val="00013507"/>
    <w:rsid w:val="0001442A"/>
    <w:rsid w:val="000144B2"/>
    <w:rsid w:val="00014603"/>
    <w:rsid w:val="000152B0"/>
    <w:rsid w:val="0001567E"/>
    <w:rsid w:val="00015CCB"/>
    <w:rsid w:val="00015F28"/>
    <w:rsid w:val="000172AE"/>
    <w:rsid w:val="00017EC7"/>
    <w:rsid w:val="00020A05"/>
    <w:rsid w:val="00020DE5"/>
    <w:rsid w:val="00021026"/>
    <w:rsid w:val="000210E2"/>
    <w:rsid w:val="000218CA"/>
    <w:rsid w:val="000224C5"/>
    <w:rsid w:val="000225B8"/>
    <w:rsid w:val="00022FD7"/>
    <w:rsid w:val="00023D6D"/>
    <w:rsid w:val="00023EA1"/>
    <w:rsid w:val="00024A45"/>
    <w:rsid w:val="00024E81"/>
    <w:rsid w:val="000254CB"/>
    <w:rsid w:val="00025A70"/>
    <w:rsid w:val="00026AFA"/>
    <w:rsid w:val="00027617"/>
    <w:rsid w:val="00030495"/>
    <w:rsid w:val="00030772"/>
    <w:rsid w:val="000307C5"/>
    <w:rsid w:val="0003087F"/>
    <w:rsid w:val="00030DB3"/>
    <w:rsid w:val="00030DD7"/>
    <w:rsid w:val="0003111A"/>
    <w:rsid w:val="000314CC"/>
    <w:rsid w:val="00031A57"/>
    <w:rsid w:val="00031D26"/>
    <w:rsid w:val="00032482"/>
    <w:rsid w:val="000326DA"/>
    <w:rsid w:val="00033741"/>
    <w:rsid w:val="000342ED"/>
    <w:rsid w:val="00034362"/>
    <w:rsid w:val="000343CF"/>
    <w:rsid w:val="000343E1"/>
    <w:rsid w:val="00034844"/>
    <w:rsid w:val="00037363"/>
    <w:rsid w:val="000406B5"/>
    <w:rsid w:val="000407CE"/>
    <w:rsid w:val="00041909"/>
    <w:rsid w:val="00041943"/>
    <w:rsid w:val="000419A7"/>
    <w:rsid w:val="00041F40"/>
    <w:rsid w:val="00041F64"/>
    <w:rsid w:val="0004223E"/>
    <w:rsid w:val="000423CF"/>
    <w:rsid w:val="00042D81"/>
    <w:rsid w:val="00042F15"/>
    <w:rsid w:val="000437B0"/>
    <w:rsid w:val="00043891"/>
    <w:rsid w:val="00043B34"/>
    <w:rsid w:val="000459C2"/>
    <w:rsid w:val="00045DE8"/>
    <w:rsid w:val="00045E0B"/>
    <w:rsid w:val="00050CAB"/>
    <w:rsid w:val="00050E1F"/>
    <w:rsid w:val="00052837"/>
    <w:rsid w:val="00052F4A"/>
    <w:rsid w:val="000530F1"/>
    <w:rsid w:val="00054517"/>
    <w:rsid w:val="00054696"/>
    <w:rsid w:val="00054BBC"/>
    <w:rsid w:val="000550B4"/>
    <w:rsid w:val="000558EC"/>
    <w:rsid w:val="000559BB"/>
    <w:rsid w:val="00055A17"/>
    <w:rsid w:val="0005603B"/>
    <w:rsid w:val="000569A4"/>
    <w:rsid w:val="00056F50"/>
    <w:rsid w:val="00057193"/>
    <w:rsid w:val="00057577"/>
    <w:rsid w:val="00057A70"/>
    <w:rsid w:val="00060A24"/>
    <w:rsid w:val="00060B07"/>
    <w:rsid w:val="000613C2"/>
    <w:rsid w:val="00061429"/>
    <w:rsid w:val="00061A35"/>
    <w:rsid w:val="0006260B"/>
    <w:rsid w:val="000641DB"/>
    <w:rsid w:val="000642CE"/>
    <w:rsid w:val="0006454E"/>
    <w:rsid w:val="000647BD"/>
    <w:rsid w:val="00064DEF"/>
    <w:rsid w:val="00066365"/>
    <w:rsid w:val="0006671D"/>
    <w:rsid w:val="00066725"/>
    <w:rsid w:val="000669F3"/>
    <w:rsid w:val="00070408"/>
    <w:rsid w:val="0007064B"/>
    <w:rsid w:val="000706B4"/>
    <w:rsid w:val="00071622"/>
    <w:rsid w:val="00071B68"/>
    <w:rsid w:val="00071FA4"/>
    <w:rsid w:val="00072445"/>
    <w:rsid w:val="000732F3"/>
    <w:rsid w:val="00074954"/>
    <w:rsid w:val="00074A01"/>
    <w:rsid w:val="00075A5D"/>
    <w:rsid w:val="00075C06"/>
    <w:rsid w:val="00077196"/>
    <w:rsid w:val="00077727"/>
    <w:rsid w:val="00080987"/>
    <w:rsid w:val="00080C12"/>
    <w:rsid w:val="00081221"/>
    <w:rsid w:val="0008264D"/>
    <w:rsid w:val="000828E4"/>
    <w:rsid w:val="00082FB7"/>
    <w:rsid w:val="0008325E"/>
    <w:rsid w:val="000839E5"/>
    <w:rsid w:val="000843F6"/>
    <w:rsid w:val="00084EF4"/>
    <w:rsid w:val="00084F19"/>
    <w:rsid w:val="00087183"/>
    <w:rsid w:val="00087884"/>
    <w:rsid w:val="00087A8A"/>
    <w:rsid w:val="000903FF"/>
    <w:rsid w:val="0009092D"/>
    <w:rsid w:val="00091459"/>
    <w:rsid w:val="000927F6"/>
    <w:rsid w:val="0009286D"/>
    <w:rsid w:val="000928EE"/>
    <w:rsid w:val="0009336C"/>
    <w:rsid w:val="00093D6D"/>
    <w:rsid w:val="00093E2F"/>
    <w:rsid w:val="00095329"/>
    <w:rsid w:val="00095904"/>
    <w:rsid w:val="0009635C"/>
    <w:rsid w:val="00096853"/>
    <w:rsid w:val="00096F81"/>
    <w:rsid w:val="0009709F"/>
    <w:rsid w:val="000972DB"/>
    <w:rsid w:val="000A0843"/>
    <w:rsid w:val="000A0A28"/>
    <w:rsid w:val="000A0E63"/>
    <w:rsid w:val="000A15CA"/>
    <w:rsid w:val="000A2538"/>
    <w:rsid w:val="000A41A3"/>
    <w:rsid w:val="000A446F"/>
    <w:rsid w:val="000A4816"/>
    <w:rsid w:val="000A53CC"/>
    <w:rsid w:val="000A58F6"/>
    <w:rsid w:val="000A7392"/>
    <w:rsid w:val="000B04BE"/>
    <w:rsid w:val="000B1348"/>
    <w:rsid w:val="000B1374"/>
    <w:rsid w:val="000B1C04"/>
    <w:rsid w:val="000B1C5B"/>
    <w:rsid w:val="000B25C3"/>
    <w:rsid w:val="000B3145"/>
    <w:rsid w:val="000B3978"/>
    <w:rsid w:val="000B3B08"/>
    <w:rsid w:val="000B5AC3"/>
    <w:rsid w:val="000B5FE2"/>
    <w:rsid w:val="000B710A"/>
    <w:rsid w:val="000B7411"/>
    <w:rsid w:val="000C1234"/>
    <w:rsid w:val="000C1C55"/>
    <w:rsid w:val="000C1DFD"/>
    <w:rsid w:val="000C2190"/>
    <w:rsid w:val="000C28BB"/>
    <w:rsid w:val="000C3130"/>
    <w:rsid w:val="000C320D"/>
    <w:rsid w:val="000C3665"/>
    <w:rsid w:val="000C40E9"/>
    <w:rsid w:val="000C4C9A"/>
    <w:rsid w:val="000C5338"/>
    <w:rsid w:val="000C579D"/>
    <w:rsid w:val="000C5B09"/>
    <w:rsid w:val="000C6DA4"/>
    <w:rsid w:val="000C709A"/>
    <w:rsid w:val="000C731E"/>
    <w:rsid w:val="000D0135"/>
    <w:rsid w:val="000D01D6"/>
    <w:rsid w:val="000D05D4"/>
    <w:rsid w:val="000D0ED6"/>
    <w:rsid w:val="000D17BB"/>
    <w:rsid w:val="000D18F3"/>
    <w:rsid w:val="000D1CB4"/>
    <w:rsid w:val="000D202F"/>
    <w:rsid w:val="000D225C"/>
    <w:rsid w:val="000D225E"/>
    <w:rsid w:val="000D350B"/>
    <w:rsid w:val="000D62D0"/>
    <w:rsid w:val="000D6EB0"/>
    <w:rsid w:val="000D6EB6"/>
    <w:rsid w:val="000D702C"/>
    <w:rsid w:val="000D7D68"/>
    <w:rsid w:val="000E1099"/>
    <w:rsid w:val="000E123D"/>
    <w:rsid w:val="000E196A"/>
    <w:rsid w:val="000E1E4B"/>
    <w:rsid w:val="000E23CC"/>
    <w:rsid w:val="000E39EE"/>
    <w:rsid w:val="000E4219"/>
    <w:rsid w:val="000E4755"/>
    <w:rsid w:val="000E5022"/>
    <w:rsid w:val="000E5071"/>
    <w:rsid w:val="000E5206"/>
    <w:rsid w:val="000E53AF"/>
    <w:rsid w:val="000E5629"/>
    <w:rsid w:val="000E5967"/>
    <w:rsid w:val="000E650F"/>
    <w:rsid w:val="000E661B"/>
    <w:rsid w:val="000F0258"/>
    <w:rsid w:val="000F0864"/>
    <w:rsid w:val="000F1FF6"/>
    <w:rsid w:val="000F272E"/>
    <w:rsid w:val="000F31D0"/>
    <w:rsid w:val="000F37A0"/>
    <w:rsid w:val="000F3957"/>
    <w:rsid w:val="000F3F86"/>
    <w:rsid w:val="000F4618"/>
    <w:rsid w:val="000F4E31"/>
    <w:rsid w:val="000F5FE2"/>
    <w:rsid w:val="000F5FF1"/>
    <w:rsid w:val="000F6159"/>
    <w:rsid w:val="000F659A"/>
    <w:rsid w:val="000F67DA"/>
    <w:rsid w:val="000F6E30"/>
    <w:rsid w:val="000F7C14"/>
    <w:rsid w:val="000F7CC7"/>
    <w:rsid w:val="001002B8"/>
    <w:rsid w:val="0010034C"/>
    <w:rsid w:val="0010159A"/>
    <w:rsid w:val="001019FC"/>
    <w:rsid w:val="001021F7"/>
    <w:rsid w:val="0010231F"/>
    <w:rsid w:val="0010376B"/>
    <w:rsid w:val="00103A3A"/>
    <w:rsid w:val="00104BDC"/>
    <w:rsid w:val="001059CA"/>
    <w:rsid w:val="00105AD0"/>
    <w:rsid w:val="00106174"/>
    <w:rsid w:val="0010688E"/>
    <w:rsid w:val="00106D02"/>
    <w:rsid w:val="00110594"/>
    <w:rsid w:val="00110FFD"/>
    <w:rsid w:val="0011171A"/>
    <w:rsid w:val="00111936"/>
    <w:rsid w:val="00111E71"/>
    <w:rsid w:val="001129ED"/>
    <w:rsid w:val="001135CA"/>
    <w:rsid w:val="00113B93"/>
    <w:rsid w:val="001140CF"/>
    <w:rsid w:val="00115CEF"/>
    <w:rsid w:val="00115E25"/>
    <w:rsid w:val="0011637B"/>
    <w:rsid w:val="00116982"/>
    <w:rsid w:val="0011720E"/>
    <w:rsid w:val="00117DC9"/>
    <w:rsid w:val="00121642"/>
    <w:rsid w:val="00121B6F"/>
    <w:rsid w:val="0012239A"/>
    <w:rsid w:val="0012260E"/>
    <w:rsid w:val="00122D95"/>
    <w:rsid w:val="0012312B"/>
    <w:rsid w:val="00123D45"/>
    <w:rsid w:val="00124136"/>
    <w:rsid w:val="0012511E"/>
    <w:rsid w:val="00126303"/>
    <w:rsid w:val="001265E7"/>
    <w:rsid w:val="00127E65"/>
    <w:rsid w:val="001302F2"/>
    <w:rsid w:val="001325AD"/>
    <w:rsid w:val="00132A7F"/>
    <w:rsid w:val="0013397D"/>
    <w:rsid w:val="0013465F"/>
    <w:rsid w:val="00134C4E"/>
    <w:rsid w:val="0013587A"/>
    <w:rsid w:val="00135E06"/>
    <w:rsid w:val="001360A2"/>
    <w:rsid w:val="001368E7"/>
    <w:rsid w:val="00136D02"/>
    <w:rsid w:val="00137D95"/>
    <w:rsid w:val="00140B7F"/>
    <w:rsid w:val="00140D10"/>
    <w:rsid w:val="00141355"/>
    <w:rsid w:val="001415FD"/>
    <w:rsid w:val="001418C0"/>
    <w:rsid w:val="00141C97"/>
    <w:rsid w:val="00141FA2"/>
    <w:rsid w:val="00141FDE"/>
    <w:rsid w:val="001422A6"/>
    <w:rsid w:val="001425AD"/>
    <w:rsid w:val="00142B1D"/>
    <w:rsid w:val="00143C9D"/>
    <w:rsid w:val="0014414B"/>
    <w:rsid w:val="00144332"/>
    <w:rsid w:val="00144916"/>
    <w:rsid w:val="0014548A"/>
    <w:rsid w:val="001456CE"/>
    <w:rsid w:val="00145861"/>
    <w:rsid w:val="00145B8A"/>
    <w:rsid w:val="001468BA"/>
    <w:rsid w:val="00147599"/>
    <w:rsid w:val="00147A69"/>
    <w:rsid w:val="00147EAF"/>
    <w:rsid w:val="00150373"/>
    <w:rsid w:val="00151D94"/>
    <w:rsid w:val="00152479"/>
    <w:rsid w:val="00152B55"/>
    <w:rsid w:val="001531E3"/>
    <w:rsid w:val="0015334F"/>
    <w:rsid w:val="00153700"/>
    <w:rsid w:val="00153BF0"/>
    <w:rsid w:val="00154178"/>
    <w:rsid w:val="001550CC"/>
    <w:rsid w:val="0015511A"/>
    <w:rsid w:val="00155A4E"/>
    <w:rsid w:val="00155CDC"/>
    <w:rsid w:val="00155DE6"/>
    <w:rsid w:val="00156228"/>
    <w:rsid w:val="00156C62"/>
    <w:rsid w:val="00157D08"/>
    <w:rsid w:val="0016027D"/>
    <w:rsid w:val="00160429"/>
    <w:rsid w:val="00160905"/>
    <w:rsid w:val="00160D42"/>
    <w:rsid w:val="00160E9D"/>
    <w:rsid w:val="001616E0"/>
    <w:rsid w:val="00161978"/>
    <w:rsid w:val="0016199E"/>
    <w:rsid w:val="00161C93"/>
    <w:rsid w:val="001620B5"/>
    <w:rsid w:val="001625D9"/>
    <w:rsid w:val="00162A88"/>
    <w:rsid w:val="00162B1D"/>
    <w:rsid w:val="00162C1D"/>
    <w:rsid w:val="00163354"/>
    <w:rsid w:val="001645EF"/>
    <w:rsid w:val="00164813"/>
    <w:rsid w:val="00164A0F"/>
    <w:rsid w:val="00166899"/>
    <w:rsid w:val="001702DE"/>
    <w:rsid w:val="00170BEB"/>
    <w:rsid w:val="00171086"/>
    <w:rsid w:val="00171371"/>
    <w:rsid w:val="001715AC"/>
    <w:rsid w:val="00171A28"/>
    <w:rsid w:val="00171A41"/>
    <w:rsid w:val="001725CE"/>
    <w:rsid w:val="00172804"/>
    <w:rsid w:val="00173420"/>
    <w:rsid w:val="00173BFF"/>
    <w:rsid w:val="00173EA1"/>
    <w:rsid w:val="0017418E"/>
    <w:rsid w:val="00174783"/>
    <w:rsid w:val="00175157"/>
    <w:rsid w:val="0017558B"/>
    <w:rsid w:val="00176033"/>
    <w:rsid w:val="001766BF"/>
    <w:rsid w:val="00176AE7"/>
    <w:rsid w:val="00177D39"/>
    <w:rsid w:val="00177E1E"/>
    <w:rsid w:val="00180090"/>
    <w:rsid w:val="0018067B"/>
    <w:rsid w:val="00180B46"/>
    <w:rsid w:val="00180F3B"/>
    <w:rsid w:val="001826FC"/>
    <w:rsid w:val="00182B88"/>
    <w:rsid w:val="00182F04"/>
    <w:rsid w:val="001839F9"/>
    <w:rsid w:val="0018422B"/>
    <w:rsid w:val="001862F0"/>
    <w:rsid w:val="0018767F"/>
    <w:rsid w:val="00190D5F"/>
    <w:rsid w:val="001922FC"/>
    <w:rsid w:val="00192304"/>
    <w:rsid w:val="00192985"/>
    <w:rsid w:val="00192BC2"/>
    <w:rsid w:val="00193533"/>
    <w:rsid w:val="0019357D"/>
    <w:rsid w:val="00194005"/>
    <w:rsid w:val="00194298"/>
    <w:rsid w:val="00194B69"/>
    <w:rsid w:val="00194F87"/>
    <w:rsid w:val="0019536B"/>
    <w:rsid w:val="00195A5C"/>
    <w:rsid w:val="00195B7C"/>
    <w:rsid w:val="0019670B"/>
    <w:rsid w:val="0019762B"/>
    <w:rsid w:val="001A03F3"/>
    <w:rsid w:val="001A08A9"/>
    <w:rsid w:val="001A094E"/>
    <w:rsid w:val="001A0E1F"/>
    <w:rsid w:val="001A1518"/>
    <w:rsid w:val="001A15D3"/>
    <w:rsid w:val="001A1AAC"/>
    <w:rsid w:val="001A1CBF"/>
    <w:rsid w:val="001A1F1B"/>
    <w:rsid w:val="001A2EDA"/>
    <w:rsid w:val="001A3388"/>
    <w:rsid w:val="001A37F7"/>
    <w:rsid w:val="001A3FD4"/>
    <w:rsid w:val="001A4061"/>
    <w:rsid w:val="001A4FFF"/>
    <w:rsid w:val="001A50E5"/>
    <w:rsid w:val="001A5D01"/>
    <w:rsid w:val="001A6916"/>
    <w:rsid w:val="001B0CFC"/>
    <w:rsid w:val="001B12AA"/>
    <w:rsid w:val="001B188E"/>
    <w:rsid w:val="001B1A8D"/>
    <w:rsid w:val="001B2131"/>
    <w:rsid w:val="001B2B19"/>
    <w:rsid w:val="001B2B2B"/>
    <w:rsid w:val="001B5134"/>
    <w:rsid w:val="001B537D"/>
    <w:rsid w:val="001B57E8"/>
    <w:rsid w:val="001B69B3"/>
    <w:rsid w:val="001B6DAD"/>
    <w:rsid w:val="001C1BE9"/>
    <w:rsid w:val="001C1C65"/>
    <w:rsid w:val="001C2033"/>
    <w:rsid w:val="001C3BE2"/>
    <w:rsid w:val="001C422A"/>
    <w:rsid w:val="001C43C9"/>
    <w:rsid w:val="001C43FA"/>
    <w:rsid w:val="001C498F"/>
    <w:rsid w:val="001C561C"/>
    <w:rsid w:val="001C69F8"/>
    <w:rsid w:val="001C6A88"/>
    <w:rsid w:val="001C78EE"/>
    <w:rsid w:val="001C7DEA"/>
    <w:rsid w:val="001D03FD"/>
    <w:rsid w:val="001D0FC2"/>
    <w:rsid w:val="001D3F3E"/>
    <w:rsid w:val="001D537F"/>
    <w:rsid w:val="001D53E6"/>
    <w:rsid w:val="001D61A3"/>
    <w:rsid w:val="001D727C"/>
    <w:rsid w:val="001E0062"/>
    <w:rsid w:val="001E1186"/>
    <w:rsid w:val="001E1BDA"/>
    <w:rsid w:val="001E2767"/>
    <w:rsid w:val="001E31FA"/>
    <w:rsid w:val="001E3AF3"/>
    <w:rsid w:val="001E4117"/>
    <w:rsid w:val="001E41B1"/>
    <w:rsid w:val="001E71A6"/>
    <w:rsid w:val="001F0078"/>
    <w:rsid w:val="001F0576"/>
    <w:rsid w:val="001F071B"/>
    <w:rsid w:val="001F0D00"/>
    <w:rsid w:val="001F28F7"/>
    <w:rsid w:val="001F297B"/>
    <w:rsid w:val="001F32ED"/>
    <w:rsid w:val="001F3BEF"/>
    <w:rsid w:val="001F47D9"/>
    <w:rsid w:val="001F57C1"/>
    <w:rsid w:val="001F60CB"/>
    <w:rsid w:val="001F633D"/>
    <w:rsid w:val="001F6CE7"/>
    <w:rsid w:val="001F7E0A"/>
    <w:rsid w:val="00201C5B"/>
    <w:rsid w:val="00201E5D"/>
    <w:rsid w:val="00202300"/>
    <w:rsid w:val="002026C0"/>
    <w:rsid w:val="00203DCE"/>
    <w:rsid w:val="00203FDA"/>
    <w:rsid w:val="002041DA"/>
    <w:rsid w:val="0020444C"/>
    <w:rsid w:val="00204BD8"/>
    <w:rsid w:val="002053B9"/>
    <w:rsid w:val="002055CF"/>
    <w:rsid w:val="00205712"/>
    <w:rsid w:val="002061A1"/>
    <w:rsid w:val="00206604"/>
    <w:rsid w:val="00206E19"/>
    <w:rsid w:val="00207017"/>
    <w:rsid w:val="00210221"/>
    <w:rsid w:val="00210672"/>
    <w:rsid w:val="00210CD5"/>
    <w:rsid w:val="00210DAC"/>
    <w:rsid w:val="002112BF"/>
    <w:rsid w:val="00211AB9"/>
    <w:rsid w:val="002120C1"/>
    <w:rsid w:val="002125EB"/>
    <w:rsid w:val="00212868"/>
    <w:rsid w:val="00212FBB"/>
    <w:rsid w:val="00215BB0"/>
    <w:rsid w:val="0021722D"/>
    <w:rsid w:val="002178C3"/>
    <w:rsid w:val="00220899"/>
    <w:rsid w:val="00221F96"/>
    <w:rsid w:val="002231C0"/>
    <w:rsid w:val="0022321D"/>
    <w:rsid w:val="00224385"/>
    <w:rsid w:val="0022438B"/>
    <w:rsid w:val="00225082"/>
    <w:rsid w:val="00225295"/>
    <w:rsid w:val="00225A49"/>
    <w:rsid w:val="00225AEE"/>
    <w:rsid w:val="00226524"/>
    <w:rsid w:val="002265B6"/>
    <w:rsid w:val="002268E1"/>
    <w:rsid w:val="00230C82"/>
    <w:rsid w:val="002313A4"/>
    <w:rsid w:val="00231B65"/>
    <w:rsid w:val="00233586"/>
    <w:rsid w:val="00233994"/>
    <w:rsid w:val="00233B2D"/>
    <w:rsid w:val="00235288"/>
    <w:rsid w:val="00235671"/>
    <w:rsid w:val="00235DB4"/>
    <w:rsid w:val="00236071"/>
    <w:rsid w:val="00236495"/>
    <w:rsid w:val="002364A9"/>
    <w:rsid w:val="0023655C"/>
    <w:rsid w:val="0023666E"/>
    <w:rsid w:val="00236DAD"/>
    <w:rsid w:val="002404C4"/>
    <w:rsid w:val="0024071F"/>
    <w:rsid w:val="00241158"/>
    <w:rsid w:val="0024175C"/>
    <w:rsid w:val="00242A4C"/>
    <w:rsid w:val="002433C3"/>
    <w:rsid w:val="00244A9F"/>
    <w:rsid w:val="00244C66"/>
    <w:rsid w:val="00245685"/>
    <w:rsid w:val="00245B80"/>
    <w:rsid w:val="002460FB"/>
    <w:rsid w:val="00247249"/>
    <w:rsid w:val="002506B7"/>
    <w:rsid w:val="00251810"/>
    <w:rsid w:val="00251995"/>
    <w:rsid w:val="00251B25"/>
    <w:rsid w:val="002521DD"/>
    <w:rsid w:val="00252631"/>
    <w:rsid w:val="00252CFD"/>
    <w:rsid w:val="00252DA5"/>
    <w:rsid w:val="002538C5"/>
    <w:rsid w:val="00254047"/>
    <w:rsid w:val="00255EB1"/>
    <w:rsid w:val="00256320"/>
    <w:rsid w:val="00256572"/>
    <w:rsid w:val="00256EFA"/>
    <w:rsid w:val="00257504"/>
    <w:rsid w:val="002602FB"/>
    <w:rsid w:val="002609EA"/>
    <w:rsid w:val="002611AB"/>
    <w:rsid w:val="00261540"/>
    <w:rsid w:val="0026274F"/>
    <w:rsid w:val="00262AD6"/>
    <w:rsid w:val="00262B21"/>
    <w:rsid w:val="00262DF8"/>
    <w:rsid w:val="00262E38"/>
    <w:rsid w:val="002634F2"/>
    <w:rsid w:val="00263EAF"/>
    <w:rsid w:val="00264E84"/>
    <w:rsid w:val="00265587"/>
    <w:rsid w:val="00265970"/>
    <w:rsid w:val="00265DB3"/>
    <w:rsid w:val="00266517"/>
    <w:rsid w:val="0026712E"/>
    <w:rsid w:val="00267306"/>
    <w:rsid w:val="002675B4"/>
    <w:rsid w:val="00267B5B"/>
    <w:rsid w:val="0027008F"/>
    <w:rsid w:val="002701B7"/>
    <w:rsid w:val="002706B5"/>
    <w:rsid w:val="00271D19"/>
    <w:rsid w:val="0027368D"/>
    <w:rsid w:val="002740E9"/>
    <w:rsid w:val="0027414F"/>
    <w:rsid w:val="00274340"/>
    <w:rsid w:val="00274CA4"/>
    <w:rsid w:val="002752AF"/>
    <w:rsid w:val="00275C51"/>
    <w:rsid w:val="00276A79"/>
    <w:rsid w:val="00276F6C"/>
    <w:rsid w:val="0027715A"/>
    <w:rsid w:val="0027732A"/>
    <w:rsid w:val="0028011C"/>
    <w:rsid w:val="00280D14"/>
    <w:rsid w:val="00281932"/>
    <w:rsid w:val="0028216D"/>
    <w:rsid w:val="00285219"/>
    <w:rsid w:val="00285FA7"/>
    <w:rsid w:val="00285FBA"/>
    <w:rsid w:val="002867B7"/>
    <w:rsid w:val="00286C01"/>
    <w:rsid w:val="00286C26"/>
    <w:rsid w:val="00287824"/>
    <w:rsid w:val="00287A57"/>
    <w:rsid w:val="00287D23"/>
    <w:rsid w:val="002906F9"/>
    <w:rsid w:val="00291500"/>
    <w:rsid w:val="00291E7B"/>
    <w:rsid w:val="00292390"/>
    <w:rsid w:val="00292459"/>
    <w:rsid w:val="002928DA"/>
    <w:rsid w:val="002932D8"/>
    <w:rsid w:val="00293C31"/>
    <w:rsid w:val="00293EA5"/>
    <w:rsid w:val="0029441E"/>
    <w:rsid w:val="00295758"/>
    <w:rsid w:val="00295F12"/>
    <w:rsid w:val="00295FE9"/>
    <w:rsid w:val="00296193"/>
    <w:rsid w:val="002961A1"/>
    <w:rsid w:val="00296976"/>
    <w:rsid w:val="002970F8"/>
    <w:rsid w:val="00297590"/>
    <w:rsid w:val="002975F0"/>
    <w:rsid w:val="002979E6"/>
    <w:rsid w:val="002A08E4"/>
    <w:rsid w:val="002A097F"/>
    <w:rsid w:val="002A0F56"/>
    <w:rsid w:val="002A1F47"/>
    <w:rsid w:val="002A23C8"/>
    <w:rsid w:val="002A3031"/>
    <w:rsid w:val="002A31B4"/>
    <w:rsid w:val="002A3666"/>
    <w:rsid w:val="002A38AB"/>
    <w:rsid w:val="002A3966"/>
    <w:rsid w:val="002A3B7E"/>
    <w:rsid w:val="002A4B86"/>
    <w:rsid w:val="002A5E06"/>
    <w:rsid w:val="002A60F6"/>
    <w:rsid w:val="002A62ED"/>
    <w:rsid w:val="002A7DC1"/>
    <w:rsid w:val="002B023D"/>
    <w:rsid w:val="002B0259"/>
    <w:rsid w:val="002B1B19"/>
    <w:rsid w:val="002B2032"/>
    <w:rsid w:val="002B2943"/>
    <w:rsid w:val="002B40EE"/>
    <w:rsid w:val="002B449A"/>
    <w:rsid w:val="002B452A"/>
    <w:rsid w:val="002B4658"/>
    <w:rsid w:val="002B49C3"/>
    <w:rsid w:val="002B511E"/>
    <w:rsid w:val="002B5587"/>
    <w:rsid w:val="002B5B65"/>
    <w:rsid w:val="002B6023"/>
    <w:rsid w:val="002B621D"/>
    <w:rsid w:val="002B64F0"/>
    <w:rsid w:val="002B667A"/>
    <w:rsid w:val="002B706F"/>
    <w:rsid w:val="002B71FA"/>
    <w:rsid w:val="002B77AD"/>
    <w:rsid w:val="002B7D05"/>
    <w:rsid w:val="002B7F6F"/>
    <w:rsid w:val="002C002B"/>
    <w:rsid w:val="002C1910"/>
    <w:rsid w:val="002C1E06"/>
    <w:rsid w:val="002C2D4B"/>
    <w:rsid w:val="002C321C"/>
    <w:rsid w:val="002C43D4"/>
    <w:rsid w:val="002C4CBB"/>
    <w:rsid w:val="002C5128"/>
    <w:rsid w:val="002C5723"/>
    <w:rsid w:val="002C60C3"/>
    <w:rsid w:val="002C62BA"/>
    <w:rsid w:val="002C6584"/>
    <w:rsid w:val="002C69F1"/>
    <w:rsid w:val="002C6AF1"/>
    <w:rsid w:val="002C7AB8"/>
    <w:rsid w:val="002C7C29"/>
    <w:rsid w:val="002D0280"/>
    <w:rsid w:val="002D0E06"/>
    <w:rsid w:val="002D15C9"/>
    <w:rsid w:val="002D2772"/>
    <w:rsid w:val="002D2D70"/>
    <w:rsid w:val="002D3D19"/>
    <w:rsid w:val="002D3D44"/>
    <w:rsid w:val="002D5E03"/>
    <w:rsid w:val="002D6D58"/>
    <w:rsid w:val="002D7164"/>
    <w:rsid w:val="002D7522"/>
    <w:rsid w:val="002E0186"/>
    <w:rsid w:val="002E1200"/>
    <w:rsid w:val="002E15B2"/>
    <w:rsid w:val="002E30E2"/>
    <w:rsid w:val="002E3346"/>
    <w:rsid w:val="002E35D3"/>
    <w:rsid w:val="002E3C7D"/>
    <w:rsid w:val="002E3D05"/>
    <w:rsid w:val="002E41D0"/>
    <w:rsid w:val="002E51F0"/>
    <w:rsid w:val="002E54E7"/>
    <w:rsid w:val="002E5898"/>
    <w:rsid w:val="002E5B89"/>
    <w:rsid w:val="002E6532"/>
    <w:rsid w:val="002E72EA"/>
    <w:rsid w:val="002E7555"/>
    <w:rsid w:val="002E7D5C"/>
    <w:rsid w:val="002E7E47"/>
    <w:rsid w:val="002F0581"/>
    <w:rsid w:val="002F0F7A"/>
    <w:rsid w:val="002F1F14"/>
    <w:rsid w:val="002F2131"/>
    <w:rsid w:val="002F2767"/>
    <w:rsid w:val="002F2915"/>
    <w:rsid w:val="002F375C"/>
    <w:rsid w:val="002F39A5"/>
    <w:rsid w:val="002F3D42"/>
    <w:rsid w:val="002F3D5D"/>
    <w:rsid w:val="002F564D"/>
    <w:rsid w:val="002F5868"/>
    <w:rsid w:val="002F61D6"/>
    <w:rsid w:val="002F68DF"/>
    <w:rsid w:val="002F6A21"/>
    <w:rsid w:val="002F6B67"/>
    <w:rsid w:val="002F6EC3"/>
    <w:rsid w:val="002F71ED"/>
    <w:rsid w:val="002F723B"/>
    <w:rsid w:val="002F745A"/>
    <w:rsid w:val="003002FF"/>
    <w:rsid w:val="003007B2"/>
    <w:rsid w:val="00300835"/>
    <w:rsid w:val="00300B6C"/>
    <w:rsid w:val="003010B1"/>
    <w:rsid w:val="00301A10"/>
    <w:rsid w:val="00302053"/>
    <w:rsid w:val="0030360C"/>
    <w:rsid w:val="00304520"/>
    <w:rsid w:val="003059F1"/>
    <w:rsid w:val="00306F79"/>
    <w:rsid w:val="003073C5"/>
    <w:rsid w:val="0030741C"/>
    <w:rsid w:val="00310BDA"/>
    <w:rsid w:val="003110B8"/>
    <w:rsid w:val="0031110D"/>
    <w:rsid w:val="00312BE4"/>
    <w:rsid w:val="00312CEA"/>
    <w:rsid w:val="0031325B"/>
    <w:rsid w:val="00313371"/>
    <w:rsid w:val="003137B1"/>
    <w:rsid w:val="00313A3E"/>
    <w:rsid w:val="00314BCF"/>
    <w:rsid w:val="00315C2F"/>
    <w:rsid w:val="003166A9"/>
    <w:rsid w:val="0031679F"/>
    <w:rsid w:val="00317254"/>
    <w:rsid w:val="00320241"/>
    <w:rsid w:val="00320B18"/>
    <w:rsid w:val="00320C8C"/>
    <w:rsid w:val="003214CE"/>
    <w:rsid w:val="003217BE"/>
    <w:rsid w:val="0032182E"/>
    <w:rsid w:val="00321AF2"/>
    <w:rsid w:val="0032236E"/>
    <w:rsid w:val="003231D6"/>
    <w:rsid w:val="0032329B"/>
    <w:rsid w:val="003232BA"/>
    <w:rsid w:val="00323725"/>
    <w:rsid w:val="00323F1A"/>
    <w:rsid w:val="003241F1"/>
    <w:rsid w:val="003249EE"/>
    <w:rsid w:val="003254B6"/>
    <w:rsid w:val="0032616D"/>
    <w:rsid w:val="003262A8"/>
    <w:rsid w:val="0032659B"/>
    <w:rsid w:val="00327081"/>
    <w:rsid w:val="0033001F"/>
    <w:rsid w:val="003317CA"/>
    <w:rsid w:val="0033187C"/>
    <w:rsid w:val="00331F06"/>
    <w:rsid w:val="003325F1"/>
    <w:rsid w:val="003329C3"/>
    <w:rsid w:val="00332FAF"/>
    <w:rsid w:val="0033422D"/>
    <w:rsid w:val="003344E1"/>
    <w:rsid w:val="00334643"/>
    <w:rsid w:val="00335CC8"/>
    <w:rsid w:val="00336063"/>
    <w:rsid w:val="00337293"/>
    <w:rsid w:val="003405F5"/>
    <w:rsid w:val="003409EE"/>
    <w:rsid w:val="003417CC"/>
    <w:rsid w:val="00342486"/>
    <w:rsid w:val="003432FA"/>
    <w:rsid w:val="0034365F"/>
    <w:rsid w:val="00343F6F"/>
    <w:rsid w:val="0034446D"/>
    <w:rsid w:val="00344B70"/>
    <w:rsid w:val="00344D8C"/>
    <w:rsid w:val="00345537"/>
    <w:rsid w:val="00345B02"/>
    <w:rsid w:val="00345C6E"/>
    <w:rsid w:val="00346154"/>
    <w:rsid w:val="00346ED1"/>
    <w:rsid w:val="00347495"/>
    <w:rsid w:val="00347E78"/>
    <w:rsid w:val="00347F22"/>
    <w:rsid w:val="003501FD"/>
    <w:rsid w:val="003516A8"/>
    <w:rsid w:val="00351CCE"/>
    <w:rsid w:val="00352769"/>
    <w:rsid w:val="003527E5"/>
    <w:rsid w:val="00352FDD"/>
    <w:rsid w:val="003530D9"/>
    <w:rsid w:val="003532A3"/>
    <w:rsid w:val="003532B1"/>
    <w:rsid w:val="00353B0A"/>
    <w:rsid w:val="003554C0"/>
    <w:rsid w:val="00357E3F"/>
    <w:rsid w:val="0036057B"/>
    <w:rsid w:val="003609B2"/>
    <w:rsid w:val="00360C61"/>
    <w:rsid w:val="00361986"/>
    <w:rsid w:val="00361ADA"/>
    <w:rsid w:val="00361FB0"/>
    <w:rsid w:val="0036238B"/>
    <w:rsid w:val="00362991"/>
    <w:rsid w:val="00362B86"/>
    <w:rsid w:val="00362DF7"/>
    <w:rsid w:val="003632BC"/>
    <w:rsid w:val="0036343D"/>
    <w:rsid w:val="00363DD0"/>
    <w:rsid w:val="003654BF"/>
    <w:rsid w:val="00367296"/>
    <w:rsid w:val="00367ED2"/>
    <w:rsid w:val="00367EF5"/>
    <w:rsid w:val="00367FB3"/>
    <w:rsid w:val="00370301"/>
    <w:rsid w:val="00370D8B"/>
    <w:rsid w:val="00370EEE"/>
    <w:rsid w:val="00370F52"/>
    <w:rsid w:val="003710CA"/>
    <w:rsid w:val="0037139B"/>
    <w:rsid w:val="00371A1A"/>
    <w:rsid w:val="00371B53"/>
    <w:rsid w:val="00372011"/>
    <w:rsid w:val="003734EE"/>
    <w:rsid w:val="00374B2E"/>
    <w:rsid w:val="00374DED"/>
    <w:rsid w:val="00374E61"/>
    <w:rsid w:val="00375005"/>
    <w:rsid w:val="00375947"/>
    <w:rsid w:val="00376323"/>
    <w:rsid w:val="003773C8"/>
    <w:rsid w:val="00377735"/>
    <w:rsid w:val="00377E8B"/>
    <w:rsid w:val="00380A3C"/>
    <w:rsid w:val="00380E69"/>
    <w:rsid w:val="00380E77"/>
    <w:rsid w:val="00381031"/>
    <w:rsid w:val="003817CB"/>
    <w:rsid w:val="00382C98"/>
    <w:rsid w:val="00382D65"/>
    <w:rsid w:val="00382FF4"/>
    <w:rsid w:val="00383549"/>
    <w:rsid w:val="00383ADA"/>
    <w:rsid w:val="00383DA1"/>
    <w:rsid w:val="00384F48"/>
    <w:rsid w:val="0038550A"/>
    <w:rsid w:val="00386336"/>
    <w:rsid w:val="0038635C"/>
    <w:rsid w:val="00386617"/>
    <w:rsid w:val="00387A5A"/>
    <w:rsid w:val="00390646"/>
    <w:rsid w:val="00390D42"/>
    <w:rsid w:val="003927F0"/>
    <w:rsid w:val="00393B90"/>
    <w:rsid w:val="00396DA8"/>
    <w:rsid w:val="00397981"/>
    <w:rsid w:val="0039799D"/>
    <w:rsid w:val="003A022D"/>
    <w:rsid w:val="003A0581"/>
    <w:rsid w:val="003A0EBC"/>
    <w:rsid w:val="003A142D"/>
    <w:rsid w:val="003A1A1E"/>
    <w:rsid w:val="003A27F3"/>
    <w:rsid w:val="003A2B14"/>
    <w:rsid w:val="003A2BA0"/>
    <w:rsid w:val="003A3237"/>
    <w:rsid w:val="003A3681"/>
    <w:rsid w:val="003A4000"/>
    <w:rsid w:val="003A40C3"/>
    <w:rsid w:val="003A6F58"/>
    <w:rsid w:val="003A732C"/>
    <w:rsid w:val="003A7746"/>
    <w:rsid w:val="003B0DD8"/>
    <w:rsid w:val="003B0FC5"/>
    <w:rsid w:val="003B1208"/>
    <w:rsid w:val="003B1653"/>
    <w:rsid w:val="003B1F73"/>
    <w:rsid w:val="003B247C"/>
    <w:rsid w:val="003B2700"/>
    <w:rsid w:val="003B287C"/>
    <w:rsid w:val="003B29E1"/>
    <w:rsid w:val="003B3007"/>
    <w:rsid w:val="003B3742"/>
    <w:rsid w:val="003B47AF"/>
    <w:rsid w:val="003B4908"/>
    <w:rsid w:val="003B490B"/>
    <w:rsid w:val="003B509B"/>
    <w:rsid w:val="003B5187"/>
    <w:rsid w:val="003B6D0E"/>
    <w:rsid w:val="003B789C"/>
    <w:rsid w:val="003B7C9C"/>
    <w:rsid w:val="003B7ED7"/>
    <w:rsid w:val="003C12E8"/>
    <w:rsid w:val="003C1C3D"/>
    <w:rsid w:val="003C2FF6"/>
    <w:rsid w:val="003C3245"/>
    <w:rsid w:val="003C33D4"/>
    <w:rsid w:val="003C3CE6"/>
    <w:rsid w:val="003C4D47"/>
    <w:rsid w:val="003C5136"/>
    <w:rsid w:val="003C56C7"/>
    <w:rsid w:val="003C5C52"/>
    <w:rsid w:val="003C6486"/>
    <w:rsid w:val="003C7688"/>
    <w:rsid w:val="003C7CF9"/>
    <w:rsid w:val="003D02FA"/>
    <w:rsid w:val="003D0AF1"/>
    <w:rsid w:val="003D1391"/>
    <w:rsid w:val="003D27CF"/>
    <w:rsid w:val="003D3DD1"/>
    <w:rsid w:val="003D4507"/>
    <w:rsid w:val="003D5C88"/>
    <w:rsid w:val="003D659F"/>
    <w:rsid w:val="003D79D3"/>
    <w:rsid w:val="003E0542"/>
    <w:rsid w:val="003E0C7C"/>
    <w:rsid w:val="003E11C3"/>
    <w:rsid w:val="003E1EF4"/>
    <w:rsid w:val="003E2019"/>
    <w:rsid w:val="003E2576"/>
    <w:rsid w:val="003E2F16"/>
    <w:rsid w:val="003E32D4"/>
    <w:rsid w:val="003E37A1"/>
    <w:rsid w:val="003E3EED"/>
    <w:rsid w:val="003E436A"/>
    <w:rsid w:val="003E4602"/>
    <w:rsid w:val="003E5509"/>
    <w:rsid w:val="003E60A1"/>
    <w:rsid w:val="003E61C3"/>
    <w:rsid w:val="003E63EB"/>
    <w:rsid w:val="003E64F1"/>
    <w:rsid w:val="003E67F9"/>
    <w:rsid w:val="003E6877"/>
    <w:rsid w:val="003E75B5"/>
    <w:rsid w:val="003E7B1C"/>
    <w:rsid w:val="003F0277"/>
    <w:rsid w:val="003F046B"/>
    <w:rsid w:val="003F18CF"/>
    <w:rsid w:val="003F22E7"/>
    <w:rsid w:val="003F3594"/>
    <w:rsid w:val="003F38E8"/>
    <w:rsid w:val="003F4E96"/>
    <w:rsid w:val="003F6CB9"/>
    <w:rsid w:val="003F75C8"/>
    <w:rsid w:val="003F77BE"/>
    <w:rsid w:val="003F7B5D"/>
    <w:rsid w:val="003F7C6A"/>
    <w:rsid w:val="003F7F9D"/>
    <w:rsid w:val="00400393"/>
    <w:rsid w:val="00401605"/>
    <w:rsid w:val="00402D91"/>
    <w:rsid w:val="004030D0"/>
    <w:rsid w:val="0040374F"/>
    <w:rsid w:val="00404632"/>
    <w:rsid w:val="00405B0D"/>
    <w:rsid w:val="004064FE"/>
    <w:rsid w:val="004066D6"/>
    <w:rsid w:val="0040699F"/>
    <w:rsid w:val="00407431"/>
    <w:rsid w:val="00407644"/>
    <w:rsid w:val="0041094C"/>
    <w:rsid w:val="00411616"/>
    <w:rsid w:val="004118C2"/>
    <w:rsid w:val="00411CB8"/>
    <w:rsid w:val="00411DDC"/>
    <w:rsid w:val="00412A45"/>
    <w:rsid w:val="00412D07"/>
    <w:rsid w:val="00412F8F"/>
    <w:rsid w:val="004131AD"/>
    <w:rsid w:val="00413C47"/>
    <w:rsid w:val="0041492E"/>
    <w:rsid w:val="00414ABF"/>
    <w:rsid w:val="00414D3A"/>
    <w:rsid w:val="00415098"/>
    <w:rsid w:val="00415771"/>
    <w:rsid w:val="00416193"/>
    <w:rsid w:val="00417C8E"/>
    <w:rsid w:val="004205B3"/>
    <w:rsid w:val="004218CB"/>
    <w:rsid w:val="00421E08"/>
    <w:rsid w:val="00421E62"/>
    <w:rsid w:val="00422860"/>
    <w:rsid w:val="0042347F"/>
    <w:rsid w:val="00423D11"/>
    <w:rsid w:val="00423FF0"/>
    <w:rsid w:val="0042428B"/>
    <w:rsid w:val="00424C2D"/>
    <w:rsid w:val="00425014"/>
    <w:rsid w:val="004254AE"/>
    <w:rsid w:val="00425BAA"/>
    <w:rsid w:val="00425C40"/>
    <w:rsid w:val="00427B91"/>
    <w:rsid w:val="00430278"/>
    <w:rsid w:val="00430ACA"/>
    <w:rsid w:val="00430F1D"/>
    <w:rsid w:val="00431059"/>
    <w:rsid w:val="00431190"/>
    <w:rsid w:val="0043270E"/>
    <w:rsid w:val="00432BEE"/>
    <w:rsid w:val="004334D9"/>
    <w:rsid w:val="00434336"/>
    <w:rsid w:val="00436C29"/>
    <w:rsid w:val="00436FE4"/>
    <w:rsid w:val="00437689"/>
    <w:rsid w:val="004379AD"/>
    <w:rsid w:val="00437D19"/>
    <w:rsid w:val="0044076A"/>
    <w:rsid w:val="00440A71"/>
    <w:rsid w:val="00440E58"/>
    <w:rsid w:val="00440F95"/>
    <w:rsid w:val="0044156E"/>
    <w:rsid w:val="0044188F"/>
    <w:rsid w:val="00441AF2"/>
    <w:rsid w:val="004420AF"/>
    <w:rsid w:val="0044225D"/>
    <w:rsid w:val="004422E4"/>
    <w:rsid w:val="00442393"/>
    <w:rsid w:val="004423DF"/>
    <w:rsid w:val="00442D5B"/>
    <w:rsid w:val="00443032"/>
    <w:rsid w:val="0044382A"/>
    <w:rsid w:val="00443949"/>
    <w:rsid w:val="00443C05"/>
    <w:rsid w:val="00444832"/>
    <w:rsid w:val="00444854"/>
    <w:rsid w:val="0044511E"/>
    <w:rsid w:val="00446FF8"/>
    <w:rsid w:val="004476A7"/>
    <w:rsid w:val="0044798F"/>
    <w:rsid w:val="004502BA"/>
    <w:rsid w:val="004505F8"/>
    <w:rsid w:val="00452318"/>
    <w:rsid w:val="00452559"/>
    <w:rsid w:val="004528D2"/>
    <w:rsid w:val="00452BDA"/>
    <w:rsid w:val="00453405"/>
    <w:rsid w:val="0045372B"/>
    <w:rsid w:val="00453835"/>
    <w:rsid w:val="00453B39"/>
    <w:rsid w:val="00453CE0"/>
    <w:rsid w:val="00453F78"/>
    <w:rsid w:val="004541FF"/>
    <w:rsid w:val="00455A18"/>
    <w:rsid w:val="004573AD"/>
    <w:rsid w:val="00457503"/>
    <w:rsid w:val="00457C80"/>
    <w:rsid w:val="00457E68"/>
    <w:rsid w:val="00460523"/>
    <w:rsid w:val="004617F4"/>
    <w:rsid w:val="00461BC3"/>
    <w:rsid w:val="00461BDC"/>
    <w:rsid w:val="004621FE"/>
    <w:rsid w:val="0046306C"/>
    <w:rsid w:val="0046326E"/>
    <w:rsid w:val="00463B09"/>
    <w:rsid w:val="0046403D"/>
    <w:rsid w:val="0046417E"/>
    <w:rsid w:val="00464DC0"/>
    <w:rsid w:val="00464E56"/>
    <w:rsid w:val="004660EA"/>
    <w:rsid w:val="004666F5"/>
    <w:rsid w:val="00466B44"/>
    <w:rsid w:val="00467C75"/>
    <w:rsid w:val="0047020D"/>
    <w:rsid w:val="00470A1F"/>
    <w:rsid w:val="00470ADE"/>
    <w:rsid w:val="00470F93"/>
    <w:rsid w:val="00472692"/>
    <w:rsid w:val="0047280B"/>
    <w:rsid w:val="0047371F"/>
    <w:rsid w:val="0047425E"/>
    <w:rsid w:val="00474433"/>
    <w:rsid w:val="00475654"/>
    <w:rsid w:val="00477441"/>
    <w:rsid w:val="00477B72"/>
    <w:rsid w:val="0048021D"/>
    <w:rsid w:val="00480434"/>
    <w:rsid w:val="00480906"/>
    <w:rsid w:val="00480A9C"/>
    <w:rsid w:val="004826A3"/>
    <w:rsid w:val="004827C3"/>
    <w:rsid w:val="004837AA"/>
    <w:rsid w:val="00483E99"/>
    <w:rsid w:val="00485B34"/>
    <w:rsid w:val="00485CB1"/>
    <w:rsid w:val="00486AA2"/>
    <w:rsid w:val="00487375"/>
    <w:rsid w:val="004879EE"/>
    <w:rsid w:val="00490600"/>
    <w:rsid w:val="004909FE"/>
    <w:rsid w:val="00490D8F"/>
    <w:rsid w:val="00491482"/>
    <w:rsid w:val="00491C48"/>
    <w:rsid w:val="0049213C"/>
    <w:rsid w:val="004927A0"/>
    <w:rsid w:val="00492930"/>
    <w:rsid w:val="00492B9C"/>
    <w:rsid w:val="00492E74"/>
    <w:rsid w:val="00493528"/>
    <w:rsid w:val="00494608"/>
    <w:rsid w:val="00494B16"/>
    <w:rsid w:val="00494FD7"/>
    <w:rsid w:val="00496AB7"/>
    <w:rsid w:val="00497D13"/>
    <w:rsid w:val="00497D33"/>
    <w:rsid w:val="004A0235"/>
    <w:rsid w:val="004A0854"/>
    <w:rsid w:val="004A1078"/>
    <w:rsid w:val="004A1233"/>
    <w:rsid w:val="004A1725"/>
    <w:rsid w:val="004A1BA8"/>
    <w:rsid w:val="004A1E16"/>
    <w:rsid w:val="004A2CA9"/>
    <w:rsid w:val="004A4673"/>
    <w:rsid w:val="004A4AF5"/>
    <w:rsid w:val="004A5560"/>
    <w:rsid w:val="004A6B78"/>
    <w:rsid w:val="004A6E29"/>
    <w:rsid w:val="004A76A1"/>
    <w:rsid w:val="004A7D52"/>
    <w:rsid w:val="004A7FA7"/>
    <w:rsid w:val="004B07DF"/>
    <w:rsid w:val="004B0F26"/>
    <w:rsid w:val="004B168E"/>
    <w:rsid w:val="004B2742"/>
    <w:rsid w:val="004B3500"/>
    <w:rsid w:val="004B368E"/>
    <w:rsid w:val="004B3FB9"/>
    <w:rsid w:val="004B44DF"/>
    <w:rsid w:val="004B5553"/>
    <w:rsid w:val="004B5FDA"/>
    <w:rsid w:val="004B61A5"/>
    <w:rsid w:val="004B678C"/>
    <w:rsid w:val="004B6E5E"/>
    <w:rsid w:val="004B7281"/>
    <w:rsid w:val="004C05AA"/>
    <w:rsid w:val="004C076A"/>
    <w:rsid w:val="004C08A0"/>
    <w:rsid w:val="004C09D0"/>
    <w:rsid w:val="004C0A64"/>
    <w:rsid w:val="004C0AB6"/>
    <w:rsid w:val="004C1221"/>
    <w:rsid w:val="004C146D"/>
    <w:rsid w:val="004C2BA4"/>
    <w:rsid w:val="004C2DA2"/>
    <w:rsid w:val="004C3573"/>
    <w:rsid w:val="004C3661"/>
    <w:rsid w:val="004C3B8C"/>
    <w:rsid w:val="004C40C7"/>
    <w:rsid w:val="004C4C23"/>
    <w:rsid w:val="004C4E36"/>
    <w:rsid w:val="004C5379"/>
    <w:rsid w:val="004C5566"/>
    <w:rsid w:val="004C5EA3"/>
    <w:rsid w:val="004C6991"/>
    <w:rsid w:val="004C6B00"/>
    <w:rsid w:val="004C6BC7"/>
    <w:rsid w:val="004C6C42"/>
    <w:rsid w:val="004C7090"/>
    <w:rsid w:val="004C7B1A"/>
    <w:rsid w:val="004C7EB2"/>
    <w:rsid w:val="004D0421"/>
    <w:rsid w:val="004D062F"/>
    <w:rsid w:val="004D0B8D"/>
    <w:rsid w:val="004D1154"/>
    <w:rsid w:val="004D2EB4"/>
    <w:rsid w:val="004D3193"/>
    <w:rsid w:val="004D3406"/>
    <w:rsid w:val="004D3558"/>
    <w:rsid w:val="004D3796"/>
    <w:rsid w:val="004D692F"/>
    <w:rsid w:val="004D7280"/>
    <w:rsid w:val="004D72A8"/>
    <w:rsid w:val="004E0164"/>
    <w:rsid w:val="004E07C4"/>
    <w:rsid w:val="004E1577"/>
    <w:rsid w:val="004E1BEC"/>
    <w:rsid w:val="004E1DF2"/>
    <w:rsid w:val="004E2588"/>
    <w:rsid w:val="004E2685"/>
    <w:rsid w:val="004E408D"/>
    <w:rsid w:val="004E4693"/>
    <w:rsid w:val="004E474A"/>
    <w:rsid w:val="004E4964"/>
    <w:rsid w:val="004E4EAD"/>
    <w:rsid w:val="004E5B5E"/>
    <w:rsid w:val="004E5B8C"/>
    <w:rsid w:val="004E60B6"/>
    <w:rsid w:val="004E647E"/>
    <w:rsid w:val="004E7035"/>
    <w:rsid w:val="004E71C3"/>
    <w:rsid w:val="004E779A"/>
    <w:rsid w:val="004F088C"/>
    <w:rsid w:val="004F0D80"/>
    <w:rsid w:val="004F187D"/>
    <w:rsid w:val="004F3049"/>
    <w:rsid w:val="004F54B3"/>
    <w:rsid w:val="004F566B"/>
    <w:rsid w:val="004F5F98"/>
    <w:rsid w:val="004F6F8B"/>
    <w:rsid w:val="004F7D98"/>
    <w:rsid w:val="004F7E1F"/>
    <w:rsid w:val="00500766"/>
    <w:rsid w:val="00500C69"/>
    <w:rsid w:val="0050124D"/>
    <w:rsid w:val="005012C0"/>
    <w:rsid w:val="00501372"/>
    <w:rsid w:val="005013A8"/>
    <w:rsid w:val="005014F5"/>
    <w:rsid w:val="0050184D"/>
    <w:rsid w:val="00502D63"/>
    <w:rsid w:val="00503251"/>
    <w:rsid w:val="00503447"/>
    <w:rsid w:val="00503941"/>
    <w:rsid w:val="00503952"/>
    <w:rsid w:val="0050428D"/>
    <w:rsid w:val="00504691"/>
    <w:rsid w:val="00505A53"/>
    <w:rsid w:val="00505A62"/>
    <w:rsid w:val="00505B30"/>
    <w:rsid w:val="0050623D"/>
    <w:rsid w:val="00506A1E"/>
    <w:rsid w:val="0050734A"/>
    <w:rsid w:val="00510023"/>
    <w:rsid w:val="00510E6B"/>
    <w:rsid w:val="005113AD"/>
    <w:rsid w:val="00512231"/>
    <w:rsid w:val="0051226E"/>
    <w:rsid w:val="00512C66"/>
    <w:rsid w:val="0051333D"/>
    <w:rsid w:val="0051386E"/>
    <w:rsid w:val="00513A4C"/>
    <w:rsid w:val="0051468D"/>
    <w:rsid w:val="0051494D"/>
    <w:rsid w:val="0051518E"/>
    <w:rsid w:val="0051542A"/>
    <w:rsid w:val="00515461"/>
    <w:rsid w:val="005207E0"/>
    <w:rsid w:val="00521127"/>
    <w:rsid w:val="005211B2"/>
    <w:rsid w:val="00522D42"/>
    <w:rsid w:val="00523275"/>
    <w:rsid w:val="0052334B"/>
    <w:rsid w:val="00523A52"/>
    <w:rsid w:val="00524626"/>
    <w:rsid w:val="00524F8D"/>
    <w:rsid w:val="00525331"/>
    <w:rsid w:val="00525945"/>
    <w:rsid w:val="00526192"/>
    <w:rsid w:val="005262A9"/>
    <w:rsid w:val="005262E4"/>
    <w:rsid w:val="00527595"/>
    <w:rsid w:val="005276F9"/>
    <w:rsid w:val="0052771A"/>
    <w:rsid w:val="00530659"/>
    <w:rsid w:val="0053112F"/>
    <w:rsid w:val="00531385"/>
    <w:rsid w:val="00531952"/>
    <w:rsid w:val="00531B8F"/>
    <w:rsid w:val="00531BB9"/>
    <w:rsid w:val="0053205B"/>
    <w:rsid w:val="00532930"/>
    <w:rsid w:val="00532984"/>
    <w:rsid w:val="00533040"/>
    <w:rsid w:val="00534BFA"/>
    <w:rsid w:val="005356ED"/>
    <w:rsid w:val="00536AE4"/>
    <w:rsid w:val="00536F52"/>
    <w:rsid w:val="0053761C"/>
    <w:rsid w:val="005378B0"/>
    <w:rsid w:val="00537EFC"/>
    <w:rsid w:val="005402D7"/>
    <w:rsid w:val="00540573"/>
    <w:rsid w:val="00540E91"/>
    <w:rsid w:val="00540EED"/>
    <w:rsid w:val="00541CFF"/>
    <w:rsid w:val="00542554"/>
    <w:rsid w:val="00542591"/>
    <w:rsid w:val="00542D05"/>
    <w:rsid w:val="00543CEA"/>
    <w:rsid w:val="00543F11"/>
    <w:rsid w:val="0054437F"/>
    <w:rsid w:val="005446DE"/>
    <w:rsid w:val="00544765"/>
    <w:rsid w:val="00545943"/>
    <w:rsid w:val="00546251"/>
    <w:rsid w:val="005467F0"/>
    <w:rsid w:val="0054695B"/>
    <w:rsid w:val="00546F15"/>
    <w:rsid w:val="005477A2"/>
    <w:rsid w:val="00550320"/>
    <w:rsid w:val="005504A5"/>
    <w:rsid w:val="00550E46"/>
    <w:rsid w:val="00551243"/>
    <w:rsid w:val="005519B7"/>
    <w:rsid w:val="00551C9A"/>
    <w:rsid w:val="0055235B"/>
    <w:rsid w:val="005532FC"/>
    <w:rsid w:val="00553974"/>
    <w:rsid w:val="00554650"/>
    <w:rsid w:val="00554FF2"/>
    <w:rsid w:val="0055560D"/>
    <w:rsid w:val="005559E9"/>
    <w:rsid w:val="00555A4F"/>
    <w:rsid w:val="00556CF6"/>
    <w:rsid w:val="005570BE"/>
    <w:rsid w:val="00557D62"/>
    <w:rsid w:val="00557EF0"/>
    <w:rsid w:val="0056015B"/>
    <w:rsid w:val="005607B9"/>
    <w:rsid w:val="005609C2"/>
    <w:rsid w:val="00560B85"/>
    <w:rsid w:val="00562A51"/>
    <w:rsid w:val="00562B73"/>
    <w:rsid w:val="00562D96"/>
    <w:rsid w:val="005642F4"/>
    <w:rsid w:val="00564978"/>
    <w:rsid w:val="00565D6A"/>
    <w:rsid w:val="00566A8C"/>
    <w:rsid w:val="00566C7E"/>
    <w:rsid w:val="0056717F"/>
    <w:rsid w:val="00567B17"/>
    <w:rsid w:val="00570B82"/>
    <w:rsid w:val="00570E53"/>
    <w:rsid w:val="005720E6"/>
    <w:rsid w:val="005724C3"/>
    <w:rsid w:val="005729C7"/>
    <w:rsid w:val="00572B56"/>
    <w:rsid w:val="00572E82"/>
    <w:rsid w:val="00572F77"/>
    <w:rsid w:val="0057357B"/>
    <w:rsid w:val="00574EA9"/>
    <w:rsid w:val="005753A1"/>
    <w:rsid w:val="00575EC7"/>
    <w:rsid w:val="005760AF"/>
    <w:rsid w:val="00576987"/>
    <w:rsid w:val="005771C2"/>
    <w:rsid w:val="005774CE"/>
    <w:rsid w:val="00577A7B"/>
    <w:rsid w:val="00580568"/>
    <w:rsid w:val="0058326E"/>
    <w:rsid w:val="00583329"/>
    <w:rsid w:val="005834B1"/>
    <w:rsid w:val="0058352B"/>
    <w:rsid w:val="005838B7"/>
    <w:rsid w:val="00583A41"/>
    <w:rsid w:val="00585028"/>
    <w:rsid w:val="00587679"/>
    <w:rsid w:val="0059015E"/>
    <w:rsid w:val="00590661"/>
    <w:rsid w:val="005919CC"/>
    <w:rsid w:val="005927B6"/>
    <w:rsid w:val="00592FDE"/>
    <w:rsid w:val="00592FE6"/>
    <w:rsid w:val="00593517"/>
    <w:rsid w:val="00593A13"/>
    <w:rsid w:val="00594072"/>
    <w:rsid w:val="005954D3"/>
    <w:rsid w:val="00595F2B"/>
    <w:rsid w:val="00596199"/>
    <w:rsid w:val="005972F4"/>
    <w:rsid w:val="005978E4"/>
    <w:rsid w:val="005A0C0B"/>
    <w:rsid w:val="005A1F7E"/>
    <w:rsid w:val="005A2B90"/>
    <w:rsid w:val="005A2D77"/>
    <w:rsid w:val="005A2E40"/>
    <w:rsid w:val="005A38A2"/>
    <w:rsid w:val="005A3D43"/>
    <w:rsid w:val="005A4CC6"/>
    <w:rsid w:val="005A55C4"/>
    <w:rsid w:val="005A564F"/>
    <w:rsid w:val="005A5D87"/>
    <w:rsid w:val="005A7722"/>
    <w:rsid w:val="005B009E"/>
    <w:rsid w:val="005B0A49"/>
    <w:rsid w:val="005B1BC4"/>
    <w:rsid w:val="005B1D52"/>
    <w:rsid w:val="005B2F76"/>
    <w:rsid w:val="005B3624"/>
    <w:rsid w:val="005B3903"/>
    <w:rsid w:val="005B4B4D"/>
    <w:rsid w:val="005B4E81"/>
    <w:rsid w:val="005B56E2"/>
    <w:rsid w:val="005C0398"/>
    <w:rsid w:val="005C0D9C"/>
    <w:rsid w:val="005C105E"/>
    <w:rsid w:val="005C1082"/>
    <w:rsid w:val="005C2A50"/>
    <w:rsid w:val="005C3502"/>
    <w:rsid w:val="005C4F27"/>
    <w:rsid w:val="005C5203"/>
    <w:rsid w:val="005C55ED"/>
    <w:rsid w:val="005C560C"/>
    <w:rsid w:val="005C5697"/>
    <w:rsid w:val="005C7158"/>
    <w:rsid w:val="005C75C9"/>
    <w:rsid w:val="005D0527"/>
    <w:rsid w:val="005D0647"/>
    <w:rsid w:val="005D0D84"/>
    <w:rsid w:val="005D1278"/>
    <w:rsid w:val="005D1A44"/>
    <w:rsid w:val="005D1A73"/>
    <w:rsid w:val="005D5494"/>
    <w:rsid w:val="005D6267"/>
    <w:rsid w:val="005D6F5D"/>
    <w:rsid w:val="005D6FF9"/>
    <w:rsid w:val="005E0230"/>
    <w:rsid w:val="005E05E5"/>
    <w:rsid w:val="005E0A06"/>
    <w:rsid w:val="005E0AB8"/>
    <w:rsid w:val="005E199B"/>
    <w:rsid w:val="005E1E7B"/>
    <w:rsid w:val="005E2660"/>
    <w:rsid w:val="005E273B"/>
    <w:rsid w:val="005E30C8"/>
    <w:rsid w:val="005E3218"/>
    <w:rsid w:val="005E44FA"/>
    <w:rsid w:val="005E7149"/>
    <w:rsid w:val="005E751B"/>
    <w:rsid w:val="005E7C04"/>
    <w:rsid w:val="005F061D"/>
    <w:rsid w:val="005F0CDE"/>
    <w:rsid w:val="005F0E6A"/>
    <w:rsid w:val="005F0FFB"/>
    <w:rsid w:val="005F17B3"/>
    <w:rsid w:val="005F1D83"/>
    <w:rsid w:val="005F1E84"/>
    <w:rsid w:val="005F2181"/>
    <w:rsid w:val="005F2A54"/>
    <w:rsid w:val="005F3755"/>
    <w:rsid w:val="005F37A5"/>
    <w:rsid w:val="005F4C42"/>
    <w:rsid w:val="005F4CA5"/>
    <w:rsid w:val="005F543F"/>
    <w:rsid w:val="005F5D8A"/>
    <w:rsid w:val="005F5D8E"/>
    <w:rsid w:val="005F5E17"/>
    <w:rsid w:val="005F63B8"/>
    <w:rsid w:val="005F6C7F"/>
    <w:rsid w:val="005F7203"/>
    <w:rsid w:val="005F7753"/>
    <w:rsid w:val="006007CF"/>
    <w:rsid w:val="00600DA5"/>
    <w:rsid w:val="0060186C"/>
    <w:rsid w:val="00601D92"/>
    <w:rsid w:val="00601E41"/>
    <w:rsid w:val="00602760"/>
    <w:rsid w:val="0060284B"/>
    <w:rsid w:val="0060510F"/>
    <w:rsid w:val="00605650"/>
    <w:rsid w:val="006073A5"/>
    <w:rsid w:val="00607473"/>
    <w:rsid w:val="00607D7B"/>
    <w:rsid w:val="006101EC"/>
    <w:rsid w:val="00610D3B"/>
    <w:rsid w:val="00612F76"/>
    <w:rsid w:val="00613346"/>
    <w:rsid w:val="006136B6"/>
    <w:rsid w:val="006138C2"/>
    <w:rsid w:val="00613FD8"/>
    <w:rsid w:val="0061444E"/>
    <w:rsid w:val="00614A64"/>
    <w:rsid w:val="00614EF9"/>
    <w:rsid w:val="00615A29"/>
    <w:rsid w:val="00616427"/>
    <w:rsid w:val="006165E7"/>
    <w:rsid w:val="00616A80"/>
    <w:rsid w:val="00616B11"/>
    <w:rsid w:val="006177A1"/>
    <w:rsid w:val="00617A2C"/>
    <w:rsid w:val="0062143E"/>
    <w:rsid w:val="006229AA"/>
    <w:rsid w:val="00622A4C"/>
    <w:rsid w:val="00622F5C"/>
    <w:rsid w:val="00623152"/>
    <w:rsid w:val="00623A07"/>
    <w:rsid w:val="00624315"/>
    <w:rsid w:val="00624389"/>
    <w:rsid w:val="00624D07"/>
    <w:rsid w:val="00625741"/>
    <w:rsid w:val="00625B88"/>
    <w:rsid w:val="00625B8C"/>
    <w:rsid w:val="00625CFB"/>
    <w:rsid w:val="00625E35"/>
    <w:rsid w:val="0062715B"/>
    <w:rsid w:val="00630BDC"/>
    <w:rsid w:val="0063110C"/>
    <w:rsid w:val="006312D5"/>
    <w:rsid w:val="00631481"/>
    <w:rsid w:val="00631FF2"/>
    <w:rsid w:val="0063224C"/>
    <w:rsid w:val="00632F91"/>
    <w:rsid w:val="00633E0D"/>
    <w:rsid w:val="0063422C"/>
    <w:rsid w:val="006344F8"/>
    <w:rsid w:val="00634820"/>
    <w:rsid w:val="0063489F"/>
    <w:rsid w:val="006348B6"/>
    <w:rsid w:val="006348B8"/>
    <w:rsid w:val="00634A5D"/>
    <w:rsid w:val="006353B5"/>
    <w:rsid w:val="00635682"/>
    <w:rsid w:val="006358AE"/>
    <w:rsid w:val="00635A29"/>
    <w:rsid w:val="00635A2D"/>
    <w:rsid w:val="006361E8"/>
    <w:rsid w:val="0063668C"/>
    <w:rsid w:val="006368F7"/>
    <w:rsid w:val="00636B55"/>
    <w:rsid w:val="00636C61"/>
    <w:rsid w:val="00637493"/>
    <w:rsid w:val="00637967"/>
    <w:rsid w:val="00637B66"/>
    <w:rsid w:val="00637E06"/>
    <w:rsid w:val="006417AE"/>
    <w:rsid w:val="00641F85"/>
    <w:rsid w:val="00642731"/>
    <w:rsid w:val="00642870"/>
    <w:rsid w:val="00643891"/>
    <w:rsid w:val="00643A2A"/>
    <w:rsid w:val="0064482E"/>
    <w:rsid w:val="006462DB"/>
    <w:rsid w:val="00647767"/>
    <w:rsid w:val="00650EAA"/>
    <w:rsid w:val="00651A7C"/>
    <w:rsid w:val="00651C20"/>
    <w:rsid w:val="0065261C"/>
    <w:rsid w:val="0065276A"/>
    <w:rsid w:val="00652998"/>
    <w:rsid w:val="00652B7E"/>
    <w:rsid w:val="00652FC8"/>
    <w:rsid w:val="00654441"/>
    <w:rsid w:val="00655475"/>
    <w:rsid w:val="00655A73"/>
    <w:rsid w:val="00655C7B"/>
    <w:rsid w:val="00655DC7"/>
    <w:rsid w:val="00655EA0"/>
    <w:rsid w:val="00656396"/>
    <w:rsid w:val="00657DF3"/>
    <w:rsid w:val="00660D7A"/>
    <w:rsid w:val="0066205D"/>
    <w:rsid w:val="00663026"/>
    <w:rsid w:val="00663112"/>
    <w:rsid w:val="00663CAD"/>
    <w:rsid w:val="00664453"/>
    <w:rsid w:val="00664ADF"/>
    <w:rsid w:val="006655F7"/>
    <w:rsid w:val="006656B4"/>
    <w:rsid w:val="00665C19"/>
    <w:rsid w:val="006660AE"/>
    <w:rsid w:val="00666B65"/>
    <w:rsid w:val="00666EC5"/>
    <w:rsid w:val="00666F3C"/>
    <w:rsid w:val="00667772"/>
    <w:rsid w:val="0066790E"/>
    <w:rsid w:val="006704F9"/>
    <w:rsid w:val="00670891"/>
    <w:rsid w:val="00671B97"/>
    <w:rsid w:val="00671F70"/>
    <w:rsid w:val="00672D95"/>
    <w:rsid w:val="006734B0"/>
    <w:rsid w:val="0067366E"/>
    <w:rsid w:val="00674C76"/>
    <w:rsid w:val="006753D6"/>
    <w:rsid w:val="0067564A"/>
    <w:rsid w:val="00675E97"/>
    <w:rsid w:val="00676869"/>
    <w:rsid w:val="00676990"/>
    <w:rsid w:val="00676A35"/>
    <w:rsid w:val="00676E77"/>
    <w:rsid w:val="00676F15"/>
    <w:rsid w:val="00677DFC"/>
    <w:rsid w:val="00677F37"/>
    <w:rsid w:val="00680A9F"/>
    <w:rsid w:val="00680DEA"/>
    <w:rsid w:val="006811F6"/>
    <w:rsid w:val="0068148F"/>
    <w:rsid w:val="0068158B"/>
    <w:rsid w:val="00681B0D"/>
    <w:rsid w:val="006823EA"/>
    <w:rsid w:val="00682A8B"/>
    <w:rsid w:val="00682AAD"/>
    <w:rsid w:val="00682D13"/>
    <w:rsid w:val="006832E6"/>
    <w:rsid w:val="0068424C"/>
    <w:rsid w:val="00684A34"/>
    <w:rsid w:val="006854E7"/>
    <w:rsid w:val="006854F4"/>
    <w:rsid w:val="0068575C"/>
    <w:rsid w:val="00686E78"/>
    <w:rsid w:val="00687035"/>
    <w:rsid w:val="00687072"/>
    <w:rsid w:val="00687738"/>
    <w:rsid w:val="00687815"/>
    <w:rsid w:val="006879AF"/>
    <w:rsid w:val="00687F8E"/>
    <w:rsid w:val="0069058A"/>
    <w:rsid w:val="00691AF7"/>
    <w:rsid w:val="006929B1"/>
    <w:rsid w:val="00693C56"/>
    <w:rsid w:val="00694496"/>
    <w:rsid w:val="00694B7F"/>
    <w:rsid w:val="00695257"/>
    <w:rsid w:val="00695DC0"/>
    <w:rsid w:val="00696759"/>
    <w:rsid w:val="0069771F"/>
    <w:rsid w:val="006A190C"/>
    <w:rsid w:val="006A1CE0"/>
    <w:rsid w:val="006A3E57"/>
    <w:rsid w:val="006A4744"/>
    <w:rsid w:val="006A4F47"/>
    <w:rsid w:val="006A6688"/>
    <w:rsid w:val="006A6CF0"/>
    <w:rsid w:val="006A7430"/>
    <w:rsid w:val="006A7B8E"/>
    <w:rsid w:val="006B0092"/>
    <w:rsid w:val="006B123D"/>
    <w:rsid w:val="006B1452"/>
    <w:rsid w:val="006B1790"/>
    <w:rsid w:val="006B1946"/>
    <w:rsid w:val="006B1DC1"/>
    <w:rsid w:val="006B1F08"/>
    <w:rsid w:val="006B285F"/>
    <w:rsid w:val="006B2D02"/>
    <w:rsid w:val="006B3797"/>
    <w:rsid w:val="006B475E"/>
    <w:rsid w:val="006B5CC1"/>
    <w:rsid w:val="006B5DE6"/>
    <w:rsid w:val="006B5FBB"/>
    <w:rsid w:val="006B696C"/>
    <w:rsid w:val="006B6E06"/>
    <w:rsid w:val="006B6F29"/>
    <w:rsid w:val="006B787F"/>
    <w:rsid w:val="006C155E"/>
    <w:rsid w:val="006C1E3B"/>
    <w:rsid w:val="006C2094"/>
    <w:rsid w:val="006C2365"/>
    <w:rsid w:val="006C2486"/>
    <w:rsid w:val="006C25E5"/>
    <w:rsid w:val="006C2F3A"/>
    <w:rsid w:val="006C4B12"/>
    <w:rsid w:val="006C50D6"/>
    <w:rsid w:val="006C56D2"/>
    <w:rsid w:val="006C5943"/>
    <w:rsid w:val="006C5B48"/>
    <w:rsid w:val="006C664B"/>
    <w:rsid w:val="006C711A"/>
    <w:rsid w:val="006C7215"/>
    <w:rsid w:val="006C7E76"/>
    <w:rsid w:val="006D024A"/>
    <w:rsid w:val="006D07EA"/>
    <w:rsid w:val="006D0A26"/>
    <w:rsid w:val="006D0E1E"/>
    <w:rsid w:val="006D17D9"/>
    <w:rsid w:val="006D4195"/>
    <w:rsid w:val="006D460E"/>
    <w:rsid w:val="006D47C3"/>
    <w:rsid w:val="006D5632"/>
    <w:rsid w:val="006D568B"/>
    <w:rsid w:val="006D5D47"/>
    <w:rsid w:val="006D5F7B"/>
    <w:rsid w:val="006D6507"/>
    <w:rsid w:val="006D700C"/>
    <w:rsid w:val="006D7B49"/>
    <w:rsid w:val="006D7F85"/>
    <w:rsid w:val="006E0102"/>
    <w:rsid w:val="006E18E3"/>
    <w:rsid w:val="006E21E6"/>
    <w:rsid w:val="006E2276"/>
    <w:rsid w:val="006E229E"/>
    <w:rsid w:val="006E29AB"/>
    <w:rsid w:val="006E318F"/>
    <w:rsid w:val="006E3217"/>
    <w:rsid w:val="006E3703"/>
    <w:rsid w:val="006E3AD4"/>
    <w:rsid w:val="006E4676"/>
    <w:rsid w:val="006E52AF"/>
    <w:rsid w:val="006E5D2E"/>
    <w:rsid w:val="006E61F3"/>
    <w:rsid w:val="006E6B7E"/>
    <w:rsid w:val="006F055A"/>
    <w:rsid w:val="006F0A85"/>
    <w:rsid w:val="006F1468"/>
    <w:rsid w:val="006F1605"/>
    <w:rsid w:val="006F2FFF"/>
    <w:rsid w:val="006F3F3F"/>
    <w:rsid w:val="006F4786"/>
    <w:rsid w:val="006F47BA"/>
    <w:rsid w:val="006F5F53"/>
    <w:rsid w:val="006F69D6"/>
    <w:rsid w:val="006F6BA9"/>
    <w:rsid w:val="006F77E2"/>
    <w:rsid w:val="007000AC"/>
    <w:rsid w:val="00700174"/>
    <w:rsid w:val="00701076"/>
    <w:rsid w:val="00701276"/>
    <w:rsid w:val="0070196F"/>
    <w:rsid w:val="00701AF0"/>
    <w:rsid w:val="00701B4E"/>
    <w:rsid w:val="00703E8A"/>
    <w:rsid w:val="00704509"/>
    <w:rsid w:val="00705D6B"/>
    <w:rsid w:val="0070699C"/>
    <w:rsid w:val="00706B0D"/>
    <w:rsid w:val="00706EDD"/>
    <w:rsid w:val="00707F5B"/>
    <w:rsid w:val="00710E26"/>
    <w:rsid w:val="00710ED3"/>
    <w:rsid w:val="0071110D"/>
    <w:rsid w:val="0071132B"/>
    <w:rsid w:val="00714162"/>
    <w:rsid w:val="00714402"/>
    <w:rsid w:val="00714812"/>
    <w:rsid w:val="00714EE0"/>
    <w:rsid w:val="007161D7"/>
    <w:rsid w:val="007164A8"/>
    <w:rsid w:val="007164FB"/>
    <w:rsid w:val="00717757"/>
    <w:rsid w:val="00717B5E"/>
    <w:rsid w:val="00720389"/>
    <w:rsid w:val="007203DF"/>
    <w:rsid w:val="00720C60"/>
    <w:rsid w:val="00720E75"/>
    <w:rsid w:val="00722439"/>
    <w:rsid w:val="007227A3"/>
    <w:rsid w:val="00722DE9"/>
    <w:rsid w:val="00723950"/>
    <w:rsid w:val="00723983"/>
    <w:rsid w:val="007249AC"/>
    <w:rsid w:val="00724BC8"/>
    <w:rsid w:val="0072524F"/>
    <w:rsid w:val="007261F2"/>
    <w:rsid w:val="00730909"/>
    <w:rsid w:val="0073131D"/>
    <w:rsid w:val="0073196A"/>
    <w:rsid w:val="00731B0C"/>
    <w:rsid w:val="00731D56"/>
    <w:rsid w:val="0073317A"/>
    <w:rsid w:val="00733A39"/>
    <w:rsid w:val="00733B11"/>
    <w:rsid w:val="00734578"/>
    <w:rsid w:val="00734C2E"/>
    <w:rsid w:val="00735E7A"/>
    <w:rsid w:val="007362A7"/>
    <w:rsid w:val="007363E8"/>
    <w:rsid w:val="00736836"/>
    <w:rsid w:val="00736888"/>
    <w:rsid w:val="00737E77"/>
    <w:rsid w:val="0074053E"/>
    <w:rsid w:val="0074076E"/>
    <w:rsid w:val="00740A31"/>
    <w:rsid w:val="00740CA1"/>
    <w:rsid w:val="00740DA7"/>
    <w:rsid w:val="0074108E"/>
    <w:rsid w:val="007414A8"/>
    <w:rsid w:val="00741516"/>
    <w:rsid w:val="007418C1"/>
    <w:rsid w:val="00743007"/>
    <w:rsid w:val="007436EF"/>
    <w:rsid w:val="007438F4"/>
    <w:rsid w:val="00743912"/>
    <w:rsid w:val="00743A44"/>
    <w:rsid w:val="00745FAC"/>
    <w:rsid w:val="0074618B"/>
    <w:rsid w:val="00746908"/>
    <w:rsid w:val="007469E8"/>
    <w:rsid w:val="00746DF4"/>
    <w:rsid w:val="007477ED"/>
    <w:rsid w:val="007505FD"/>
    <w:rsid w:val="007506FC"/>
    <w:rsid w:val="007508EA"/>
    <w:rsid w:val="00750CE3"/>
    <w:rsid w:val="00750DE9"/>
    <w:rsid w:val="0075155A"/>
    <w:rsid w:val="007526FD"/>
    <w:rsid w:val="007527B9"/>
    <w:rsid w:val="007530C6"/>
    <w:rsid w:val="00754418"/>
    <w:rsid w:val="007552A7"/>
    <w:rsid w:val="0075538F"/>
    <w:rsid w:val="0075560F"/>
    <w:rsid w:val="007558B2"/>
    <w:rsid w:val="00756562"/>
    <w:rsid w:val="00757034"/>
    <w:rsid w:val="00757325"/>
    <w:rsid w:val="00757897"/>
    <w:rsid w:val="00760176"/>
    <w:rsid w:val="00762030"/>
    <w:rsid w:val="00762A2A"/>
    <w:rsid w:val="00762DF4"/>
    <w:rsid w:val="007632E0"/>
    <w:rsid w:val="007633F2"/>
    <w:rsid w:val="007637EC"/>
    <w:rsid w:val="007640A4"/>
    <w:rsid w:val="0076434B"/>
    <w:rsid w:val="00764685"/>
    <w:rsid w:val="00764A74"/>
    <w:rsid w:val="007668F3"/>
    <w:rsid w:val="00766C04"/>
    <w:rsid w:val="00766FAF"/>
    <w:rsid w:val="00767129"/>
    <w:rsid w:val="007677F9"/>
    <w:rsid w:val="00767971"/>
    <w:rsid w:val="00771E09"/>
    <w:rsid w:val="007733B4"/>
    <w:rsid w:val="00773A92"/>
    <w:rsid w:val="00773C7A"/>
    <w:rsid w:val="0077539F"/>
    <w:rsid w:val="00775A4B"/>
    <w:rsid w:val="00776040"/>
    <w:rsid w:val="00776523"/>
    <w:rsid w:val="00777C6D"/>
    <w:rsid w:val="00780745"/>
    <w:rsid w:val="00781014"/>
    <w:rsid w:val="00781518"/>
    <w:rsid w:val="007816A1"/>
    <w:rsid w:val="0078175A"/>
    <w:rsid w:val="00781AD5"/>
    <w:rsid w:val="0078265F"/>
    <w:rsid w:val="0078374C"/>
    <w:rsid w:val="007837B5"/>
    <w:rsid w:val="007847A7"/>
    <w:rsid w:val="00785E9B"/>
    <w:rsid w:val="00790DA6"/>
    <w:rsid w:val="00791714"/>
    <w:rsid w:val="0079312A"/>
    <w:rsid w:val="0079344E"/>
    <w:rsid w:val="007939F2"/>
    <w:rsid w:val="00793AA8"/>
    <w:rsid w:val="007954EB"/>
    <w:rsid w:val="007956E7"/>
    <w:rsid w:val="0079610F"/>
    <w:rsid w:val="00796C4C"/>
    <w:rsid w:val="007970B8"/>
    <w:rsid w:val="00797103"/>
    <w:rsid w:val="007A0D4D"/>
    <w:rsid w:val="007A20EE"/>
    <w:rsid w:val="007A387D"/>
    <w:rsid w:val="007A3FED"/>
    <w:rsid w:val="007A5196"/>
    <w:rsid w:val="007A57ED"/>
    <w:rsid w:val="007A5CE0"/>
    <w:rsid w:val="007A5E38"/>
    <w:rsid w:val="007A6634"/>
    <w:rsid w:val="007A67F8"/>
    <w:rsid w:val="007A6C55"/>
    <w:rsid w:val="007A7093"/>
    <w:rsid w:val="007A7F4A"/>
    <w:rsid w:val="007B05B5"/>
    <w:rsid w:val="007B0A2F"/>
    <w:rsid w:val="007B0BE6"/>
    <w:rsid w:val="007B14D0"/>
    <w:rsid w:val="007B1BA3"/>
    <w:rsid w:val="007B2294"/>
    <w:rsid w:val="007B2554"/>
    <w:rsid w:val="007B3454"/>
    <w:rsid w:val="007B3738"/>
    <w:rsid w:val="007B3D05"/>
    <w:rsid w:val="007B40AA"/>
    <w:rsid w:val="007B40BB"/>
    <w:rsid w:val="007B462D"/>
    <w:rsid w:val="007B498A"/>
    <w:rsid w:val="007B601D"/>
    <w:rsid w:val="007B68CC"/>
    <w:rsid w:val="007B6CC8"/>
    <w:rsid w:val="007B78BD"/>
    <w:rsid w:val="007C0203"/>
    <w:rsid w:val="007C0573"/>
    <w:rsid w:val="007C13EB"/>
    <w:rsid w:val="007C1B6A"/>
    <w:rsid w:val="007C23FF"/>
    <w:rsid w:val="007C2A01"/>
    <w:rsid w:val="007C3291"/>
    <w:rsid w:val="007C3BFD"/>
    <w:rsid w:val="007C3F38"/>
    <w:rsid w:val="007C4325"/>
    <w:rsid w:val="007C48F5"/>
    <w:rsid w:val="007C5432"/>
    <w:rsid w:val="007C5AF5"/>
    <w:rsid w:val="007C5D42"/>
    <w:rsid w:val="007C66B7"/>
    <w:rsid w:val="007C74DC"/>
    <w:rsid w:val="007C7F32"/>
    <w:rsid w:val="007D006F"/>
    <w:rsid w:val="007D00E0"/>
    <w:rsid w:val="007D10FE"/>
    <w:rsid w:val="007D12BC"/>
    <w:rsid w:val="007D198C"/>
    <w:rsid w:val="007D1AAC"/>
    <w:rsid w:val="007D24DA"/>
    <w:rsid w:val="007D3DBE"/>
    <w:rsid w:val="007D427E"/>
    <w:rsid w:val="007D524F"/>
    <w:rsid w:val="007D6A4A"/>
    <w:rsid w:val="007D6DC4"/>
    <w:rsid w:val="007D7508"/>
    <w:rsid w:val="007D764F"/>
    <w:rsid w:val="007D7C50"/>
    <w:rsid w:val="007E0756"/>
    <w:rsid w:val="007E1976"/>
    <w:rsid w:val="007E1980"/>
    <w:rsid w:val="007E3210"/>
    <w:rsid w:val="007E33E4"/>
    <w:rsid w:val="007E382B"/>
    <w:rsid w:val="007E4515"/>
    <w:rsid w:val="007E57C3"/>
    <w:rsid w:val="007E5987"/>
    <w:rsid w:val="007E681F"/>
    <w:rsid w:val="007E7695"/>
    <w:rsid w:val="007F0283"/>
    <w:rsid w:val="007F08E3"/>
    <w:rsid w:val="007F1ED9"/>
    <w:rsid w:val="007F31DA"/>
    <w:rsid w:val="007F46DD"/>
    <w:rsid w:val="007F47F5"/>
    <w:rsid w:val="007F721C"/>
    <w:rsid w:val="007F7BCD"/>
    <w:rsid w:val="007F7E38"/>
    <w:rsid w:val="00801731"/>
    <w:rsid w:val="0080220C"/>
    <w:rsid w:val="0080248B"/>
    <w:rsid w:val="00802614"/>
    <w:rsid w:val="00803A70"/>
    <w:rsid w:val="00804518"/>
    <w:rsid w:val="0080487E"/>
    <w:rsid w:val="0080513F"/>
    <w:rsid w:val="0080593D"/>
    <w:rsid w:val="008060B1"/>
    <w:rsid w:val="00806E1B"/>
    <w:rsid w:val="00810B35"/>
    <w:rsid w:val="00810C83"/>
    <w:rsid w:val="008110F7"/>
    <w:rsid w:val="00811182"/>
    <w:rsid w:val="008117B2"/>
    <w:rsid w:val="00811833"/>
    <w:rsid w:val="0081188F"/>
    <w:rsid w:val="008121BE"/>
    <w:rsid w:val="0081264C"/>
    <w:rsid w:val="00813008"/>
    <w:rsid w:val="00813F25"/>
    <w:rsid w:val="0081455E"/>
    <w:rsid w:val="00814D33"/>
    <w:rsid w:val="00814EDD"/>
    <w:rsid w:val="00816029"/>
    <w:rsid w:val="0081614C"/>
    <w:rsid w:val="00816894"/>
    <w:rsid w:val="00816933"/>
    <w:rsid w:val="00817249"/>
    <w:rsid w:val="00817AC6"/>
    <w:rsid w:val="00817AE6"/>
    <w:rsid w:val="00817F11"/>
    <w:rsid w:val="00820060"/>
    <w:rsid w:val="0082071B"/>
    <w:rsid w:val="008207B5"/>
    <w:rsid w:val="00820E5E"/>
    <w:rsid w:val="00820F12"/>
    <w:rsid w:val="0082126D"/>
    <w:rsid w:val="008216FE"/>
    <w:rsid w:val="00821D98"/>
    <w:rsid w:val="00822BB3"/>
    <w:rsid w:val="00822CFE"/>
    <w:rsid w:val="00823B2D"/>
    <w:rsid w:val="00824EE4"/>
    <w:rsid w:val="00825727"/>
    <w:rsid w:val="008258B5"/>
    <w:rsid w:val="00825903"/>
    <w:rsid w:val="00825D60"/>
    <w:rsid w:val="00825F29"/>
    <w:rsid w:val="00825FFE"/>
    <w:rsid w:val="00826F64"/>
    <w:rsid w:val="00827934"/>
    <w:rsid w:val="00830CA0"/>
    <w:rsid w:val="0083117D"/>
    <w:rsid w:val="00832192"/>
    <w:rsid w:val="00833ED1"/>
    <w:rsid w:val="00834B71"/>
    <w:rsid w:val="0083582D"/>
    <w:rsid w:val="0083723A"/>
    <w:rsid w:val="00837499"/>
    <w:rsid w:val="00837D4C"/>
    <w:rsid w:val="00837F48"/>
    <w:rsid w:val="00840771"/>
    <w:rsid w:val="00840DED"/>
    <w:rsid w:val="0084142C"/>
    <w:rsid w:val="00841BA1"/>
    <w:rsid w:val="00842297"/>
    <w:rsid w:val="008425D8"/>
    <w:rsid w:val="00842C0B"/>
    <w:rsid w:val="008430F1"/>
    <w:rsid w:val="008437A8"/>
    <w:rsid w:val="00843ADC"/>
    <w:rsid w:val="00844463"/>
    <w:rsid w:val="0084483E"/>
    <w:rsid w:val="00844C99"/>
    <w:rsid w:val="008453ED"/>
    <w:rsid w:val="00845EEE"/>
    <w:rsid w:val="008468D0"/>
    <w:rsid w:val="008500C4"/>
    <w:rsid w:val="008501F9"/>
    <w:rsid w:val="0085028E"/>
    <w:rsid w:val="00851217"/>
    <w:rsid w:val="008516EF"/>
    <w:rsid w:val="00852643"/>
    <w:rsid w:val="008534E4"/>
    <w:rsid w:val="0085415B"/>
    <w:rsid w:val="00854268"/>
    <w:rsid w:val="00854741"/>
    <w:rsid w:val="00855E50"/>
    <w:rsid w:val="00856AE5"/>
    <w:rsid w:val="00856D75"/>
    <w:rsid w:val="0085708B"/>
    <w:rsid w:val="00857853"/>
    <w:rsid w:val="008578CD"/>
    <w:rsid w:val="00857B15"/>
    <w:rsid w:val="00860DC3"/>
    <w:rsid w:val="00861776"/>
    <w:rsid w:val="008632A6"/>
    <w:rsid w:val="0086390D"/>
    <w:rsid w:val="00863C57"/>
    <w:rsid w:val="0086450B"/>
    <w:rsid w:val="00864DC3"/>
    <w:rsid w:val="00864ECB"/>
    <w:rsid w:val="0086651A"/>
    <w:rsid w:val="008666C6"/>
    <w:rsid w:val="00870FC6"/>
    <w:rsid w:val="008712C1"/>
    <w:rsid w:val="00871332"/>
    <w:rsid w:val="0087328F"/>
    <w:rsid w:val="0087427D"/>
    <w:rsid w:val="0087444C"/>
    <w:rsid w:val="008745D0"/>
    <w:rsid w:val="00874C86"/>
    <w:rsid w:val="00874EA8"/>
    <w:rsid w:val="00874F7B"/>
    <w:rsid w:val="008753ED"/>
    <w:rsid w:val="00875432"/>
    <w:rsid w:val="00875742"/>
    <w:rsid w:val="00876278"/>
    <w:rsid w:val="0087692D"/>
    <w:rsid w:val="008770CD"/>
    <w:rsid w:val="0087769F"/>
    <w:rsid w:val="008777F8"/>
    <w:rsid w:val="0087783C"/>
    <w:rsid w:val="00877D68"/>
    <w:rsid w:val="00880613"/>
    <w:rsid w:val="008807FD"/>
    <w:rsid w:val="00880C13"/>
    <w:rsid w:val="00881899"/>
    <w:rsid w:val="00882518"/>
    <w:rsid w:val="00882A02"/>
    <w:rsid w:val="00883F9B"/>
    <w:rsid w:val="0088486D"/>
    <w:rsid w:val="00885045"/>
    <w:rsid w:val="00885097"/>
    <w:rsid w:val="00885946"/>
    <w:rsid w:val="00886699"/>
    <w:rsid w:val="00886EE9"/>
    <w:rsid w:val="0088709D"/>
    <w:rsid w:val="00890076"/>
    <w:rsid w:val="008905E0"/>
    <w:rsid w:val="008911E4"/>
    <w:rsid w:val="00893184"/>
    <w:rsid w:val="008931C9"/>
    <w:rsid w:val="00893379"/>
    <w:rsid w:val="00893535"/>
    <w:rsid w:val="00894660"/>
    <w:rsid w:val="00894886"/>
    <w:rsid w:val="0089568E"/>
    <w:rsid w:val="008975CA"/>
    <w:rsid w:val="008A0110"/>
    <w:rsid w:val="008A049C"/>
    <w:rsid w:val="008A066D"/>
    <w:rsid w:val="008A0CC1"/>
    <w:rsid w:val="008A0DBF"/>
    <w:rsid w:val="008A0FDD"/>
    <w:rsid w:val="008A1059"/>
    <w:rsid w:val="008A1B60"/>
    <w:rsid w:val="008A1C6F"/>
    <w:rsid w:val="008A2261"/>
    <w:rsid w:val="008A2427"/>
    <w:rsid w:val="008A318B"/>
    <w:rsid w:val="008A454A"/>
    <w:rsid w:val="008A53DC"/>
    <w:rsid w:val="008A6084"/>
    <w:rsid w:val="008A6D36"/>
    <w:rsid w:val="008A702A"/>
    <w:rsid w:val="008A7203"/>
    <w:rsid w:val="008B074B"/>
    <w:rsid w:val="008B085A"/>
    <w:rsid w:val="008B3266"/>
    <w:rsid w:val="008B35D4"/>
    <w:rsid w:val="008B3D8B"/>
    <w:rsid w:val="008B4684"/>
    <w:rsid w:val="008B503C"/>
    <w:rsid w:val="008B5262"/>
    <w:rsid w:val="008B54A0"/>
    <w:rsid w:val="008B55D7"/>
    <w:rsid w:val="008B611E"/>
    <w:rsid w:val="008B6476"/>
    <w:rsid w:val="008B6AF6"/>
    <w:rsid w:val="008B72CB"/>
    <w:rsid w:val="008C0241"/>
    <w:rsid w:val="008C0580"/>
    <w:rsid w:val="008C0685"/>
    <w:rsid w:val="008C090E"/>
    <w:rsid w:val="008C1077"/>
    <w:rsid w:val="008C11F0"/>
    <w:rsid w:val="008C1D9F"/>
    <w:rsid w:val="008C2DDC"/>
    <w:rsid w:val="008C38B5"/>
    <w:rsid w:val="008C4E4E"/>
    <w:rsid w:val="008C4FA8"/>
    <w:rsid w:val="008C521F"/>
    <w:rsid w:val="008C55E2"/>
    <w:rsid w:val="008C5669"/>
    <w:rsid w:val="008C62D2"/>
    <w:rsid w:val="008C6332"/>
    <w:rsid w:val="008C665E"/>
    <w:rsid w:val="008C71A2"/>
    <w:rsid w:val="008D06D2"/>
    <w:rsid w:val="008D11B1"/>
    <w:rsid w:val="008D2496"/>
    <w:rsid w:val="008D2DDD"/>
    <w:rsid w:val="008D2E5B"/>
    <w:rsid w:val="008D3C28"/>
    <w:rsid w:val="008D4821"/>
    <w:rsid w:val="008D505D"/>
    <w:rsid w:val="008D5263"/>
    <w:rsid w:val="008D568F"/>
    <w:rsid w:val="008D628C"/>
    <w:rsid w:val="008D64F9"/>
    <w:rsid w:val="008E059A"/>
    <w:rsid w:val="008E0901"/>
    <w:rsid w:val="008E1EE5"/>
    <w:rsid w:val="008E2949"/>
    <w:rsid w:val="008E2BC9"/>
    <w:rsid w:val="008E5422"/>
    <w:rsid w:val="008E6536"/>
    <w:rsid w:val="008E71B4"/>
    <w:rsid w:val="008E7491"/>
    <w:rsid w:val="008F0017"/>
    <w:rsid w:val="008F0DDE"/>
    <w:rsid w:val="008F1361"/>
    <w:rsid w:val="008F245A"/>
    <w:rsid w:val="008F25C8"/>
    <w:rsid w:val="008F2B10"/>
    <w:rsid w:val="008F2DEC"/>
    <w:rsid w:val="008F3676"/>
    <w:rsid w:val="008F3757"/>
    <w:rsid w:val="008F3794"/>
    <w:rsid w:val="008F3F86"/>
    <w:rsid w:val="008F40B4"/>
    <w:rsid w:val="008F6216"/>
    <w:rsid w:val="008F6B69"/>
    <w:rsid w:val="009004DB"/>
    <w:rsid w:val="0090060E"/>
    <w:rsid w:val="00900FA8"/>
    <w:rsid w:val="00901164"/>
    <w:rsid w:val="00901313"/>
    <w:rsid w:val="009013C1"/>
    <w:rsid w:val="00902843"/>
    <w:rsid w:val="0090325B"/>
    <w:rsid w:val="00903288"/>
    <w:rsid w:val="00903D12"/>
    <w:rsid w:val="0090533A"/>
    <w:rsid w:val="00905B1E"/>
    <w:rsid w:val="00905C0B"/>
    <w:rsid w:val="009061AF"/>
    <w:rsid w:val="00906E55"/>
    <w:rsid w:val="0090746C"/>
    <w:rsid w:val="009078EF"/>
    <w:rsid w:val="00907C8B"/>
    <w:rsid w:val="0091051D"/>
    <w:rsid w:val="00910D55"/>
    <w:rsid w:val="009111DA"/>
    <w:rsid w:val="00911B42"/>
    <w:rsid w:val="00912D0D"/>
    <w:rsid w:val="00913104"/>
    <w:rsid w:val="009136EF"/>
    <w:rsid w:val="00913DA4"/>
    <w:rsid w:val="00914BF8"/>
    <w:rsid w:val="00915F86"/>
    <w:rsid w:val="0091678E"/>
    <w:rsid w:val="00917C21"/>
    <w:rsid w:val="00917E99"/>
    <w:rsid w:val="00920574"/>
    <w:rsid w:val="0092090D"/>
    <w:rsid w:val="00920C5D"/>
    <w:rsid w:val="00922431"/>
    <w:rsid w:val="00922983"/>
    <w:rsid w:val="00922C87"/>
    <w:rsid w:val="00923283"/>
    <w:rsid w:val="0092344D"/>
    <w:rsid w:val="00924C13"/>
    <w:rsid w:val="00924EAF"/>
    <w:rsid w:val="00924ECB"/>
    <w:rsid w:val="00926207"/>
    <w:rsid w:val="009267D1"/>
    <w:rsid w:val="00926E74"/>
    <w:rsid w:val="00927DD9"/>
    <w:rsid w:val="00930613"/>
    <w:rsid w:val="009307B9"/>
    <w:rsid w:val="009319C5"/>
    <w:rsid w:val="00931BD8"/>
    <w:rsid w:val="009332A6"/>
    <w:rsid w:val="00933B11"/>
    <w:rsid w:val="0093472F"/>
    <w:rsid w:val="00934DBA"/>
    <w:rsid w:val="00934FB4"/>
    <w:rsid w:val="00935502"/>
    <w:rsid w:val="009355AD"/>
    <w:rsid w:val="0094111C"/>
    <w:rsid w:val="009413DF"/>
    <w:rsid w:val="00942077"/>
    <w:rsid w:val="0094307C"/>
    <w:rsid w:val="00944ECF"/>
    <w:rsid w:val="00945AB1"/>
    <w:rsid w:val="009469BF"/>
    <w:rsid w:val="00946BE2"/>
    <w:rsid w:val="00947143"/>
    <w:rsid w:val="009476B5"/>
    <w:rsid w:val="00947759"/>
    <w:rsid w:val="00947A5E"/>
    <w:rsid w:val="00947BC0"/>
    <w:rsid w:val="00950B5D"/>
    <w:rsid w:val="0095194B"/>
    <w:rsid w:val="0095213B"/>
    <w:rsid w:val="00952224"/>
    <w:rsid w:val="009526D0"/>
    <w:rsid w:val="009527A5"/>
    <w:rsid w:val="00953D0A"/>
    <w:rsid w:val="0095401D"/>
    <w:rsid w:val="009540B0"/>
    <w:rsid w:val="00956804"/>
    <w:rsid w:val="009569A7"/>
    <w:rsid w:val="0095777D"/>
    <w:rsid w:val="00957FF5"/>
    <w:rsid w:val="00960242"/>
    <w:rsid w:val="009619F0"/>
    <w:rsid w:val="009619FE"/>
    <w:rsid w:val="009623B6"/>
    <w:rsid w:val="00963178"/>
    <w:rsid w:val="009633AA"/>
    <w:rsid w:val="009640C3"/>
    <w:rsid w:val="009643EC"/>
    <w:rsid w:val="0096484B"/>
    <w:rsid w:val="00964FA6"/>
    <w:rsid w:val="00965379"/>
    <w:rsid w:val="0096718D"/>
    <w:rsid w:val="00967FC1"/>
    <w:rsid w:val="00971964"/>
    <w:rsid w:val="00971AF8"/>
    <w:rsid w:val="00971C25"/>
    <w:rsid w:val="00971D22"/>
    <w:rsid w:val="00971F02"/>
    <w:rsid w:val="0097250A"/>
    <w:rsid w:val="00972E21"/>
    <w:rsid w:val="00972E84"/>
    <w:rsid w:val="00973081"/>
    <w:rsid w:val="00973EF5"/>
    <w:rsid w:val="0097648A"/>
    <w:rsid w:val="009777CF"/>
    <w:rsid w:val="00977EDB"/>
    <w:rsid w:val="00977EE4"/>
    <w:rsid w:val="00977FBC"/>
    <w:rsid w:val="009808CA"/>
    <w:rsid w:val="00981117"/>
    <w:rsid w:val="00981F0B"/>
    <w:rsid w:val="009832E5"/>
    <w:rsid w:val="00983786"/>
    <w:rsid w:val="009847DC"/>
    <w:rsid w:val="00984AC1"/>
    <w:rsid w:val="00986619"/>
    <w:rsid w:val="00986728"/>
    <w:rsid w:val="0098792A"/>
    <w:rsid w:val="00990D6E"/>
    <w:rsid w:val="009910C0"/>
    <w:rsid w:val="00991331"/>
    <w:rsid w:val="0099281A"/>
    <w:rsid w:val="009928A3"/>
    <w:rsid w:val="0099292A"/>
    <w:rsid w:val="00992EA9"/>
    <w:rsid w:val="00993F45"/>
    <w:rsid w:val="0099546D"/>
    <w:rsid w:val="009959D3"/>
    <w:rsid w:val="00995E6A"/>
    <w:rsid w:val="00995F6C"/>
    <w:rsid w:val="009969D2"/>
    <w:rsid w:val="00997866"/>
    <w:rsid w:val="009A00DD"/>
    <w:rsid w:val="009A06F7"/>
    <w:rsid w:val="009A11D0"/>
    <w:rsid w:val="009A1212"/>
    <w:rsid w:val="009A12AE"/>
    <w:rsid w:val="009A33DA"/>
    <w:rsid w:val="009A4A40"/>
    <w:rsid w:val="009A4F6D"/>
    <w:rsid w:val="009A54F1"/>
    <w:rsid w:val="009A557B"/>
    <w:rsid w:val="009A5821"/>
    <w:rsid w:val="009A5AFE"/>
    <w:rsid w:val="009A670E"/>
    <w:rsid w:val="009B029C"/>
    <w:rsid w:val="009B1811"/>
    <w:rsid w:val="009B1A55"/>
    <w:rsid w:val="009B1B85"/>
    <w:rsid w:val="009B1FC5"/>
    <w:rsid w:val="009B2541"/>
    <w:rsid w:val="009B2703"/>
    <w:rsid w:val="009B2A5D"/>
    <w:rsid w:val="009B5407"/>
    <w:rsid w:val="009B5435"/>
    <w:rsid w:val="009B575C"/>
    <w:rsid w:val="009B69D1"/>
    <w:rsid w:val="009B6CB8"/>
    <w:rsid w:val="009B6DF3"/>
    <w:rsid w:val="009B7525"/>
    <w:rsid w:val="009B7709"/>
    <w:rsid w:val="009B792B"/>
    <w:rsid w:val="009C0062"/>
    <w:rsid w:val="009C0194"/>
    <w:rsid w:val="009C019C"/>
    <w:rsid w:val="009C02D8"/>
    <w:rsid w:val="009C0D71"/>
    <w:rsid w:val="009C0DAD"/>
    <w:rsid w:val="009C0F58"/>
    <w:rsid w:val="009C1291"/>
    <w:rsid w:val="009C1D01"/>
    <w:rsid w:val="009C2A06"/>
    <w:rsid w:val="009C2BEC"/>
    <w:rsid w:val="009C368F"/>
    <w:rsid w:val="009C4C95"/>
    <w:rsid w:val="009C4EE5"/>
    <w:rsid w:val="009C5448"/>
    <w:rsid w:val="009C6725"/>
    <w:rsid w:val="009C680D"/>
    <w:rsid w:val="009C6DDD"/>
    <w:rsid w:val="009C7D11"/>
    <w:rsid w:val="009D0503"/>
    <w:rsid w:val="009D0692"/>
    <w:rsid w:val="009D0B05"/>
    <w:rsid w:val="009D0F4C"/>
    <w:rsid w:val="009D13E9"/>
    <w:rsid w:val="009D14BC"/>
    <w:rsid w:val="009D17D3"/>
    <w:rsid w:val="009D203E"/>
    <w:rsid w:val="009D22E5"/>
    <w:rsid w:val="009D292A"/>
    <w:rsid w:val="009D3397"/>
    <w:rsid w:val="009D364B"/>
    <w:rsid w:val="009D3793"/>
    <w:rsid w:val="009D3E26"/>
    <w:rsid w:val="009D42AC"/>
    <w:rsid w:val="009D4E80"/>
    <w:rsid w:val="009D5642"/>
    <w:rsid w:val="009D57D5"/>
    <w:rsid w:val="009D5AEB"/>
    <w:rsid w:val="009D63E2"/>
    <w:rsid w:val="009D68FB"/>
    <w:rsid w:val="009D6DC1"/>
    <w:rsid w:val="009D732B"/>
    <w:rsid w:val="009E14E9"/>
    <w:rsid w:val="009E1CB2"/>
    <w:rsid w:val="009E1F16"/>
    <w:rsid w:val="009E2017"/>
    <w:rsid w:val="009E2407"/>
    <w:rsid w:val="009E2450"/>
    <w:rsid w:val="009E24A5"/>
    <w:rsid w:val="009E30F7"/>
    <w:rsid w:val="009E31AA"/>
    <w:rsid w:val="009E412D"/>
    <w:rsid w:val="009E4181"/>
    <w:rsid w:val="009E444E"/>
    <w:rsid w:val="009E48AE"/>
    <w:rsid w:val="009E4D6B"/>
    <w:rsid w:val="009E61EE"/>
    <w:rsid w:val="009E65E3"/>
    <w:rsid w:val="009E71FE"/>
    <w:rsid w:val="009F0167"/>
    <w:rsid w:val="009F04BC"/>
    <w:rsid w:val="009F0BE1"/>
    <w:rsid w:val="009F0BEA"/>
    <w:rsid w:val="009F1684"/>
    <w:rsid w:val="009F356F"/>
    <w:rsid w:val="009F36AD"/>
    <w:rsid w:val="009F3A73"/>
    <w:rsid w:val="009F3F20"/>
    <w:rsid w:val="009F3FFB"/>
    <w:rsid w:val="009F439A"/>
    <w:rsid w:val="009F550C"/>
    <w:rsid w:val="009F57C8"/>
    <w:rsid w:val="009F63B2"/>
    <w:rsid w:val="009F6942"/>
    <w:rsid w:val="009F7DD0"/>
    <w:rsid w:val="00A008E8"/>
    <w:rsid w:val="00A00905"/>
    <w:rsid w:val="00A01409"/>
    <w:rsid w:val="00A01CC1"/>
    <w:rsid w:val="00A02910"/>
    <w:rsid w:val="00A03D23"/>
    <w:rsid w:val="00A04ABD"/>
    <w:rsid w:val="00A04EA5"/>
    <w:rsid w:val="00A051A6"/>
    <w:rsid w:val="00A10C16"/>
    <w:rsid w:val="00A11898"/>
    <w:rsid w:val="00A120FB"/>
    <w:rsid w:val="00A13C71"/>
    <w:rsid w:val="00A142D1"/>
    <w:rsid w:val="00A148A0"/>
    <w:rsid w:val="00A14979"/>
    <w:rsid w:val="00A14D9D"/>
    <w:rsid w:val="00A14FF0"/>
    <w:rsid w:val="00A155BA"/>
    <w:rsid w:val="00A158CC"/>
    <w:rsid w:val="00A1592C"/>
    <w:rsid w:val="00A15A27"/>
    <w:rsid w:val="00A162DA"/>
    <w:rsid w:val="00A1675E"/>
    <w:rsid w:val="00A16920"/>
    <w:rsid w:val="00A17175"/>
    <w:rsid w:val="00A171B6"/>
    <w:rsid w:val="00A17F05"/>
    <w:rsid w:val="00A201CB"/>
    <w:rsid w:val="00A204D8"/>
    <w:rsid w:val="00A207D5"/>
    <w:rsid w:val="00A21096"/>
    <w:rsid w:val="00A22242"/>
    <w:rsid w:val="00A22264"/>
    <w:rsid w:val="00A22570"/>
    <w:rsid w:val="00A22E51"/>
    <w:rsid w:val="00A23A00"/>
    <w:rsid w:val="00A23F99"/>
    <w:rsid w:val="00A24140"/>
    <w:rsid w:val="00A241A4"/>
    <w:rsid w:val="00A24433"/>
    <w:rsid w:val="00A24C93"/>
    <w:rsid w:val="00A24DD4"/>
    <w:rsid w:val="00A25312"/>
    <w:rsid w:val="00A2552E"/>
    <w:rsid w:val="00A25751"/>
    <w:rsid w:val="00A25E02"/>
    <w:rsid w:val="00A25FC5"/>
    <w:rsid w:val="00A27672"/>
    <w:rsid w:val="00A30584"/>
    <w:rsid w:val="00A30E44"/>
    <w:rsid w:val="00A314B2"/>
    <w:rsid w:val="00A3180D"/>
    <w:rsid w:val="00A32050"/>
    <w:rsid w:val="00A32209"/>
    <w:rsid w:val="00A32475"/>
    <w:rsid w:val="00A3265F"/>
    <w:rsid w:val="00A32AE1"/>
    <w:rsid w:val="00A32FEC"/>
    <w:rsid w:val="00A339D3"/>
    <w:rsid w:val="00A34E2C"/>
    <w:rsid w:val="00A34F96"/>
    <w:rsid w:val="00A3616A"/>
    <w:rsid w:val="00A3653C"/>
    <w:rsid w:val="00A36950"/>
    <w:rsid w:val="00A36E2D"/>
    <w:rsid w:val="00A37278"/>
    <w:rsid w:val="00A3741A"/>
    <w:rsid w:val="00A410FB"/>
    <w:rsid w:val="00A41A09"/>
    <w:rsid w:val="00A42511"/>
    <w:rsid w:val="00A427F9"/>
    <w:rsid w:val="00A428D5"/>
    <w:rsid w:val="00A42EFA"/>
    <w:rsid w:val="00A4301B"/>
    <w:rsid w:val="00A43D61"/>
    <w:rsid w:val="00A459FE"/>
    <w:rsid w:val="00A45FB6"/>
    <w:rsid w:val="00A46081"/>
    <w:rsid w:val="00A4691B"/>
    <w:rsid w:val="00A47EBA"/>
    <w:rsid w:val="00A47FFA"/>
    <w:rsid w:val="00A51932"/>
    <w:rsid w:val="00A52229"/>
    <w:rsid w:val="00A524C8"/>
    <w:rsid w:val="00A53A7D"/>
    <w:rsid w:val="00A53BD6"/>
    <w:rsid w:val="00A53D94"/>
    <w:rsid w:val="00A551AC"/>
    <w:rsid w:val="00A552E4"/>
    <w:rsid w:val="00A55A29"/>
    <w:rsid w:val="00A561CE"/>
    <w:rsid w:val="00A5633F"/>
    <w:rsid w:val="00A5641B"/>
    <w:rsid w:val="00A56775"/>
    <w:rsid w:val="00A56A18"/>
    <w:rsid w:val="00A6023B"/>
    <w:rsid w:val="00A61A50"/>
    <w:rsid w:val="00A6290E"/>
    <w:rsid w:val="00A63108"/>
    <w:rsid w:val="00A6388A"/>
    <w:rsid w:val="00A63CDA"/>
    <w:rsid w:val="00A63EB5"/>
    <w:rsid w:val="00A6456A"/>
    <w:rsid w:val="00A64DA5"/>
    <w:rsid w:val="00A65B8A"/>
    <w:rsid w:val="00A6744D"/>
    <w:rsid w:val="00A67910"/>
    <w:rsid w:val="00A67EAE"/>
    <w:rsid w:val="00A7009F"/>
    <w:rsid w:val="00A7024A"/>
    <w:rsid w:val="00A7073F"/>
    <w:rsid w:val="00A70768"/>
    <w:rsid w:val="00A70D2A"/>
    <w:rsid w:val="00A7209C"/>
    <w:rsid w:val="00A729AF"/>
    <w:rsid w:val="00A729F7"/>
    <w:rsid w:val="00A73374"/>
    <w:rsid w:val="00A734CD"/>
    <w:rsid w:val="00A7403F"/>
    <w:rsid w:val="00A741F2"/>
    <w:rsid w:val="00A74B17"/>
    <w:rsid w:val="00A7607E"/>
    <w:rsid w:val="00A77368"/>
    <w:rsid w:val="00A8096E"/>
    <w:rsid w:val="00A80ED8"/>
    <w:rsid w:val="00A8158D"/>
    <w:rsid w:val="00A81B3A"/>
    <w:rsid w:val="00A81C21"/>
    <w:rsid w:val="00A81D98"/>
    <w:rsid w:val="00A82174"/>
    <w:rsid w:val="00A82D0F"/>
    <w:rsid w:val="00A82FD2"/>
    <w:rsid w:val="00A836DB"/>
    <w:rsid w:val="00A842B7"/>
    <w:rsid w:val="00A853AB"/>
    <w:rsid w:val="00A85939"/>
    <w:rsid w:val="00A86DF7"/>
    <w:rsid w:val="00A870E9"/>
    <w:rsid w:val="00A87AF6"/>
    <w:rsid w:val="00A87B32"/>
    <w:rsid w:val="00A9032C"/>
    <w:rsid w:val="00A90AA9"/>
    <w:rsid w:val="00A9126B"/>
    <w:rsid w:val="00A91550"/>
    <w:rsid w:val="00A91777"/>
    <w:rsid w:val="00A91BB7"/>
    <w:rsid w:val="00A92204"/>
    <w:rsid w:val="00A927F1"/>
    <w:rsid w:val="00A93399"/>
    <w:rsid w:val="00A94FDB"/>
    <w:rsid w:val="00A95018"/>
    <w:rsid w:val="00A9515E"/>
    <w:rsid w:val="00AA023A"/>
    <w:rsid w:val="00AA0639"/>
    <w:rsid w:val="00AA0D62"/>
    <w:rsid w:val="00AA1191"/>
    <w:rsid w:val="00AA12FB"/>
    <w:rsid w:val="00AA16F6"/>
    <w:rsid w:val="00AA201A"/>
    <w:rsid w:val="00AA26D8"/>
    <w:rsid w:val="00AA2D89"/>
    <w:rsid w:val="00AA31CC"/>
    <w:rsid w:val="00AA367F"/>
    <w:rsid w:val="00AA3685"/>
    <w:rsid w:val="00AA3695"/>
    <w:rsid w:val="00AA3A1A"/>
    <w:rsid w:val="00AA3B5D"/>
    <w:rsid w:val="00AA4033"/>
    <w:rsid w:val="00AA4402"/>
    <w:rsid w:val="00AA48ED"/>
    <w:rsid w:val="00AA5329"/>
    <w:rsid w:val="00AA5530"/>
    <w:rsid w:val="00AA5697"/>
    <w:rsid w:val="00AA5CC6"/>
    <w:rsid w:val="00AA69AD"/>
    <w:rsid w:val="00AA7044"/>
    <w:rsid w:val="00AA7239"/>
    <w:rsid w:val="00AA7D06"/>
    <w:rsid w:val="00AA7D36"/>
    <w:rsid w:val="00AA7F82"/>
    <w:rsid w:val="00AB0D57"/>
    <w:rsid w:val="00AB25D0"/>
    <w:rsid w:val="00AB4D59"/>
    <w:rsid w:val="00AB55F9"/>
    <w:rsid w:val="00AB6614"/>
    <w:rsid w:val="00AB662B"/>
    <w:rsid w:val="00AB6CE3"/>
    <w:rsid w:val="00AB7D51"/>
    <w:rsid w:val="00AB7D98"/>
    <w:rsid w:val="00AC070F"/>
    <w:rsid w:val="00AC0A12"/>
    <w:rsid w:val="00AC0F4F"/>
    <w:rsid w:val="00AC1136"/>
    <w:rsid w:val="00AC161B"/>
    <w:rsid w:val="00AC19AB"/>
    <w:rsid w:val="00AC2755"/>
    <w:rsid w:val="00AC2BC3"/>
    <w:rsid w:val="00AC3133"/>
    <w:rsid w:val="00AC3338"/>
    <w:rsid w:val="00AC33D2"/>
    <w:rsid w:val="00AC3842"/>
    <w:rsid w:val="00AC4496"/>
    <w:rsid w:val="00AC45D5"/>
    <w:rsid w:val="00AC45DF"/>
    <w:rsid w:val="00AC47F7"/>
    <w:rsid w:val="00AC6184"/>
    <w:rsid w:val="00AC7AE9"/>
    <w:rsid w:val="00AC7E07"/>
    <w:rsid w:val="00AD25B0"/>
    <w:rsid w:val="00AD293F"/>
    <w:rsid w:val="00AD299E"/>
    <w:rsid w:val="00AD2E20"/>
    <w:rsid w:val="00AD3061"/>
    <w:rsid w:val="00AD3995"/>
    <w:rsid w:val="00AD4215"/>
    <w:rsid w:val="00AD462D"/>
    <w:rsid w:val="00AD47DD"/>
    <w:rsid w:val="00AD4AF5"/>
    <w:rsid w:val="00AD4B4E"/>
    <w:rsid w:val="00AD4B83"/>
    <w:rsid w:val="00AD62A2"/>
    <w:rsid w:val="00AD653F"/>
    <w:rsid w:val="00AD6E24"/>
    <w:rsid w:val="00AD756C"/>
    <w:rsid w:val="00AE1799"/>
    <w:rsid w:val="00AE19E9"/>
    <w:rsid w:val="00AE1E0C"/>
    <w:rsid w:val="00AE1E43"/>
    <w:rsid w:val="00AE2095"/>
    <w:rsid w:val="00AE26A2"/>
    <w:rsid w:val="00AE28B1"/>
    <w:rsid w:val="00AE28EB"/>
    <w:rsid w:val="00AE2F24"/>
    <w:rsid w:val="00AE3B25"/>
    <w:rsid w:val="00AE3C96"/>
    <w:rsid w:val="00AE5206"/>
    <w:rsid w:val="00AE5248"/>
    <w:rsid w:val="00AE6432"/>
    <w:rsid w:val="00AE67FF"/>
    <w:rsid w:val="00AE6818"/>
    <w:rsid w:val="00AE69DE"/>
    <w:rsid w:val="00AE6AE6"/>
    <w:rsid w:val="00AE7192"/>
    <w:rsid w:val="00AF040E"/>
    <w:rsid w:val="00AF05D4"/>
    <w:rsid w:val="00AF0D54"/>
    <w:rsid w:val="00AF1325"/>
    <w:rsid w:val="00AF1340"/>
    <w:rsid w:val="00AF1B7F"/>
    <w:rsid w:val="00AF1F97"/>
    <w:rsid w:val="00AF22E3"/>
    <w:rsid w:val="00AF258E"/>
    <w:rsid w:val="00AF2C90"/>
    <w:rsid w:val="00AF3197"/>
    <w:rsid w:val="00AF3280"/>
    <w:rsid w:val="00AF375C"/>
    <w:rsid w:val="00AF3A2B"/>
    <w:rsid w:val="00AF3B03"/>
    <w:rsid w:val="00AF47FC"/>
    <w:rsid w:val="00AF4C84"/>
    <w:rsid w:val="00AF4DE8"/>
    <w:rsid w:val="00AF5033"/>
    <w:rsid w:val="00AF5169"/>
    <w:rsid w:val="00AF5CC7"/>
    <w:rsid w:val="00AF5D3E"/>
    <w:rsid w:val="00AF6858"/>
    <w:rsid w:val="00AF6CB6"/>
    <w:rsid w:val="00AF6CF7"/>
    <w:rsid w:val="00AF749B"/>
    <w:rsid w:val="00AF7B4C"/>
    <w:rsid w:val="00AF7B5D"/>
    <w:rsid w:val="00B00307"/>
    <w:rsid w:val="00B00891"/>
    <w:rsid w:val="00B00949"/>
    <w:rsid w:val="00B01014"/>
    <w:rsid w:val="00B0169E"/>
    <w:rsid w:val="00B01889"/>
    <w:rsid w:val="00B02275"/>
    <w:rsid w:val="00B02657"/>
    <w:rsid w:val="00B03363"/>
    <w:rsid w:val="00B03FD1"/>
    <w:rsid w:val="00B05741"/>
    <w:rsid w:val="00B05C35"/>
    <w:rsid w:val="00B06538"/>
    <w:rsid w:val="00B069FA"/>
    <w:rsid w:val="00B07C9D"/>
    <w:rsid w:val="00B104F1"/>
    <w:rsid w:val="00B1070F"/>
    <w:rsid w:val="00B10E04"/>
    <w:rsid w:val="00B116F9"/>
    <w:rsid w:val="00B119DA"/>
    <w:rsid w:val="00B11C91"/>
    <w:rsid w:val="00B1243F"/>
    <w:rsid w:val="00B12444"/>
    <w:rsid w:val="00B12789"/>
    <w:rsid w:val="00B1294A"/>
    <w:rsid w:val="00B13230"/>
    <w:rsid w:val="00B13C0E"/>
    <w:rsid w:val="00B14069"/>
    <w:rsid w:val="00B145FC"/>
    <w:rsid w:val="00B1476B"/>
    <w:rsid w:val="00B151E0"/>
    <w:rsid w:val="00B15C49"/>
    <w:rsid w:val="00B15CF1"/>
    <w:rsid w:val="00B1694C"/>
    <w:rsid w:val="00B169C2"/>
    <w:rsid w:val="00B1705E"/>
    <w:rsid w:val="00B17DD0"/>
    <w:rsid w:val="00B20265"/>
    <w:rsid w:val="00B20B8A"/>
    <w:rsid w:val="00B21368"/>
    <w:rsid w:val="00B21520"/>
    <w:rsid w:val="00B21ED4"/>
    <w:rsid w:val="00B21F67"/>
    <w:rsid w:val="00B22532"/>
    <w:rsid w:val="00B22B40"/>
    <w:rsid w:val="00B2384C"/>
    <w:rsid w:val="00B23AE5"/>
    <w:rsid w:val="00B24319"/>
    <w:rsid w:val="00B24337"/>
    <w:rsid w:val="00B24BDD"/>
    <w:rsid w:val="00B25853"/>
    <w:rsid w:val="00B27432"/>
    <w:rsid w:val="00B27B29"/>
    <w:rsid w:val="00B27B2D"/>
    <w:rsid w:val="00B3011F"/>
    <w:rsid w:val="00B3037B"/>
    <w:rsid w:val="00B30CAC"/>
    <w:rsid w:val="00B315AF"/>
    <w:rsid w:val="00B324BD"/>
    <w:rsid w:val="00B332A6"/>
    <w:rsid w:val="00B33386"/>
    <w:rsid w:val="00B3415C"/>
    <w:rsid w:val="00B34637"/>
    <w:rsid w:val="00B34FED"/>
    <w:rsid w:val="00B356C1"/>
    <w:rsid w:val="00B35884"/>
    <w:rsid w:val="00B35C80"/>
    <w:rsid w:val="00B3604B"/>
    <w:rsid w:val="00B36517"/>
    <w:rsid w:val="00B36868"/>
    <w:rsid w:val="00B36BFB"/>
    <w:rsid w:val="00B36C22"/>
    <w:rsid w:val="00B36F71"/>
    <w:rsid w:val="00B3724F"/>
    <w:rsid w:val="00B374DF"/>
    <w:rsid w:val="00B3766B"/>
    <w:rsid w:val="00B37E03"/>
    <w:rsid w:val="00B404FF"/>
    <w:rsid w:val="00B40CBB"/>
    <w:rsid w:val="00B4316C"/>
    <w:rsid w:val="00B43C85"/>
    <w:rsid w:val="00B43DF6"/>
    <w:rsid w:val="00B43F83"/>
    <w:rsid w:val="00B442FD"/>
    <w:rsid w:val="00B44791"/>
    <w:rsid w:val="00B44B4E"/>
    <w:rsid w:val="00B44C6B"/>
    <w:rsid w:val="00B44F8C"/>
    <w:rsid w:val="00B450C6"/>
    <w:rsid w:val="00B45AF2"/>
    <w:rsid w:val="00B46D2B"/>
    <w:rsid w:val="00B4766E"/>
    <w:rsid w:val="00B50D62"/>
    <w:rsid w:val="00B51775"/>
    <w:rsid w:val="00B51B3E"/>
    <w:rsid w:val="00B53A83"/>
    <w:rsid w:val="00B547E8"/>
    <w:rsid w:val="00B547F8"/>
    <w:rsid w:val="00B555D6"/>
    <w:rsid w:val="00B57F3E"/>
    <w:rsid w:val="00B6033F"/>
    <w:rsid w:val="00B60B57"/>
    <w:rsid w:val="00B60CEB"/>
    <w:rsid w:val="00B614E8"/>
    <w:rsid w:val="00B6268E"/>
    <w:rsid w:val="00B62D4B"/>
    <w:rsid w:val="00B637DD"/>
    <w:rsid w:val="00B639E6"/>
    <w:rsid w:val="00B63C59"/>
    <w:rsid w:val="00B6413C"/>
    <w:rsid w:val="00B6507A"/>
    <w:rsid w:val="00B6517F"/>
    <w:rsid w:val="00B65500"/>
    <w:rsid w:val="00B659A8"/>
    <w:rsid w:val="00B664DA"/>
    <w:rsid w:val="00B666B6"/>
    <w:rsid w:val="00B667E8"/>
    <w:rsid w:val="00B71185"/>
    <w:rsid w:val="00B71532"/>
    <w:rsid w:val="00B71862"/>
    <w:rsid w:val="00B734E8"/>
    <w:rsid w:val="00B73897"/>
    <w:rsid w:val="00B73E87"/>
    <w:rsid w:val="00B740A4"/>
    <w:rsid w:val="00B74221"/>
    <w:rsid w:val="00B746A9"/>
    <w:rsid w:val="00B74D55"/>
    <w:rsid w:val="00B7569D"/>
    <w:rsid w:val="00B80C7A"/>
    <w:rsid w:val="00B81DEB"/>
    <w:rsid w:val="00B82C95"/>
    <w:rsid w:val="00B831A1"/>
    <w:rsid w:val="00B832F4"/>
    <w:rsid w:val="00B83771"/>
    <w:rsid w:val="00B83A62"/>
    <w:rsid w:val="00B84ECE"/>
    <w:rsid w:val="00B8504F"/>
    <w:rsid w:val="00B8667B"/>
    <w:rsid w:val="00B867F7"/>
    <w:rsid w:val="00B869DE"/>
    <w:rsid w:val="00B90DB2"/>
    <w:rsid w:val="00B919F3"/>
    <w:rsid w:val="00B91A8A"/>
    <w:rsid w:val="00B94012"/>
    <w:rsid w:val="00B945EB"/>
    <w:rsid w:val="00B94668"/>
    <w:rsid w:val="00B94B65"/>
    <w:rsid w:val="00B94E6E"/>
    <w:rsid w:val="00B94EC2"/>
    <w:rsid w:val="00B956C3"/>
    <w:rsid w:val="00B96307"/>
    <w:rsid w:val="00B965AE"/>
    <w:rsid w:val="00B96B55"/>
    <w:rsid w:val="00B977CF"/>
    <w:rsid w:val="00B97828"/>
    <w:rsid w:val="00B97EC5"/>
    <w:rsid w:val="00BA14BE"/>
    <w:rsid w:val="00BA1E84"/>
    <w:rsid w:val="00BA2038"/>
    <w:rsid w:val="00BA25A7"/>
    <w:rsid w:val="00BA2948"/>
    <w:rsid w:val="00BA2CC3"/>
    <w:rsid w:val="00BA30CE"/>
    <w:rsid w:val="00BA4119"/>
    <w:rsid w:val="00BA449C"/>
    <w:rsid w:val="00BA65F5"/>
    <w:rsid w:val="00BA6D57"/>
    <w:rsid w:val="00BA709C"/>
    <w:rsid w:val="00BA7A53"/>
    <w:rsid w:val="00BA7A55"/>
    <w:rsid w:val="00BA7A92"/>
    <w:rsid w:val="00BB006E"/>
    <w:rsid w:val="00BB00E8"/>
    <w:rsid w:val="00BB0305"/>
    <w:rsid w:val="00BB054A"/>
    <w:rsid w:val="00BB0DB8"/>
    <w:rsid w:val="00BB16CF"/>
    <w:rsid w:val="00BB1C24"/>
    <w:rsid w:val="00BB2CF6"/>
    <w:rsid w:val="00BB3056"/>
    <w:rsid w:val="00BB423A"/>
    <w:rsid w:val="00BB5A44"/>
    <w:rsid w:val="00BB5EA1"/>
    <w:rsid w:val="00BB674A"/>
    <w:rsid w:val="00BB6DBE"/>
    <w:rsid w:val="00BB72D2"/>
    <w:rsid w:val="00BB789F"/>
    <w:rsid w:val="00BC0A0C"/>
    <w:rsid w:val="00BC24EC"/>
    <w:rsid w:val="00BC296A"/>
    <w:rsid w:val="00BC3599"/>
    <w:rsid w:val="00BC3CD5"/>
    <w:rsid w:val="00BC3F4A"/>
    <w:rsid w:val="00BC407B"/>
    <w:rsid w:val="00BC49D1"/>
    <w:rsid w:val="00BC4F19"/>
    <w:rsid w:val="00BC585A"/>
    <w:rsid w:val="00BC5B22"/>
    <w:rsid w:val="00BC5BBB"/>
    <w:rsid w:val="00BC6672"/>
    <w:rsid w:val="00BC6E7B"/>
    <w:rsid w:val="00BC75EC"/>
    <w:rsid w:val="00BC7805"/>
    <w:rsid w:val="00BD1315"/>
    <w:rsid w:val="00BD1470"/>
    <w:rsid w:val="00BD2316"/>
    <w:rsid w:val="00BD3289"/>
    <w:rsid w:val="00BD377C"/>
    <w:rsid w:val="00BD3C9A"/>
    <w:rsid w:val="00BD413F"/>
    <w:rsid w:val="00BD45CA"/>
    <w:rsid w:val="00BD4C23"/>
    <w:rsid w:val="00BD55CB"/>
    <w:rsid w:val="00BD5BDC"/>
    <w:rsid w:val="00BD5D56"/>
    <w:rsid w:val="00BD61AE"/>
    <w:rsid w:val="00BD630D"/>
    <w:rsid w:val="00BD66A1"/>
    <w:rsid w:val="00BD7124"/>
    <w:rsid w:val="00BD736B"/>
    <w:rsid w:val="00BD737D"/>
    <w:rsid w:val="00BD743C"/>
    <w:rsid w:val="00BE015B"/>
    <w:rsid w:val="00BE046B"/>
    <w:rsid w:val="00BE0E92"/>
    <w:rsid w:val="00BE11E5"/>
    <w:rsid w:val="00BE1CD3"/>
    <w:rsid w:val="00BE217C"/>
    <w:rsid w:val="00BE2612"/>
    <w:rsid w:val="00BE2AA4"/>
    <w:rsid w:val="00BE2B44"/>
    <w:rsid w:val="00BE376A"/>
    <w:rsid w:val="00BE3799"/>
    <w:rsid w:val="00BE3F05"/>
    <w:rsid w:val="00BE4723"/>
    <w:rsid w:val="00BE4E7E"/>
    <w:rsid w:val="00BE55C5"/>
    <w:rsid w:val="00BE617B"/>
    <w:rsid w:val="00BE6403"/>
    <w:rsid w:val="00BE656D"/>
    <w:rsid w:val="00BE676D"/>
    <w:rsid w:val="00BE67AB"/>
    <w:rsid w:val="00BE6998"/>
    <w:rsid w:val="00BE6DAF"/>
    <w:rsid w:val="00BE7C52"/>
    <w:rsid w:val="00BF031B"/>
    <w:rsid w:val="00BF05F3"/>
    <w:rsid w:val="00BF2FE2"/>
    <w:rsid w:val="00BF3DB8"/>
    <w:rsid w:val="00BF4996"/>
    <w:rsid w:val="00BF5F44"/>
    <w:rsid w:val="00BF6920"/>
    <w:rsid w:val="00BF79C0"/>
    <w:rsid w:val="00BF7E75"/>
    <w:rsid w:val="00C00405"/>
    <w:rsid w:val="00C01C60"/>
    <w:rsid w:val="00C02E1E"/>
    <w:rsid w:val="00C04058"/>
    <w:rsid w:val="00C04A13"/>
    <w:rsid w:val="00C04CDB"/>
    <w:rsid w:val="00C0546A"/>
    <w:rsid w:val="00C05BCF"/>
    <w:rsid w:val="00C05F41"/>
    <w:rsid w:val="00C066D8"/>
    <w:rsid w:val="00C06C40"/>
    <w:rsid w:val="00C07F0D"/>
    <w:rsid w:val="00C10ECE"/>
    <w:rsid w:val="00C11055"/>
    <w:rsid w:val="00C1134F"/>
    <w:rsid w:val="00C12CB7"/>
    <w:rsid w:val="00C14FAF"/>
    <w:rsid w:val="00C151B7"/>
    <w:rsid w:val="00C152B8"/>
    <w:rsid w:val="00C1579C"/>
    <w:rsid w:val="00C20BB3"/>
    <w:rsid w:val="00C21610"/>
    <w:rsid w:val="00C21781"/>
    <w:rsid w:val="00C226D7"/>
    <w:rsid w:val="00C22AC8"/>
    <w:rsid w:val="00C22BF9"/>
    <w:rsid w:val="00C234BA"/>
    <w:rsid w:val="00C23B4D"/>
    <w:rsid w:val="00C23E01"/>
    <w:rsid w:val="00C24D9B"/>
    <w:rsid w:val="00C25482"/>
    <w:rsid w:val="00C25556"/>
    <w:rsid w:val="00C26F99"/>
    <w:rsid w:val="00C27078"/>
    <w:rsid w:val="00C270C6"/>
    <w:rsid w:val="00C2790C"/>
    <w:rsid w:val="00C27EA4"/>
    <w:rsid w:val="00C302C6"/>
    <w:rsid w:val="00C3032F"/>
    <w:rsid w:val="00C30B75"/>
    <w:rsid w:val="00C30FD5"/>
    <w:rsid w:val="00C310F9"/>
    <w:rsid w:val="00C318E5"/>
    <w:rsid w:val="00C31BBF"/>
    <w:rsid w:val="00C31D2E"/>
    <w:rsid w:val="00C31DF0"/>
    <w:rsid w:val="00C332E7"/>
    <w:rsid w:val="00C33C54"/>
    <w:rsid w:val="00C33DB4"/>
    <w:rsid w:val="00C345E4"/>
    <w:rsid w:val="00C34A52"/>
    <w:rsid w:val="00C3522D"/>
    <w:rsid w:val="00C35936"/>
    <w:rsid w:val="00C359F0"/>
    <w:rsid w:val="00C35D93"/>
    <w:rsid w:val="00C36336"/>
    <w:rsid w:val="00C36FD6"/>
    <w:rsid w:val="00C37B67"/>
    <w:rsid w:val="00C400E9"/>
    <w:rsid w:val="00C41263"/>
    <w:rsid w:val="00C417AA"/>
    <w:rsid w:val="00C417AE"/>
    <w:rsid w:val="00C41D2F"/>
    <w:rsid w:val="00C420B7"/>
    <w:rsid w:val="00C4244C"/>
    <w:rsid w:val="00C428C4"/>
    <w:rsid w:val="00C42A5D"/>
    <w:rsid w:val="00C42C95"/>
    <w:rsid w:val="00C430C9"/>
    <w:rsid w:val="00C43F54"/>
    <w:rsid w:val="00C443A7"/>
    <w:rsid w:val="00C44681"/>
    <w:rsid w:val="00C44978"/>
    <w:rsid w:val="00C455BF"/>
    <w:rsid w:val="00C45925"/>
    <w:rsid w:val="00C461FB"/>
    <w:rsid w:val="00C463CA"/>
    <w:rsid w:val="00C465F9"/>
    <w:rsid w:val="00C466ED"/>
    <w:rsid w:val="00C47091"/>
    <w:rsid w:val="00C470F0"/>
    <w:rsid w:val="00C4774E"/>
    <w:rsid w:val="00C478A4"/>
    <w:rsid w:val="00C4794F"/>
    <w:rsid w:val="00C479A3"/>
    <w:rsid w:val="00C50670"/>
    <w:rsid w:val="00C50C26"/>
    <w:rsid w:val="00C52231"/>
    <w:rsid w:val="00C52898"/>
    <w:rsid w:val="00C52F0D"/>
    <w:rsid w:val="00C5410C"/>
    <w:rsid w:val="00C5500D"/>
    <w:rsid w:val="00C5505E"/>
    <w:rsid w:val="00C55132"/>
    <w:rsid w:val="00C5592C"/>
    <w:rsid w:val="00C55A92"/>
    <w:rsid w:val="00C55E70"/>
    <w:rsid w:val="00C57425"/>
    <w:rsid w:val="00C577FA"/>
    <w:rsid w:val="00C602FB"/>
    <w:rsid w:val="00C61166"/>
    <w:rsid w:val="00C6168C"/>
    <w:rsid w:val="00C62235"/>
    <w:rsid w:val="00C63352"/>
    <w:rsid w:val="00C63CA7"/>
    <w:rsid w:val="00C6469C"/>
    <w:rsid w:val="00C64C3A"/>
    <w:rsid w:val="00C64CB6"/>
    <w:rsid w:val="00C6513C"/>
    <w:rsid w:val="00C654ED"/>
    <w:rsid w:val="00C66028"/>
    <w:rsid w:val="00C66F1F"/>
    <w:rsid w:val="00C66F6B"/>
    <w:rsid w:val="00C67A91"/>
    <w:rsid w:val="00C67BE1"/>
    <w:rsid w:val="00C70B3A"/>
    <w:rsid w:val="00C71265"/>
    <w:rsid w:val="00C71CD7"/>
    <w:rsid w:val="00C7201B"/>
    <w:rsid w:val="00C72283"/>
    <w:rsid w:val="00C73F00"/>
    <w:rsid w:val="00C740B1"/>
    <w:rsid w:val="00C74C83"/>
    <w:rsid w:val="00C75167"/>
    <w:rsid w:val="00C7551F"/>
    <w:rsid w:val="00C75BF1"/>
    <w:rsid w:val="00C75C46"/>
    <w:rsid w:val="00C75FC0"/>
    <w:rsid w:val="00C76256"/>
    <w:rsid w:val="00C764DD"/>
    <w:rsid w:val="00C76537"/>
    <w:rsid w:val="00C77661"/>
    <w:rsid w:val="00C7778D"/>
    <w:rsid w:val="00C77A99"/>
    <w:rsid w:val="00C77B0D"/>
    <w:rsid w:val="00C80DCC"/>
    <w:rsid w:val="00C80F06"/>
    <w:rsid w:val="00C82357"/>
    <w:rsid w:val="00C82495"/>
    <w:rsid w:val="00C82621"/>
    <w:rsid w:val="00C831B6"/>
    <w:rsid w:val="00C83966"/>
    <w:rsid w:val="00C83F96"/>
    <w:rsid w:val="00C85617"/>
    <w:rsid w:val="00C85ABF"/>
    <w:rsid w:val="00C85FA7"/>
    <w:rsid w:val="00C85FF3"/>
    <w:rsid w:val="00C8672F"/>
    <w:rsid w:val="00C86DEA"/>
    <w:rsid w:val="00C90227"/>
    <w:rsid w:val="00C908A6"/>
    <w:rsid w:val="00C91216"/>
    <w:rsid w:val="00C9126E"/>
    <w:rsid w:val="00C93533"/>
    <w:rsid w:val="00C93CE7"/>
    <w:rsid w:val="00C96A43"/>
    <w:rsid w:val="00C979D8"/>
    <w:rsid w:val="00CA00F8"/>
    <w:rsid w:val="00CA131D"/>
    <w:rsid w:val="00CA18AC"/>
    <w:rsid w:val="00CA2D27"/>
    <w:rsid w:val="00CA30D6"/>
    <w:rsid w:val="00CA425D"/>
    <w:rsid w:val="00CA4CC3"/>
    <w:rsid w:val="00CA5843"/>
    <w:rsid w:val="00CA5C8F"/>
    <w:rsid w:val="00CA5E93"/>
    <w:rsid w:val="00CA60A2"/>
    <w:rsid w:val="00CA6518"/>
    <w:rsid w:val="00CA67FD"/>
    <w:rsid w:val="00CA6DB2"/>
    <w:rsid w:val="00CA73A0"/>
    <w:rsid w:val="00CA787B"/>
    <w:rsid w:val="00CB04B2"/>
    <w:rsid w:val="00CB061C"/>
    <w:rsid w:val="00CB07B7"/>
    <w:rsid w:val="00CB2D83"/>
    <w:rsid w:val="00CB31B2"/>
    <w:rsid w:val="00CB38CF"/>
    <w:rsid w:val="00CB4450"/>
    <w:rsid w:val="00CB4EE1"/>
    <w:rsid w:val="00CB55AF"/>
    <w:rsid w:val="00CB570C"/>
    <w:rsid w:val="00CB5BFA"/>
    <w:rsid w:val="00CB5E8A"/>
    <w:rsid w:val="00CB6902"/>
    <w:rsid w:val="00CB6F14"/>
    <w:rsid w:val="00CB7520"/>
    <w:rsid w:val="00CB7C96"/>
    <w:rsid w:val="00CC0707"/>
    <w:rsid w:val="00CC17AE"/>
    <w:rsid w:val="00CC17FA"/>
    <w:rsid w:val="00CC1D97"/>
    <w:rsid w:val="00CC2532"/>
    <w:rsid w:val="00CC4753"/>
    <w:rsid w:val="00CC479A"/>
    <w:rsid w:val="00CC4874"/>
    <w:rsid w:val="00CC4E1C"/>
    <w:rsid w:val="00CC6193"/>
    <w:rsid w:val="00CC6C16"/>
    <w:rsid w:val="00CC6C2B"/>
    <w:rsid w:val="00CC76A9"/>
    <w:rsid w:val="00CC7A76"/>
    <w:rsid w:val="00CC7A77"/>
    <w:rsid w:val="00CD0075"/>
    <w:rsid w:val="00CD0FDF"/>
    <w:rsid w:val="00CD1357"/>
    <w:rsid w:val="00CD163E"/>
    <w:rsid w:val="00CD17F8"/>
    <w:rsid w:val="00CD1D0A"/>
    <w:rsid w:val="00CD2295"/>
    <w:rsid w:val="00CD2C08"/>
    <w:rsid w:val="00CD3124"/>
    <w:rsid w:val="00CD33C4"/>
    <w:rsid w:val="00CD38D3"/>
    <w:rsid w:val="00CD3938"/>
    <w:rsid w:val="00CD4DB8"/>
    <w:rsid w:val="00CD5388"/>
    <w:rsid w:val="00CD58D3"/>
    <w:rsid w:val="00CD5C6C"/>
    <w:rsid w:val="00CD60C0"/>
    <w:rsid w:val="00CD6541"/>
    <w:rsid w:val="00CD6700"/>
    <w:rsid w:val="00CD6709"/>
    <w:rsid w:val="00CD6B43"/>
    <w:rsid w:val="00CD702E"/>
    <w:rsid w:val="00CD70A7"/>
    <w:rsid w:val="00CD787B"/>
    <w:rsid w:val="00CD7AE6"/>
    <w:rsid w:val="00CD7F4A"/>
    <w:rsid w:val="00CE0261"/>
    <w:rsid w:val="00CE1192"/>
    <w:rsid w:val="00CE1904"/>
    <w:rsid w:val="00CE1CB7"/>
    <w:rsid w:val="00CE250B"/>
    <w:rsid w:val="00CE3288"/>
    <w:rsid w:val="00CE3568"/>
    <w:rsid w:val="00CE3F00"/>
    <w:rsid w:val="00CE4955"/>
    <w:rsid w:val="00CE4F4A"/>
    <w:rsid w:val="00CE51C2"/>
    <w:rsid w:val="00CE5C40"/>
    <w:rsid w:val="00CE615B"/>
    <w:rsid w:val="00CE6695"/>
    <w:rsid w:val="00CE764E"/>
    <w:rsid w:val="00CE7FCF"/>
    <w:rsid w:val="00CF0EE2"/>
    <w:rsid w:val="00CF11CF"/>
    <w:rsid w:val="00CF1289"/>
    <w:rsid w:val="00CF16CB"/>
    <w:rsid w:val="00CF1ACA"/>
    <w:rsid w:val="00CF44B3"/>
    <w:rsid w:val="00CF4560"/>
    <w:rsid w:val="00CF4930"/>
    <w:rsid w:val="00CF54EC"/>
    <w:rsid w:val="00CF5A52"/>
    <w:rsid w:val="00CF5E40"/>
    <w:rsid w:val="00CF62CF"/>
    <w:rsid w:val="00CF6FB0"/>
    <w:rsid w:val="00CF7D7A"/>
    <w:rsid w:val="00D00670"/>
    <w:rsid w:val="00D007E2"/>
    <w:rsid w:val="00D0132F"/>
    <w:rsid w:val="00D01FE3"/>
    <w:rsid w:val="00D02ABE"/>
    <w:rsid w:val="00D031D5"/>
    <w:rsid w:val="00D03407"/>
    <w:rsid w:val="00D039F9"/>
    <w:rsid w:val="00D03D52"/>
    <w:rsid w:val="00D04971"/>
    <w:rsid w:val="00D0582E"/>
    <w:rsid w:val="00D05ADB"/>
    <w:rsid w:val="00D077A8"/>
    <w:rsid w:val="00D10AAD"/>
    <w:rsid w:val="00D10BDA"/>
    <w:rsid w:val="00D11351"/>
    <w:rsid w:val="00D1139F"/>
    <w:rsid w:val="00D115EB"/>
    <w:rsid w:val="00D124AF"/>
    <w:rsid w:val="00D127B4"/>
    <w:rsid w:val="00D12ECA"/>
    <w:rsid w:val="00D13C51"/>
    <w:rsid w:val="00D14196"/>
    <w:rsid w:val="00D14707"/>
    <w:rsid w:val="00D14FB8"/>
    <w:rsid w:val="00D15759"/>
    <w:rsid w:val="00D15835"/>
    <w:rsid w:val="00D16452"/>
    <w:rsid w:val="00D16A5D"/>
    <w:rsid w:val="00D17346"/>
    <w:rsid w:val="00D175FA"/>
    <w:rsid w:val="00D17B20"/>
    <w:rsid w:val="00D200A9"/>
    <w:rsid w:val="00D20A68"/>
    <w:rsid w:val="00D20F99"/>
    <w:rsid w:val="00D22039"/>
    <w:rsid w:val="00D22F9B"/>
    <w:rsid w:val="00D23606"/>
    <w:rsid w:val="00D23B8B"/>
    <w:rsid w:val="00D241B1"/>
    <w:rsid w:val="00D242A2"/>
    <w:rsid w:val="00D24480"/>
    <w:rsid w:val="00D24938"/>
    <w:rsid w:val="00D24CDC"/>
    <w:rsid w:val="00D250D0"/>
    <w:rsid w:val="00D25968"/>
    <w:rsid w:val="00D2608A"/>
    <w:rsid w:val="00D2651A"/>
    <w:rsid w:val="00D2697F"/>
    <w:rsid w:val="00D270EC"/>
    <w:rsid w:val="00D27B09"/>
    <w:rsid w:val="00D30A1A"/>
    <w:rsid w:val="00D3109E"/>
    <w:rsid w:val="00D31312"/>
    <w:rsid w:val="00D327E3"/>
    <w:rsid w:val="00D32ECF"/>
    <w:rsid w:val="00D33B6D"/>
    <w:rsid w:val="00D33F7F"/>
    <w:rsid w:val="00D344B2"/>
    <w:rsid w:val="00D344BC"/>
    <w:rsid w:val="00D35484"/>
    <w:rsid w:val="00D35AF7"/>
    <w:rsid w:val="00D36350"/>
    <w:rsid w:val="00D36366"/>
    <w:rsid w:val="00D36547"/>
    <w:rsid w:val="00D366AB"/>
    <w:rsid w:val="00D36F5B"/>
    <w:rsid w:val="00D37B0A"/>
    <w:rsid w:val="00D37C79"/>
    <w:rsid w:val="00D40E6B"/>
    <w:rsid w:val="00D41E85"/>
    <w:rsid w:val="00D422B0"/>
    <w:rsid w:val="00D425B9"/>
    <w:rsid w:val="00D42DDB"/>
    <w:rsid w:val="00D44297"/>
    <w:rsid w:val="00D449FD"/>
    <w:rsid w:val="00D4548B"/>
    <w:rsid w:val="00D45997"/>
    <w:rsid w:val="00D46525"/>
    <w:rsid w:val="00D47645"/>
    <w:rsid w:val="00D50408"/>
    <w:rsid w:val="00D50902"/>
    <w:rsid w:val="00D50BDC"/>
    <w:rsid w:val="00D52251"/>
    <w:rsid w:val="00D52F55"/>
    <w:rsid w:val="00D52FA1"/>
    <w:rsid w:val="00D5332E"/>
    <w:rsid w:val="00D535DB"/>
    <w:rsid w:val="00D53A27"/>
    <w:rsid w:val="00D54236"/>
    <w:rsid w:val="00D56265"/>
    <w:rsid w:val="00D57CEF"/>
    <w:rsid w:val="00D57D86"/>
    <w:rsid w:val="00D6070B"/>
    <w:rsid w:val="00D61401"/>
    <w:rsid w:val="00D629EA"/>
    <w:rsid w:val="00D641EB"/>
    <w:rsid w:val="00D64ECB"/>
    <w:rsid w:val="00D6567D"/>
    <w:rsid w:val="00D65D29"/>
    <w:rsid w:val="00D65EF1"/>
    <w:rsid w:val="00D66B1F"/>
    <w:rsid w:val="00D67E02"/>
    <w:rsid w:val="00D711D8"/>
    <w:rsid w:val="00D714DE"/>
    <w:rsid w:val="00D7173B"/>
    <w:rsid w:val="00D71941"/>
    <w:rsid w:val="00D7204E"/>
    <w:rsid w:val="00D721D7"/>
    <w:rsid w:val="00D72257"/>
    <w:rsid w:val="00D728B8"/>
    <w:rsid w:val="00D729D5"/>
    <w:rsid w:val="00D73F03"/>
    <w:rsid w:val="00D741C2"/>
    <w:rsid w:val="00D74817"/>
    <w:rsid w:val="00D759F1"/>
    <w:rsid w:val="00D761EE"/>
    <w:rsid w:val="00D76B4E"/>
    <w:rsid w:val="00D77226"/>
    <w:rsid w:val="00D8170D"/>
    <w:rsid w:val="00D81EC8"/>
    <w:rsid w:val="00D84514"/>
    <w:rsid w:val="00D847D0"/>
    <w:rsid w:val="00D84BFD"/>
    <w:rsid w:val="00D84E21"/>
    <w:rsid w:val="00D861EE"/>
    <w:rsid w:val="00D86C17"/>
    <w:rsid w:val="00D872D2"/>
    <w:rsid w:val="00D87357"/>
    <w:rsid w:val="00D90608"/>
    <w:rsid w:val="00D90A53"/>
    <w:rsid w:val="00D920E5"/>
    <w:rsid w:val="00D920FB"/>
    <w:rsid w:val="00D922F1"/>
    <w:rsid w:val="00D9248A"/>
    <w:rsid w:val="00D92DE0"/>
    <w:rsid w:val="00D9353A"/>
    <w:rsid w:val="00D9375D"/>
    <w:rsid w:val="00D93A38"/>
    <w:rsid w:val="00D94131"/>
    <w:rsid w:val="00D9516C"/>
    <w:rsid w:val="00D95CF6"/>
    <w:rsid w:val="00D9629F"/>
    <w:rsid w:val="00D97542"/>
    <w:rsid w:val="00DA0328"/>
    <w:rsid w:val="00DA0443"/>
    <w:rsid w:val="00DA05B3"/>
    <w:rsid w:val="00DA23FC"/>
    <w:rsid w:val="00DA2589"/>
    <w:rsid w:val="00DA2782"/>
    <w:rsid w:val="00DA29E9"/>
    <w:rsid w:val="00DA2AD8"/>
    <w:rsid w:val="00DA2BEF"/>
    <w:rsid w:val="00DA401C"/>
    <w:rsid w:val="00DA427E"/>
    <w:rsid w:val="00DA42A9"/>
    <w:rsid w:val="00DA51D8"/>
    <w:rsid w:val="00DA5232"/>
    <w:rsid w:val="00DA75DB"/>
    <w:rsid w:val="00DA780C"/>
    <w:rsid w:val="00DA7998"/>
    <w:rsid w:val="00DA7AF8"/>
    <w:rsid w:val="00DA7B97"/>
    <w:rsid w:val="00DB0142"/>
    <w:rsid w:val="00DB01EC"/>
    <w:rsid w:val="00DB0BBB"/>
    <w:rsid w:val="00DB1189"/>
    <w:rsid w:val="00DB1DB6"/>
    <w:rsid w:val="00DB23ED"/>
    <w:rsid w:val="00DB2515"/>
    <w:rsid w:val="00DB3727"/>
    <w:rsid w:val="00DB37E6"/>
    <w:rsid w:val="00DB44A6"/>
    <w:rsid w:val="00DB4ED4"/>
    <w:rsid w:val="00DB528D"/>
    <w:rsid w:val="00DB5B26"/>
    <w:rsid w:val="00DB5D8C"/>
    <w:rsid w:val="00DB6644"/>
    <w:rsid w:val="00DB66DB"/>
    <w:rsid w:val="00DB7327"/>
    <w:rsid w:val="00DB7F76"/>
    <w:rsid w:val="00DC0769"/>
    <w:rsid w:val="00DC0D8A"/>
    <w:rsid w:val="00DC0E52"/>
    <w:rsid w:val="00DC115F"/>
    <w:rsid w:val="00DC1775"/>
    <w:rsid w:val="00DC272B"/>
    <w:rsid w:val="00DC284A"/>
    <w:rsid w:val="00DC33A4"/>
    <w:rsid w:val="00DC3AA3"/>
    <w:rsid w:val="00DC3B4E"/>
    <w:rsid w:val="00DC47C7"/>
    <w:rsid w:val="00DC53AC"/>
    <w:rsid w:val="00DC53BA"/>
    <w:rsid w:val="00DC5D44"/>
    <w:rsid w:val="00DC6D51"/>
    <w:rsid w:val="00DC7DF7"/>
    <w:rsid w:val="00DD083F"/>
    <w:rsid w:val="00DD0992"/>
    <w:rsid w:val="00DD0D36"/>
    <w:rsid w:val="00DD18C9"/>
    <w:rsid w:val="00DD1F0E"/>
    <w:rsid w:val="00DD2BE6"/>
    <w:rsid w:val="00DD31A7"/>
    <w:rsid w:val="00DD4C0D"/>
    <w:rsid w:val="00DD4C9B"/>
    <w:rsid w:val="00DD4D18"/>
    <w:rsid w:val="00DD563E"/>
    <w:rsid w:val="00DD5C29"/>
    <w:rsid w:val="00DD68F8"/>
    <w:rsid w:val="00DE1471"/>
    <w:rsid w:val="00DE189A"/>
    <w:rsid w:val="00DE1BB2"/>
    <w:rsid w:val="00DE2194"/>
    <w:rsid w:val="00DE2AB6"/>
    <w:rsid w:val="00DE400F"/>
    <w:rsid w:val="00DE44F7"/>
    <w:rsid w:val="00DE4962"/>
    <w:rsid w:val="00DE5B80"/>
    <w:rsid w:val="00DE704C"/>
    <w:rsid w:val="00DE709F"/>
    <w:rsid w:val="00DE7313"/>
    <w:rsid w:val="00DE774A"/>
    <w:rsid w:val="00DE7C22"/>
    <w:rsid w:val="00DF0D66"/>
    <w:rsid w:val="00DF0E3D"/>
    <w:rsid w:val="00DF1183"/>
    <w:rsid w:val="00DF1A4B"/>
    <w:rsid w:val="00DF219B"/>
    <w:rsid w:val="00DF21A4"/>
    <w:rsid w:val="00DF23F1"/>
    <w:rsid w:val="00DF2922"/>
    <w:rsid w:val="00DF3B01"/>
    <w:rsid w:val="00DF458D"/>
    <w:rsid w:val="00DF4A4A"/>
    <w:rsid w:val="00DF519A"/>
    <w:rsid w:val="00DF5FBE"/>
    <w:rsid w:val="00DF61D0"/>
    <w:rsid w:val="00DF6C8A"/>
    <w:rsid w:val="00DF715D"/>
    <w:rsid w:val="00DF7A18"/>
    <w:rsid w:val="00DF7DCC"/>
    <w:rsid w:val="00E0012D"/>
    <w:rsid w:val="00E00326"/>
    <w:rsid w:val="00E00B9C"/>
    <w:rsid w:val="00E014C0"/>
    <w:rsid w:val="00E0152A"/>
    <w:rsid w:val="00E0192D"/>
    <w:rsid w:val="00E019AD"/>
    <w:rsid w:val="00E01D1E"/>
    <w:rsid w:val="00E022C8"/>
    <w:rsid w:val="00E038D0"/>
    <w:rsid w:val="00E03FB5"/>
    <w:rsid w:val="00E04842"/>
    <w:rsid w:val="00E0496B"/>
    <w:rsid w:val="00E0637B"/>
    <w:rsid w:val="00E06505"/>
    <w:rsid w:val="00E0680E"/>
    <w:rsid w:val="00E06933"/>
    <w:rsid w:val="00E06BC9"/>
    <w:rsid w:val="00E101AC"/>
    <w:rsid w:val="00E105E8"/>
    <w:rsid w:val="00E10EB5"/>
    <w:rsid w:val="00E1223C"/>
    <w:rsid w:val="00E1234B"/>
    <w:rsid w:val="00E14167"/>
    <w:rsid w:val="00E146B5"/>
    <w:rsid w:val="00E15335"/>
    <w:rsid w:val="00E1611B"/>
    <w:rsid w:val="00E16312"/>
    <w:rsid w:val="00E16B59"/>
    <w:rsid w:val="00E16FEC"/>
    <w:rsid w:val="00E1795E"/>
    <w:rsid w:val="00E179ED"/>
    <w:rsid w:val="00E20656"/>
    <w:rsid w:val="00E20780"/>
    <w:rsid w:val="00E21A9E"/>
    <w:rsid w:val="00E21DBE"/>
    <w:rsid w:val="00E22318"/>
    <w:rsid w:val="00E22683"/>
    <w:rsid w:val="00E226C9"/>
    <w:rsid w:val="00E232AE"/>
    <w:rsid w:val="00E23372"/>
    <w:rsid w:val="00E23439"/>
    <w:rsid w:val="00E238EC"/>
    <w:rsid w:val="00E24A16"/>
    <w:rsid w:val="00E24DEA"/>
    <w:rsid w:val="00E24EE7"/>
    <w:rsid w:val="00E252F0"/>
    <w:rsid w:val="00E2762E"/>
    <w:rsid w:val="00E277EB"/>
    <w:rsid w:val="00E3003E"/>
    <w:rsid w:val="00E3022B"/>
    <w:rsid w:val="00E306DA"/>
    <w:rsid w:val="00E3124F"/>
    <w:rsid w:val="00E316D9"/>
    <w:rsid w:val="00E323A5"/>
    <w:rsid w:val="00E32E67"/>
    <w:rsid w:val="00E330C5"/>
    <w:rsid w:val="00E33555"/>
    <w:rsid w:val="00E33560"/>
    <w:rsid w:val="00E3413B"/>
    <w:rsid w:val="00E347E7"/>
    <w:rsid w:val="00E353E9"/>
    <w:rsid w:val="00E35413"/>
    <w:rsid w:val="00E3589F"/>
    <w:rsid w:val="00E35F3B"/>
    <w:rsid w:val="00E36EA9"/>
    <w:rsid w:val="00E37998"/>
    <w:rsid w:val="00E40299"/>
    <w:rsid w:val="00E40F41"/>
    <w:rsid w:val="00E41FA2"/>
    <w:rsid w:val="00E43879"/>
    <w:rsid w:val="00E44044"/>
    <w:rsid w:val="00E441BF"/>
    <w:rsid w:val="00E4576D"/>
    <w:rsid w:val="00E4592C"/>
    <w:rsid w:val="00E47864"/>
    <w:rsid w:val="00E47BD0"/>
    <w:rsid w:val="00E47DAC"/>
    <w:rsid w:val="00E501A6"/>
    <w:rsid w:val="00E501EB"/>
    <w:rsid w:val="00E5076A"/>
    <w:rsid w:val="00E50DBB"/>
    <w:rsid w:val="00E50E83"/>
    <w:rsid w:val="00E516D6"/>
    <w:rsid w:val="00E52403"/>
    <w:rsid w:val="00E55777"/>
    <w:rsid w:val="00E56921"/>
    <w:rsid w:val="00E56B33"/>
    <w:rsid w:val="00E56C37"/>
    <w:rsid w:val="00E60643"/>
    <w:rsid w:val="00E61322"/>
    <w:rsid w:val="00E61F75"/>
    <w:rsid w:val="00E636AB"/>
    <w:rsid w:val="00E63D4A"/>
    <w:rsid w:val="00E643C2"/>
    <w:rsid w:val="00E64C3E"/>
    <w:rsid w:val="00E64E56"/>
    <w:rsid w:val="00E6576C"/>
    <w:rsid w:val="00E66238"/>
    <w:rsid w:val="00E679D3"/>
    <w:rsid w:val="00E70C20"/>
    <w:rsid w:val="00E70D73"/>
    <w:rsid w:val="00E71169"/>
    <w:rsid w:val="00E711F0"/>
    <w:rsid w:val="00E71D09"/>
    <w:rsid w:val="00E7374D"/>
    <w:rsid w:val="00E73D04"/>
    <w:rsid w:val="00E743A9"/>
    <w:rsid w:val="00E745B4"/>
    <w:rsid w:val="00E7461B"/>
    <w:rsid w:val="00E7484B"/>
    <w:rsid w:val="00E750A5"/>
    <w:rsid w:val="00E75CA0"/>
    <w:rsid w:val="00E761A1"/>
    <w:rsid w:val="00E76BCC"/>
    <w:rsid w:val="00E7793F"/>
    <w:rsid w:val="00E77A3E"/>
    <w:rsid w:val="00E77F8B"/>
    <w:rsid w:val="00E80EAC"/>
    <w:rsid w:val="00E811CA"/>
    <w:rsid w:val="00E81FD0"/>
    <w:rsid w:val="00E82115"/>
    <w:rsid w:val="00E823CA"/>
    <w:rsid w:val="00E826FF"/>
    <w:rsid w:val="00E82BD9"/>
    <w:rsid w:val="00E83F2D"/>
    <w:rsid w:val="00E83F55"/>
    <w:rsid w:val="00E841DA"/>
    <w:rsid w:val="00E846ED"/>
    <w:rsid w:val="00E84760"/>
    <w:rsid w:val="00E8476C"/>
    <w:rsid w:val="00E856C5"/>
    <w:rsid w:val="00E8578A"/>
    <w:rsid w:val="00E86030"/>
    <w:rsid w:val="00E86DD1"/>
    <w:rsid w:val="00E876E4"/>
    <w:rsid w:val="00E90143"/>
    <w:rsid w:val="00E90DE0"/>
    <w:rsid w:val="00E928DA"/>
    <w:rsid w:val="00E950BB"/>
    <w:rsid w:val="00E95A51"/>
    <w:rsid w:val="00E9667E"/>
    <w:rsid w:val="00E96D01"/>
    <w:rsid w:val="00E973CA"/>
    <w:rsid w:val="00EA0420"/>
    <w:rsid w:val="00EA04E4"/>
    <w:rsid w:val="00EA0A7C"/>
    <w:rsid w:val="00EA0C40"/>
    <w:rsid w:val="00EA19DB"/>
    <w:rsid w:val="00EA1C34"/>
    <w:rsid w:val="00EA2978"/>
    <w:rsid w:val="00EA2F88"/>
    <w:rsid w:val="00EA3450"/>
    <w:rsid w:val="00EA3580"/>
    <w:rsid w:val="00EA437D"/>
    <w:rsid w:val="00EA4EE5"/>
    <w:rsid w:val="00EA5879"/>
    <w:rsid w:val="00EA5895"/>
    <w:rsid w:val="00EA5C4C"/>
    <w:rsid w:val="00EA6ABD"/>
    <w:rsid w:val="00EA6AFD"/>
    <w:rsid w:val="00EA7311"/>
    <w:rsid w:val="00EA7A80"/>
    <w:rsid w:val="00EB06C3"/>
    <w:rsid w:val="00EB102E"/>
    <w:rsid w:val="00EB12F6"/>
    <w:rsid w:val="00EB260E"/>
    <w:rsid w:val="00EB29FE"/>
    <w:rsid w:val="00EB3012"/>
    <w:rsid w:val="00EB342C"/>
    <w:rsid w:val="00EB34C6"/>
    <w:rsid w:val="00EB3E72"/>
    <w:rsid w:val="00EB54FC"/>
    <w:rsid w:val="00EB5BB8"/>
    <w:rsid w:val="00EB6C92"/>
    <w:rsid w:val="00EB718C"/>
    <w:rsid w:val="00EB7472"/>
    <w:rsid w:val="00EB757A"/>
    <w:rsid w:val="00EB7667"/>
    <w:rsid w:val="00EB7E1A"/>
    <w:rsid w:val="00EC03AB"/>
    <w:rsid w:val="00EC0BF9"/>
    <w:rsid w:val="00EC12B7"/>
    <w:rsid w:val="00EC147C"/>
    <w:rsid w:val="00EC1DF3"/>
    <w:rsid w:val="00EC321D"/>
    <w:rsid w:val="00EC3531"/>
    <w:rsid w:val="00EC3FF3"/>
    <w:rsid w:val="00EC438F"/>
    <w:rsid w:val="00EC48D1"/>
    <w:rsid w:val="00EC5A39"/>
    <w:rsid w:val="00EC5E74"/>
    <w:rsid w:val="00EC6097"/>
    <w:rsid w:val="00EC6CEC"/>
    <w:rsid w:val="00EC6D5D"/>
    <w:rsid w:val="00EC71CC"/>
    <w:rsid w:val="00EC71E5"/>
    <w:rsid w:val="00EC7ECE"/>
    <w:rsid w:val="00ED0A9A"/>
    <w:rsid w:val="00ED13C7"/>
    <w:rsid w:val="00ED1871"/>
    <w:rsid w:val="00ED1A4B"/>
    <w:rsid w:val="00ED1C10"/>
    <w:rsid w:val="00ED1DAC"/>
    <w:rsid w:val="00ED2717"/>
    <w:rsid w:val="00ED284D"/>
    <w:rsid w:val="00ED2DAA"/>
    <w:rsid w:val="00ED3218"/>
    <w:rsid w:val="00ED32B8"/>
    <w:rsid w:val="00ED3581"/>
    <w:rsid w:val="00ED3A9B"/>
    <w:rsid w:val="00ED4951"/>
    <w:rsid w:val="00ED6065"/>
    <w:rsid w:val="00ED63EC"/>
    <w:rsid w:val="00ED6A52"/>
    <w:rsid w:val="00ED701C"/>
    <w:rsid w:val="00ED7815"/>
    <w:rsid w:val="00EE05C0"/>
    <w:rsid w:val="00EE0737"/>
    <w:rsid w:val="00EE0CAD"/>
    <w:rsid w:val="00EE1737"/>
    <w:rsid w:val="00EE206D"/>
    <w:rsid w:val="00EE28AB"/>
    <w:rsid w:val="00EE300F"/>
    <w:rsid w:val="00EE375C"/>
    <w:rsid w:val="00EE3AAE"/>
    <w:rsid w:val="00EE5052"/>
    <w:rsid w:val="00EE5235"/>
    <w:rsid w:val="00EE590D"/>
    <w:rsid w:val="00EE5923"/>
    <w:rsid w:val="00EE5EFB"/>
    <w:rsid w:val="00EE62E5"/>
    <w:rsid w:val="00EE680A"/>
    <w:rsid w:val="00EE7084"/>
    <w:rsid w:val="00EE7633"/>
    <w:rsid w:val="00EF0149"/>
    <w:rsid w:val="00EF08AD"/>
    <w:rsid w:val="00EF2160"/>
    <w:rsid w:val="00EF23B6"/>
    <w:rsid w:val="00EF3356"/>
    <w:rsid w:val="00EF33BE"/>
    <w:rsid w:val="00EF37FB"/>
    <w:rsid w:val="00EF3FDC"/>
    <w:rsid w:val="00EF40A5"/>
    <w:rsid w:val="00EF4214"/>
    <w:rsid w:val="00EF4EE1"/>
    <w:rsid w:val="00EF56DD"/>
    <w:rsid w:val="00EF57CE"/>
    <w:rsid w:val="00EF5AB2"/>
    <w:rsid w:val="00EF658A"/>
    <w:rsid w:val="00EF690E"/>
    <w:rsid w:val="00EF6BA6"/>
    <w:rsid w:val="00EF73D4"/>
    <w:rsid w:val="00EF791F"/>
    <w:rsid w:val="00EF7998"/>
    <w:rsid w:val="00EF7A22"/>
    <w:rsid w:val="00EF7CC1"/>
    <w:rsid w:val="00F0183A"/>
    <w:rsid w:val="00F01E16"/>
    <w:rsid w:val="00F02DD4"/>
    <w:rsid w:val="00F02DFD"/>
    <w:rsid w:val="00F02F78"/>
    <w:rsid w:val="00F0307C"/>
    <w:rsid w:val="00F037E7"/>
    <w:rsid w:val="00F03A20"/>
    <w:rsid w:val="00F03BD3"/>
    <w:rsid w:val="00F0404B"/>
    <w:rsid w:val="00F045AD"/>
    <w:rsid w:val="00F04602"/>
    <w:rsid w:val="00F05BAB"/>
    <w:rsid w:val="00F060B8"/>
    <w:rsid w:val="00F062AB"/>
    <w:rsid w:val="00F0674E"/>
    <w:rsid w:val="00F07CBF"/>
    <w:rsid w:val="00F07E79"/>
    <w:rsid w:val="00F107C8"/>
    <w:rsid w:val="00F10B18"/>
    <w:rsid w:val="00F10C17"/>
    <w:rsid w:val="00F10C36"/>
    <w:rsid w:val="00F1226D"/>
    <w:rsid w:val="00F126A3"/>
    <w:rsid w:val="00F12763"/>
    <w:rsid w:val="00F12834"/>
    <w:rsid w:val="00F13AFC"/>
    <w:rsid w:val="00F13EB3"/>
    <w:rsid w:val="00F13F08"/>
    <w:rsid w:val="00F14678"/>
    <w:rsid w:val="00F14CF1"/>
    <w:rsid w:val="00F14F12"/>
    <w:rsid w:val="00F1578B"/>
    <w:rsid w:val="00F15CBB"/>
    <w:rsid w:val="00F1755B"/>
    <w:rsid w:val="00F20427"/>
    <w:rsid w:val="00F20438"/>
    <w:rsid w:val="00F20FEC"/>
    <w:rsid w:val="00F216C6"/>
    <w:rsid w:val="00F229AB"/>
    <w:rsid w:val="00F2334B"/>
    <w:rsid w:val="00F242C4"/>
    <w:rsid w:val="00F24E37"/>
    <w:rsid w:val="00F251A9"/>
    <w:rsid w:val="00F2523C"/>
    <w:rsid w:val="00F25282"/>
    <w:rsid w:val="00F2548A"/>
    <w:rsid w:val="00F26123"/>
    <w:rsid w:val="00F26336"/>
    <w:rsid w:val="00F26767"/>
    <w:rsid w:val="00F2698F"/>
    <w:rsid w:val="00F270F4"/>
    <w:rsid w:val="00F273E1"/>
    <w:rsid w:val="00F27730"/>
    <w:rsid w:val="00F3126F"/>
    <w:rsid w:val="00F31384"/>
    <w:rsid w:val="00F320E5"/>
    <w:rsid w:val="00F326E3"/>
    <w:rsid w:val="00F32855"/>
    <w:rsid w:val="00F32DA9"/>
    <w:rsid w:val="00F33658"/>
    <w:rsid w:val="00F33718"/>
    <w:rsid w:val="00F34AD3"/>
    <w:rsid w:val="00F3577A"/>
    <w:rsid w:val="00F36260"/>
    <w:rsid w:val="00F365CD"/>
    <w:rsid w:val="00F36743"/>
    <w:rsid w:val="00F37CF5"/>
    <w:rsid w:val="00F4058F"/>
    <w:rsid w:val="00F4099A"/>
    <w:rsid w:val="00F41805"/>
    <w:rsid w:val="00F41923"/>
    <w:rsid w:val="00F41A88"/>
    <w:rsid w:val="00F42B7D"/>
    <w:rsid w:val="00F43763"/>
    <w:rsid w:val="00F441B7"/>
    <w:rsid w:val="00F45C3F"/>
    <w:rsid w:val="00F46688"/>
    <w:rsid w:val="00F477AF"/>
    <w:rsid w:val="00F47B42"/>
    <w:rsid w:val="00F47F8D"/>
    <w:rsid w:val="00F50043"/>
    <w:rsid w:val="00F506C9"/>
    <w:rsid w:val="00F52263"/>
    <w:rsid w:val="00F52A59"/>
    <w:rsid w:val="00F52B30"/>
    <w:rsid w:val="00F52D8B"/>
    <w:rsid w:val="00F53749"/>
    <w:rsid w:val="00F54B05"/>
    <w:rsid w:val="00F55042"/>
    <w:rsid w:val="00F557C3"/>
    <w:rsid w:val="00F559D1"/>
    <w:rsid w:val="00F5630D"/>
    <w:rsid w:val="00F56708"/>
    <w:rsid w:val="00F56712"/>
    <w:rsid w:val="00F56D58"/>
    <w:rsid w:val="00F56EA2"/>
    <w:rsid w:val="00F56F50"/>
    <w:rsid w:val="00F57AFD"/>
    <w:rsid w:val="00F57CC9"/>
    <w:rsid w:val="00F57F22"/>
    <w:rsid w:val="00F6029F"/>
    <w:rsid w:val="00F618C5"/>
    <w:rsid w:val="00F63232"/>
    <w:rsid w:val="00F63236"/>
    <w:rsid w:val="00F63C24"/>
    <w:rsid w:val="00F63DFE"/>
    <w:rsid w:val="00F641BE"/>
    <w:rsid w:val="00F6465D"/>
    <w:rsid w:val="00F65620"/>
    <w:rsid w:val="00F65B68"/>
    <w:rsid w:val="00F65BAD"/>
    <w:rsid w:val="00F6615F"/>
    <w:rsid w:val="00F67157"/>
    <w:rsid w:val="00F6780B"/>
    <w:rsid w:val="00F67B77"/>
    <w:rsid w:val="00F67D85"/>
    <w:rsid w:val="00F71216"/>
    <w:rsid w:val="00F71757"/>
    <w:rsid w:val="00F71ABB"/>
    <w:rsid w:val="00F72B96"/>
    <w:rsid w:val="00F72BB7"/>
    <w:rsid w:val="00F72CD7"/>
    <w:rsid w:val="00F72E25"/>
    <w:rsid w:val="00F734B3"/>
    <w:rsid w:val="00F737AD"/>
    <w:rsid w:val="00F738AA"/>
    <w:rsid w:val="00F73B54"/>
    <w:rsid w:val="00F73C18"/>
    <w:rsid w:val="00F73C38"/>
    <w:rsid w:val="00F745B5"/>
    <w:rsid w:val="00F7481E"/>
    <w:rsid w:val="00F748D8"/>
    <w:rsid w:val="00F7508B"/>
    <w:rsid w:val="00F750CE"/>
    <w:rsid w:val="00F7586D"/>
    <w:rsid w:val="00F7611E"/>
    <w:rsid w:val="00F762FA"/>
    <w:rsid w:val="00F771D5"/>
    <w:rsid w:val="00F7725C"/>
    <w:rsid w:val="00F77D60"/>
    <w:rsid w:val="00F803C0"/>
    <w:rsid w:val="00F80489"/>
    <w:rsid w:val="00F817A0"/>
    <w:rsid w:val="00F82485"/>
    <w:rsid w:val="00F82E95"/>
    <w:rsid w:val="00F83456"/>
    <w:rsid w:val="00F83628"/>
    <w:rsid w:val="00F83875"/>
    <w:rsid w:val="00F83D7F"/>
    <w:rsid w:val="00F843D3"/>
    <w:rsid w:val="00F847A5"/>
    <w:rsid w:val="00F84D77"/>
    <w:rsid w:val="00F866AD"/>
    <w:rsid w:val="00F87171"/>
    <w:rsid w:val="00F87DAF"/>
    <w:rsid w:val="00F87E05"/>
    <w:rsid w:val="00F91080"/>
    <w:rsid w:val="00F91F8E"/>
    <w:rsid w:val="00F92D19"/>
    <w:rsid w:val="00F9384D"/>
    <w:rsid w:val="00F94A2A"/>
    <w:rsid w:val="00F94BB1"/>
    <w:rsid w:val="00F956E6"/>
    <w:rsid w:val="00F958A3"/>
    <w:rsid w:val="00F96407"/>
    <w:rsid w:val="00F966DF"/>
    <w:rsid w:val="00F96874"/>
    <w:rsid w:val="00F9704E"/>
    <w:rsid w:val="00F9722A"/>
    <w:rsid w:val="00F97721"/>
    <w:rsid w:val="00F97CD4"/>
    <w:rsid w:val="00FA023A"/>
    <w:rsid w:val="00FA06F0"/>
    <w:rsid w:val="00FA0DE0"/>
    <w:rsid w:val="00FA15FD"/>
    <w:rsid w:val="00FA2695"/>
    <w:rsid w:val="00FA34D5"/>
    <w:rsid w:val="00FA3896"/>
    <w:rsid w:val="00FA4994"/>
    <w:rsid w:val="00FA5199"/>
    <w:rsid w:val="00FA53D6"/>
    <w:rsid w:val="00FA5E8A"/>
    <w:rsid w:val="00FA6BB1"/>
    <w:rsid w:val="00FA6FD7"/>
    <w:rsid w:val="00FA7508"/>
    <w:rsid w:val="00FB1C90"/>
    <w:rsid w:val="00FB4389"/>
    <w:rsid w:val="00FB50FD"/>
    <w:rsid w:val="00FB5316"/>
    <w:rsid w:val="00FB59EA"/>
    <w:rsid w:val="00FB633A"/>
    <w:rsid w:val="00FB6B8B"/>
    <w:rsid w:val="00FB6C55"/>
    <w:rsid w:val="00FB706D"/>
    <w:rsid w:val="00FB70B5"/>
    <w:rsid w:val="00FB74D5"/>
    <w:rsid w:val="00FC0F42"/>
    <w:rsid w:val="00FC2E13"/>
    <w:rsid w:val="00FC3EDF"/>
    <w:rsid w:val="00FC4453"/>
    <w:rsid w:val="00FC4981"/>
    <w:rsid w:val="00FC6653"/>
    <w:rsid w:val="00FD008B"/>
    <w:rsid w:val="00FD0C3C"/>
    <w:rsid w:val="00FD140C"/>
    <w:rsid w:val="00FD1762"/>
    <w:rsid w:val="00FD39BE"/>
    <w:rsid w:val="00FD3D98"/>
    <w:rsid w:val="00FD461F"/>
    <w:rsid w:val="00FD4A16"/>
    <w:rsid w:val="00FD50A4"/>
    <w:rsid w:val="00FD520B"/>
    <w:rsid w:val="00FD5B60"/>
    <w:rsid w:val="00FD5F3A"/>
    <w:rsid w:val="00FD6D5F"/>
    <w:rsid w:val="00FD7198"/>
    <w:rsid w:val="00FD74A7"/>
    <w:rsid w:val="00FE015D"/>
    <w:rsid w:val="00FE0E7A"/>
    <w:rsid w:val="00FE190B"/>
    <w:rsid w:val="00FE218F"/>
    <w:rsid w:val="00FE289B"/>
    <w:rsid w:val="00FE2DDD"/>
    <w:rsid w:val="00FE3C3F"/>
    <w:rsid w:val="00FE3D8E"/>
    <w:rsid w:val="00FE3F3A"/>
    <w:rsid w:val="00FE4629"/>
    <w:rsid w:val="00FE490F"/>
    <w:rsid w:val="00FE6954"/>
    <w:rsid w:val="00FE6A6E"/>
    <w:rsid w:val="00FE6B87"/>
    <w:rsid w:val="00FF2154"/>
    <w:rsid w:val="00FF2716"/>
    <w:rsid w:val="00FF2D9B"/>
    <w:rsid w:val="00FF32F9"/>
    <w:rsid w:val="00FF340F"/>
    <w:rsid w:val="00FF344D"/>
    <w:rsid w:val="00FF46B8"/>
    <w:rsid w:val="00FF554B"/>
    <w:rsid w:val="00FF5B4A"/>
    <w:rsid w:val="00FF5DE6"/>
    <w:rsid w:val="00FF5FF2"/>
    <w:rsid w:val="00FF6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25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39E5"/>
    <w:rPr>
      <w:rFonts w:ascii="Arial" w:hAnsi="Arial"/>
      <w:sz w:val="24"/>
      <w:szCs w:val="24"/>
    </w:rPr>
  </w:style>
  <w:style w:type="paragraph" w:styleId="Nadpis1">
    <w:name w:val="heading 1"/>
    <w:basedOn w:val="Normln"/>
    <w:next w:val="Normln"/>
    <w:qFormat/>
    <w:rsid w:val="00FB1C90"/>
    <w:pPr>
      <w:keepNext/>
      <w:keepLines/>
      <w:suppressAutoHyphens/>
      <w:overflowPunct w:val="0"/>
      <w:autoSpaceDE w:val="0"/>
      <w:autoSpaceDN w:val="0"/>
      <w:adjustRightInd w:val="0"/>
      <w:spacing w:before="480" w:after="240"/>
      <w:textAlignment w:val="baseline"/>
      <w:outlineLvl w:val="0"/>
    </w:pPr>
    <w:rPr>
      <w:b/>
      <w:kern w:val="36"/>
      <w:sz w:val="28"/>
      <w:szCs w:val="20"/>
    </w:rPr>
  </w:style>
  <w:style w:type="paragraph" w:styleId="Nadpis2">
    <w:name w:val="heading 2"/>
    <w:basedOn w:val="Normln"/>
    <w:next w:val="Normln"/>
    <w:uiPriority w:val="9"/>
    <w:qFormat/>
    <w:rsid w:val="00FB1C90"/>
    <w:pPr>
      <w:keepNext/>
      <w:spacing w:before="240" w:after="60"/>
      <w:outlineLvl w:val="1"/>
    </w:pPr>
    <w:rPr>
      <w:b/>
      <w:bCs/>
      <w:iCs/>
      <w:szCs w:val="28"/>
    </w:rPr>
  </w:style>
  <w:style w:type="paragraph" w:styleId="Nadpis3">
    <w:name w:val="heading 3"/>
    <w:basedOn w:val="Normln"/>
    <w:next w:val="Normln"/>
    <w:uiPriority w:val="9"/>
    <w:qFormat/>
    <w:rsid w:val="00074A01"/>
    <w:pPr>
      <w:keepNext/>
      <w:keepLines/>
      <w:spacing w:before="200"/>
      <w:outlineLvl w:val="2"/>
    </w:pPr>
    <w:rPr>
      <w:rFonts w:ascii="Cambria" w:hAnsi="Cambria"/>
      <w:b/>
      <w:bCs/>
      <w:color w:val="4F81BD"/>
    </w:rPr>
  </w:style>
  <w:style w:type="paragraph" w:styleId="Nadpis4">
    <w:name w:val="heading 4"/>
    <w:basedOn w:val="Normln"/>
    <w:next w:val="Normln"/>
    <w:qFormat/>
    <w:rsid w:val="00074A01"/>
    <w:pPr>
      <w:keepNext/>
      <w:spacing w:before="240" w:after="60"/>
      <w:outlineLvl w:val="3"/>
    </w:pPr>
    <w:rPr>
      <w:rFonts w:ascii="Calibri" w:hAnsi="Calibri"/>
      <w:b/>
      <w:bCs/>
      <w:sz w:val="28"/>
      <w:szCs w:val="28"/>
    </w:rPr>
  </w:style>
  <w:style w:type="paragraph" w:styleId="Nadpis5">
    <w:name w:val="heading 5"/>
    <w:basedOn w:val="Normln"/>
    <w:next w:val="Normln"/>
    <w:qFormat/>
    <w:rsid w:val="00074A01"/>
    <w:pPr>
      <w:spacing w:before="240" w:after="60"/>
      <w:outlineLvl w:val="4"/>
    </w:pPr>
    <w:rPr>
      <w:rFonts w:ascii="Calibri" w:hAnsi="Calibri"/>
      <w:b/>
      <w:bCs/>
      <w:i/>
      <w:iCs/>
      <w:sz w:val="26"/>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uiPriority w:val="9"/>
    <w:rsid w:val="00074A01"/>
    <w:rPr>
      <w:rFonts w:ascii="Cambria" w:eastAsia="Times New Roman" w:hAnsi="Cambria" w:cs="Times New Roman"/>
      <w:b/>
      <w:bCs/>
      <w:i/>
      <w:iCs/>
      <w:sz w:val="28"/>
      <w:szCs w:val="28"/>
    </w:rPr>
  </w:style>
  <w:style w:type="paragraph" w:customStyle="1" w:styleId="Citaceintenzivn">
    <w:name w:val="Citace – intenzivní"/>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AF1F97"/>
    <w:pPr>
      <w:spacing w:before="40" w:line="276" w:lineRule="auto"/>
      <w:ind w:firstLine="284"/>
      <w:jc w:val="both"/>
    </w:pPr>
    <w:rPr>
      <w:rFonts w:eastAsia="Calibri"/>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pPr>
      <w:spacing w:after="120"/>
    </w:pPr>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nhideWhenUsed/>
    <w:rsid w:val="00074A01"/>
    <w:pPr>
      <w:spacing w:after="120"/>
      <w:ind w:left="283"/>
    </w:pPr>
  </w:style>
  <w:style w:type="character" w:customStyle="1" w:styleId="ZkladntextodsazenChar">
    <w:name w:val="Základní text odsazený Char"/>
    <w:basedOn w:val="Standardnpsmoodstavce"/>
    <w:semiHidden/>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aliases w:val="Schriftart: 9 pt,Schriftart: 10 pt,Schriftart: 8 pt,Fußnotentextf,Geneva 9,Font: Geneva 9,Boston 10,f,Text pozn. pod čarou_martin_ang,Text poznámky pod čiarou 007,pozn. pod čarou,Podrozdział,Podrozdzia3,Footnote Text Char1"/>
    <w:basedOn w:val="Normln"/>
    <w:uiPriority w:val="99"/>
    <w:unhideWhenUsed/>
    <w:rsid w:val="00074A01"/>
    <w:rPr>
      <w:sz w:val="20"/>
      <w:szCs w:val="20"/>
    </w:rPr>
  </w:style>
  <w:style w:type="character" w:customStyle="1" w:styleId="TextpoznpodarouChar">
    <w:name w:val="Text pozn. pod čarou Char"/>
    <w:aliases w:val="Schriftart: 9 pt Char,Schriftart: 10 pt Char,Schriftart: 8 pt Char,Fußnotentextf Char,Geneva 9 Char,Font: Geneva 9 Char,Boston 10 Char,f Char,Text pozn. pod čarou_martin_ang Char,Text poznámky pod čiarou 007 Char,Footnote Char"/>
    <w:basedOn w:val="Standardnpsmoodstavce"/>
    <w:uiPriority w:val="99"/>
    <w:rsid w:val="00074A01"/>
  </w:style>
  <w:style w:type="character" w:styleId="Znakapoznpodarou">
    <w:name w:val="footnote reference"/>
    <w:aliases w:val="Footnote"/>
    <w:basedOn w:val="Standardnpsmoodstavce"/>
    <w:uiPriority w:val="99"/>
    <w:semiHidden/>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basedOn w:val="Normln"/>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semiHidden/>
    <w:unhideWhenUsed/>
    <w:rsid w:val="00B667E8"/>
    <w:rPr>
      <w:sz w:val="20"/>
      <w:szCs w:val="20"/>
    </w:rPr>
  </w:style>
  <w:style w:type="character" w:customStyle="1" w:styleId="TextkomenteChar">
    <w:name w:val="Text komentáře Char"/>
    <w:basedOn w:val="Standardnpsmoodstavce"/>
    <w:link w:val="Textkomente"/>
    <w:uiPriority w:val="99"/>
    <w:semiHidden/>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59"/>
    <w:rsid w:val="00803A70"/>
    <w:rPr>
      <w:rFonts w:ascii="Arial" w:eastAsia="Calibri"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semiHidden/>
    <w:unhideWhenUsed/>
    <w:rsid w:val="00430278"/>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30278"/>
    <w:rPr>
      <w:rFonts w:ascii="Consolas" w:eastAsia="Calibri" w:hAnsi="Consolas" w:cs="Times New Roman"/>
      <w:sz w:val="21"/>
      <w:szCs w:val="21"/>
      <w:lang w:eastAsia="en-US"/>
    </w:rPr>
  </w:style>
  <w:style w:type="paragraph" w:styleId="Zkladntextodsazen3">
    <w:name w:val="Body Text Indent 3"/>
    <w:basedOn w:val="Normln"/>
    <w:link w:val="Zkladntextodsazen3Char"/>
    <w:uiPriority w:val="99"/>
    <w:unhideWhenUsed/>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unhideWhenUsed/>
    <w:rsid w:val="004827C3"/>
    <w:pPr>
      <w:spacing w:after="120" w:line="480" w:lineRule="auto"/>
    </w:pPr>
  </w:style>
  <w:style w:type="character" w:customStyle="1" w:styleId="Zkladntext2Char">
    <w:name w:val="Základní text 2 Char"/>
    <w:basedOn w:val="Standardnpsmoodstavce"/>
    <w:link w:val="Zkladntext2"/>
    <w:uiPriority w:val="99"/>
    <w:rsid w:val="004827C3"/>
    <w:rPr>
      <w:rFonts w:ascii="Arial" w:hAnsi="Arial"/>
      <w:sz w:val="24"/>
      <w:szCs w:val="24"/>
    </w:rPr>
  </w:style>
  <w:style w:type="character" w:customStyle="1" w:styleId="st">
    <w:name w:val="st"/>
    <w:basedOn w:val="Standardnpsmoodstavce"/>
    <w:rsid w:val="00BA14BE"/>
  </w:style>
  <w:style w:type="paragraph" w:customStyle="1" w:styleId="Default">
    <w:name w:val="Default"/>
    <w:rsid w:val="009E2017"/>
    <w:pPr>
      <w:autoSpaceDE w:val="0"/>
      <w:autoSpaceDN w:val="0"/>
      <w:adjustRightInd w:val="0"/>
    </w:pPr>
    <w:rPr>
      <w:rFonts w:ascii="Arial" w:hAnsi="Arial" w:cs="Arial"/>
      <w:color w:val="000000"/>
      <w:sz w:val="24"/>
      <w:szCs w:val="24"/>
      <w:lang w:eastAsia="en-US"/>
    </w:rPr>
  </w:style>
  <w:style w:type="paragraph" w:customStyle="1" w:styleId="1111Headline">
    <w:name w:val="1.1.1.1 Headline"/>
    <w:basedOn w:val="Normln"/>
    <w:rsid w:val="00252DA5"/>
    <w:rPr>
      <w:b/>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39E5"/>
    <w:rPr>
      <w:rFonts w:ascii="Arial" w:hAnsi="Arial"/>
      <w:sz w:val="24"/>
      <w:szCs w:val="24"/>
    </w:rPr>
  </w:style>
  <w:style w:type="paragraph" w:styleId="Nadpis1">
    <w:name w:val="heading 1"/>
    <w:basedOn w:val="Normln"/>
    <w:next w:val="Normln"/>
    <w:qFormat/>
    <w:rsid w:val="00FB1C90"/>
    <w:pPr>
      <w:keepNext/>
      <w:keepLines/>
      <w:suppressAutoHyphens/>
      <w:overflowPunct w:val="0"/>
      <w:autoSpaceDE w:val="0"/>
      <w:autoSpaceDN w:val="0"/>
      <w:adjustRightInd w:val="0"/>
      <w:spacing w:before="480" w:after="240"/>
      <w:textAlignment w:val="baseline"/>
      <w:outlineLvl w:val="0"/>
    </w:pPr>
    <w:rPr>
      <w:b/>
      <w:kern w:val="36"/>
      <w:sz w:val="28"/>
      <w:szCs w:val="20"/>
    </w:rPr>
  </w:style>
  <w:style w:type="paragraph" w:styleId="Nadpis2">
    <w:name w:val="heading 2"/>
    <w:basedOn w:val="Normln"/>
    <w:next w:val="Normln"/>
    <w:uiPriority w:val="9"/>
    <w:qFormat/>
    <w:rsid w:val="00FB1C90"/>
    <w:pPr>
      <w:keepNext/>
      <w:spacing w:before="240" w:after="60"/>
      <w:outlineLvl w:val="1"/>
    </w:pPr>
    <w:rPr>
      <w:b/>
      <w:bCs/>
      <w:iCs/>
      <w:szCs w:val="28"/>
    </w:rPr>
  </w:style>
  <w:style w:type="paragraph" w:styleId="Nadpis3">
    <w:name w:val="heading 3"/>
    <w:basedOn w:val="Normln"/>
    <w:next w:val="Normln"/>
    <w:uiPriority w:val="9"/>
    <w:qFormat/>
    <w:rsid w:val="00074A01"/>
    <w:pPr>
      <w:keepNext/>
      <w:keepLines/>
      <w:spacing w:before="200"/>
      <w:outlineLvl w:val="2"/>
    </w:pPr>
    <w:rPr>
      <w:rFonts w:ascii="Cambria" w:hAnsi="Cambria"/>
      <w:b/>
      <w:bCs/>
      <w:color w:val="4F81BD"/>
    </w:rPr>
  </w:style>
  <w:style w:type="paragraph" w:styleId="Nadpis4">
    <w:name w:val="heading 4"/>
    <w:basedOn w:val="Normln"/>
    <w:next w:val="Normln"/>
    <w:qFormat/>
    <w:rsid w:val="00074A01"/>
    <w:pPr>
      <w:keepNext/>
      <w:spacing w:before="240" w:after="60"/>
      <w:outlineLvl w:val="3"/>
    </w:pPr>
    <w:rPr>
      <w:rFonts w:ascii="Calibri" w:hAnsi="Calibri"/>
      <w:b/>
      <w:bCs/>
      <w:sz w:val="28"/>
      <w:szCs w:val="28"/>
    </w:rPr>
  </w:style>
  <w:style w:type="paragraph" w:styleId="Nadpis5">
    <w:name w:val="heading 5"/>
    <w:basedOn w:val="Normln"/>
    <w:next w:val="Normln"/>
    <w:qFormat/>
    <w:rsid w:val="00074A01"/>
    <w:pPr>
      <w:spacing w:before="240" w:after="60"/>
      <w:outlineLvl w:val="4"/>
    </w:pPr>
    <w:rPr>
      <w:rFonts w:ascii="Calibri" w:hAnsi="Calibri"/>
      <w:b/>
      <w:bCs/>
      <w:i/>
      <w:iCs/>
      <w:sz w:val="26"/>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uiPriority w:val="9"/>
    <w:rsid w:val="00074A01"/>
    <w:rPr>
      <w:rFonts w:ascii="Cambria" w:eastAsia="Times New Roman" w:hAnsi="Cambria" w:cs="Times New Roman"/>
      <w:b/>
      <w:bCs/>
      <w:i/>
      <w:iCs/>
      <w:sz w:val="28"/>
      <w:szCs w:val="28"/>
    </w:rPr>
  </w:style>
  <w:style w:type="paragraph" w:customStyle="1" w:styleId="Citaceintenzivn">
    <w:name w:val="Citace – intenzivní"/>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AF1F97"/>
    <w:pPr>
      <w:spacing w:before="40" w:line="276" w:lineRule="auto"/>
      <w:ind w:firstLine="284"/>
      <w:jc w:val="both"/>
    </w:pPr>
    <w:rPr>
      <w:rFonts w:eastAsia="Calibri"/>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pPr>
      <w:spacing w:after="120"/>
    </w:pPr>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nhideWhenUsed/>
    <w:rsid w:val="00074A01"/>
    <w:pPr>
      <w:spacing w:after="120"/>
      <w:ind w:left="283"/>
    </w:pPr>
  </w:style>
  <w:style w:type="character" w:customStyle="1" w:styleId="ZkladntextodsazenChar">
    <w:name w:val="Základní text odsazený Char"/>
    <w:basedOn w:val="Standardnpsmoodstavce"/>
    <w:semiHidden/>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aliases w:val="Schriftart: 9 pt,Schriftart: 10 pt,Schriftart: 8 pt,Fußnotentextf,Geneva 9,Font: Geneva 9,Boston 10,f,Text pozn. pod čarou_martin_ang,Text poznámky pod čiarou 007,pozn. pod čarou,Podrozdział,Podrozdzia3,Footnote Text Char1"/>
    <w:basedOn w:val="Normln"/>
    <w:uiPriority w:val="99"/>
    <w:unhideWhenUsed/>
    <w:rsid w:val="00074A01"/>
    <w:rPr>
      <w:sz w:val="20"/>
      <w:szCs w:val="20"/>
    </w:rPr>
  </w:style>
  <w:style w:type="character" w:customStyle="1" w:styleId="TextpoznpodarouChar">
    <w:name w:val="Text pozn. pod čarou Char"/>
    <w:aliases w:val="Schriftart: 9 pt Char,Schriftart: 10 pt Char,Schriftart: 8 pt Char,Fußnotentextf Char,Geneva 9 Char,Font: Geneva 9 Char,Boston 10 Char,f Char,Text pozn. pod čarou_martin_ang Char,Text poznámky pod čiarou 007 Char,Footnote Char"/>
    <w:basedOn w:val="Standardnpsmoodstavce"/>
    <w:uiPriority w:val="99"/>
    <w:rsid w:val="00074A01"/>
  </w:style>
  <w:style w:type="character" w:styleId="Znakapoznpodarou">
    <w:name w:val="footnote reference"/>
    <w:aliases w:val="Footnote"/>
    <w:basedOn w:val="Standardnpsmoodstavce"/>
    <w:uiPriority w:val="99"/>
    <w:semiHidden/>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basedOn w:val="Normln"/>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semiHidden/>
    <w:unhideWhenUsed/>
    <w:rsid w:val="00B667E8"/>
    <w:rPr>
      <w:sz w:val="20"/>
      <w:szCs w:val="20"/>
    </w:rPr>
  </w:style>
  <w:style w:type="character" w:customStyle="1" w:styleId="TextkomenteChar">
    <w:name w:val="Text komentáře Char"/>
    <w:basedOn w:val="Standardnpsmoodstavce"/>
    <w:link w:val="Textkomente"/>
    <w:uiPriority w:val="99"/>
    <w:semiHidden/>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59"/>
    <w:rsid w:val="00803A70"/>
    <w:rPr>
      <w:rFonts w:ascii="Arial" w:eastAsia="Calibri"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semiHidden/>
    <w:unhideWhenUsed/>
    <w:rsid w:val="00430278"/>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30278"/>
    <w:rPr>
      <w:rFonts w:ascii="Consolas" w:eastAsia="Calibri" w:hAnsi="Consolas" w:cs="Times New Roman"/>
      <w:sz w:val="21"/>
      <w:szCs w:val="21"/>
      <w:lang w:eastAsia="en-US"/>
    </w:rPr>
  </w:style>
  <w:style w:type="paragraph" w:styleId="Zkladntextodsazen3">
    <w:name w:val="Body Text Indent 3"/>
    <w:basedOn w:val="Normln"/>
    <w:link w:val="Zkladntextodsazen3Char"/>
    <w:uiPriority w:val="99"/>
    <w:unhideWhenUsed/>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unhideWhenUsed/>
    <w:rsid w:val="004827C3"/>
    <w:pPr>
      <w:spacing w:after="120" w:line="480" w:lineRule="auto"/>
    </w:pPr>
  </w:style>
  <w:style w:type="character" w:customStyle="1" w:styleId="Zkladntext2Char">
    <w:name w:val="Základní text 2 Char"/>
    <w:basedOn w:val="Standardnpsmoodstavce"/>
    <w:link w:val="Zkladntext2"/>
    <w:uiPriority w:val="99"/>
    <w:rsid w:val="004827C3"/>
    <w:rPr>
      <w:rFonts w:ascii="Arial" w:hAnsi="Arial"/>
      <w:sz w:val="24"/>
      <w:szCs w:val="24"/>
    </w:rPr>
  </w:style>
  <w:style w:type="character" w:customStyle="1" w:styleId="st">
    <w:name w:val="st"/>
    <w:basedOn w:val="Standardnpsmoodstavce"/>
    <w:rsid w:val="00BA14BE"/>
  </w:style>
  <w:style w:type="paragraph" w:customStyle="1" w:styleId="Default">
    <w:name w:val="Default"/>
    <w:rsid w:val="009E2017"/>
    <w:pPr>
      <w:autoSpaceDE w:val="0"/>
      <w:autoSpaceDN w:val="0"/>
      <w:adjustRightInd w:val="0"/>
    </w:pPr>
    <w:rPr>
      <w:rFonts w:ascii="Arial" w:hAnsi="Arial" w:cs="Arial"/>
      <w:color w:val="000000"/>
      <w:sz w:val="24"/>
      <w:szCs w:val="24"/>
      <w:lang w:eastAsia="en-US"/>
    </w:rPr>
  </w:style>
  <w:style w:type="paragraph" w:customStyle="1" w:styleId="1111Headline">
    <w:name w:val="1.1.1.1 Headline"/>
    <w:basedOn w:val="Normln"/>
    <w:rsid w:val="00252DA5"/>
    <w:rPr>
      <w:b/>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5727">
      <w:bodyDiv w:val="1"/>
      <w:marLeft w:val="0"/>
      <w:marRight w:val="0"/>
      <w:marTop w:val="0"/>
      <w:marBottom w:val="0"/>
      <w:divBdr>
        <w:top w:val="none" w:sz="0" w:space="0" w:color="auto"/>
        <w:left w:val="none" w:sz="0" w:space="0" w:color="auto"/>
        <w:bottom w:val="none" w:sz="0" w:space="0" w:color="auto"/>
        <w:right w:val="none" w:sz="0" w:space="0" w:color="auto"/>
      </w:divBdr>
    </w:div>
    <w:div w:id="254753858">
      <w:bodyDiv w:val="1"/>
      <w:marLeft w:val="0"/>
      <w:marRight w:val="0"/>
      <w:marTop w:val="0"/>
      <w:marBottom w:val="0"/>
      <w:divBdr>
        <w:top w:val="none" w:sz="0" w:space="0" w:color="auto"/>
        <w:left w:val="none" w:sz="0" w:space="0" w:color="auto"/>
        <w:bottom w:val="none" w:sz="0" w:space="0" w:color="auto"/>
        <w:right w:val="none" w:sz="0" w:space="0" w:color="auto"/>
      </w:divBdr>
      <w:divsChild>
        <w:div w:id="385613838">
          <w:marLeft w:val="0"/>
          <w:marRight w:val="0"/>
          <w:marTop w:val="0"/>
          <w:marBottom w:val="0"/>
          <w:divBdr>
            <w:top w:val="none" w:sz="0" w:space="0" w:color="auto"/>
            <w:left w:val="none" w:sz="0" w:space="0" w:color="auto"/>
            <w:bottom w:val="none" w:sz="0" w:space="0" w:color="auto"/>
            <w:right w:val="none" w:sz="0" w:space="0" w:color="auto"/>
          </w:divBdr>
          <w:divsChild>
            <w:div w:id="927734169">
              <w:marLeft w:val="0"/>
              <w:marRight w:val="0"/>
              <w:marTop w:val="0"/>
              <w:marBottom w:val="0"/>
              <w:divBdr>
                <w:top w:val="none" w:sz="0" w:space="0" w:color="auto"/>
                <w:left w:val="none" w:sz="0" w:space="0" w:color="auto"/>
                <w:bottom w:val="none" w:sz="0" w:space="0" w:color="auto"/>
                <w:right w:val="none" w:sz="0" w:space="0" w:color="auto"/>
              </w:divBdr>
              <w:divsChild>
                <w:div w:id="523206640">
                  <w:marLeft w:val="0"/>
                  <w:marRight w:val="0"/>
                  <w:marTop w:val="0"/>
                  <w:marBottom w:val="0"/>
                  <w:divBdr>
                    <w:top w:val="single" w:sz="6" w:space="6" w:color="E5E5E5"/>
                    <w:left w:val="single" w:sz="6" w:space="8" w:color="E5E5E5"/>
                    <w:bottom w:val="single" w:sz="6" w:space="6" w:color="E5E5E5"/>
                    <w:right w:val="single" w:sz="6" w:space="8" w:color="E5E5E5"/>
                  </w:divBdr>
                  <w:divsChild>
                    <w:div w:id="677778214">
                      <w:marLeft w:val="0"/>
                      <w:marRight w:val="0"/>
                      <w:marTop w:val="0"/>
                      <w:marBottom w:val="0"/>
                      <w:divBdr>
                        <w:top w:val="none" w:sz="0" w:space="0" w:color="auto"/>
                        <w:left w:val="none" w:sz="0" w:space="0" w:color="auto"/>
                        <w:bottom w:val="none" w:sz="0" w:space="0" w:color="auto"/>
                        <w:right w:val="none" w:sz="0" w:space="0" w:color="auto"/>
                      </w:divBdr>
                      <w:divsChild>
                        <w:div w:id="1613246865">
                          <w:marLeft w:val="0"/>
                          <w:marRight w:val="0"/>
                          <w:marTop w:val="0"/>
                          <w:marBottom w:val="0"/>
                          <w:divBdr>
                            <w:top w:val="none" w:sz="0" w:space="0" w:color="auto"/>
                            <w:left w:val="none" w:sz="0" w:space="0" w:color="auto"/>
                            <w:bottom w:val="none" w:sz="0" w:space="0" w:color="auto"/>
                            <w:right w:val="none" w:sz="0" w:space="0" w:color="auto"/>
                          </w:divBdr>
                          <w:divsChild>
                            <w:div w:id="658847513">
                              <w:marLeft w:val="0"/>
                              <w:marRight w:val="0"/>
                              <w:marTop w:val="0"/>
                              <w:marBottom w:val="0"/>
                              <w:divBdr>
                                <w:top w:val="none" w:sz="0" w:space="0" w:color="auto"/>
                                <w:left w:val="none" w:sz="0" w:space="0" w:color="auto"/>
                                <w:bottom w:val="none" w:sz="0" w:space="0" w:color="auto"/>
                                <w:right w:val="none" w:sz="0" w:space="0" w:color="auto"/>
                              </w:divBdr>
                              <w:divsChild>
                                <w:div w:id="318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998660">
      <w:bodyDiv w:val="1"/>
      <w:marLeft w:val="0"/>
      <w:marRight w:val="0"/>
      <w:marTop w:val="0"/>
      <w:marBottom w:val="0"/>
      <w:divBdr>
        <w:top w:val="none" w:sz="0" w:space="0" w:color="auto"/>
        <w:left w:val="none" w:sz="0" w:space="0" w:color="auto"/>
        <w:bottom w:val="none" w:sz="0" w:space="0" w:color="auto"/>
        <w:right w:val="none" w:sz="0" w:space="0" w:color="auto"/>
      </w:divBdr>
      <w:divsChild>
        <w:div w:id="1739816242">
          <w:marLeft w:val="0"/>
          <w:marRight w:val="0"/>
          <w:marTop w:val="0"/>
          <w:marBottom w:val="0"/>
          <w:divBdr>
            <w:top w:val="none" w:sz="0" w:space="0" w:color="auto"/>
            <w:left w:val="none" w:sz="0" w:space="0" w:color="auto"/>
            <w:bottom w:val="none" w:sz="0" w:space="0" w:color="auto"/>
            <w:right w:val="none" w:sz="0" w:space="0" w:color="auto"/>
          </w:divBdr>
          <w:divsChild>
            <w:div w:id="2031569394">
              <w:marLeft w:val="0"/>
              <w:marRight w:val="0"/>
              <w:marTop w:val="0"/>
              <w:marBottom w:val="0"/>
              <w:divBdr>
                <w:top w:val="none" w:sz="0" w:space="0" w:color="auto"/>
                <w:left w:val="none" w:sz="0" w:space="0" w:color="auto"/>
                <w:bottom w:val="none" w:sz="0" w:space="0" w:color="auto"/>
                <w:right w:val="none" w:sz="0" w:space="0" w:color="auto"/>
              </w:divBdr>
              <w:divsChild>
                <w:div w:id="4286795">
                  <w:marLeft w:val="0"/>
                  <w:marRight w:val="0"/>
                  <w:marTop w:val="0"/>
                  <w:marBottom w:val="0"/>
                  <w:divBdr>
                    <w:top w:val="single" w:sz="6" w:space="6" w:color="E5E5E5"/>
                    <w:left w:val="single" w:sz="6" w:space="8" w:color="E5E5E5"/>
                    <w:bottom w:val="single" w:sz="6" w:space="6" w:color="E5E5E5"/>
                    <w:right w:val="single" w:sz="6" w:space="8" w:color="E5E5E5"/>
                  </w:divBdr>
                  <w:divsChild>
                    <w:div w:id="1722367724">
                      <w:marLeft w:val="0"/>
                      <w:marRight w:val="0"/>
                      <w:marTop w:val="0"/>
                      <w:marBottom w:val="0"/>
                      <w:divBdr>
                        <w:top w:val="none" w:sz="0" w:space="0" w:color="auto"/>
                        <w:left w:val="none" w:sz="0" w:space="0" w:color="auto"/>
                        <w:bottom w:val="none" w:sz="0" w:space="0" w:color="auto"/>
                        <w:right w:val="none" w:sz="0" w:space="0" w:color="auto"/>
                      </w:divBdr>
                      <w:divsChild>
                        <w:div w:id="1127241139">
                          <w:marLeft w:val="0"/>
                          <w:marRight w:val="0"/>
                          <w:marTop w:val="0"/>
                          <w:marBottom w:val="0"/>
                          <w:divBdr>
                            <w:top w:val="none" w:sz="0" w:space="0" w:color="auto"/>
                            <w:left w:val="none" w:sz="0" w:space="0" w:color="auto"/>
                            <w:bottom w:val="none" w:sz="0" w:space="0" w:color="auto"/>
                            <w:right w:val="none" w:sz="0" w:space="0" w:color="auto"/>
                          </w:divBdr>
                          <w:divsChild>
                            <w:div w:id="2081974635">
                              <w:marLeft w:val="0"/>
                              <w:marRight w:val="0"/>
                              <w:marTop w:val="0"/>
                              <w:marBottom w:val="0"/>
                              <w:divBdr>
                                <w:top w:val="none" w:sz="0" w:space="0" w:color="auto"/>
                                <w:left w:val="none" w:sz="0" w:space="0" w:color="auto"/>
                                <w:bottom w:val="none" w:sz="0" w:space="0" w:color="auto"/>
                                <w:right w:val="none" w:sz="0" w:space="0" w:color="auto"/>
                              </w:divBdr>
                              <w:divsChild>
                                <w:div w:id="13161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296893">
      <w:bodyDiv w:val="1"/>
      <w:marLeft w:val="0"/>
      <w:marRight w:val="0"/>
      <w:marTop w:val="0"/>
      <w:marBottom w:val="0"/>
      <w:divBdr>
        <w:top w:val="none" w:sz="0" w:space="0" w:color="auto"/>
        <w:left w:val="none" w:sz="0" w:space="0" w:color="auto"/>
        <w:bottom w:val="none" w:sz="0" w:space="0" w:color="auto"/>
        <w:right w:val="none" w:sz="0" w:space="0" w:color="auto"/>
      </w:divBdr>
    </w:div>
    <w:div w:id="684096557">
      <w:bodyDiv w:val="1"/>
      <w:marLeft w:val="0"/>
      <w:marRight w:val="0"/>
      <w:marTop w:val="0"/>
      <w:marBottom w:val="0"/>
      <w:divBdr>
        <w:top w:val="none" w:sz="0" w:space="0" w:color="auto"/>
        <w:left w:val="none" w:sz="0" w:space="0" w:color="auto"/>
        <w:bottom w:val="none" w:sz="0" w:space="0" w:color="auto"/>
        <w:right w:val="none" w:sz="0" w:space="0" w:color="auto"/>
      </w:divBdr>
    </w:div>
    <w:div w:id="722171873">
      <w:bodyDiv w:val="1"/>
      <w:marLeft w:val="0"/>
      <w:marRight w:val="0"/>
      <w:marTop w:val="0"/>
      <w:marBottom w:val="0"/>
      <w:divBdr>
        <w:top w:val="none" w:sz="0" w:space="0" w:color="auto"/>
        <w:left w:val="none" w:sz="0" w:space="0" w:color="auto"/>
        <w:bottom w:val="none" w:sz="0" w:space="0" w:color="auto"/>
        <w:right w:val="none" w:sz="0" w:space="0" w:color="auto"/>
      </w:divBdr>
    </w:div>
    <w:div w:id="791048687">
      <w:bodyDiv w:val="1"/>
      <w:marLeft w:val="0"/>
      <w:marRight w:val="0"/>
      <w:marTop w:val="0"/>
      <w:marBottom w:val="0"/>
      <w:divBdr>
        <w:top w:val="none" w:sz="0" w:space="0" w:color="auto"/>
        <w:left w:val="none" w:sz="0" w:space="0" w:color="auto"/>
        <w:bottom w:val="none" w:sz="0" w:space="0" w:color="auto"/>
        <w:right w:val="none" w:sz="0" w:space="0" w:color="auto"/>
      </w:divBdr>
    </w:div>
    <w:div w:id="885020332">
      <w:bodyDiv w:val="1"/>
      <w:marLeft w:val="0"/>
      <w:marRight w:val="0"/>
      <w:marTop w:val="0"/>
      <w:marBottom w:val="0"/>
      <w:divBdr>
        <w:top w:val="none" w:sz="0" w:space="0" w:color="auto"/>
        <w:left w:val="none" w:sz="0" w:space="0" w:color="auto"/>
        <w:bottom w:val="none" w:sz="0" w:space="0" w:color="auto"/>
        <w:right w:val="none" w:sz="0" w:space="0" w:color="auto"/>
      </w:divBdr>
    </w:div>
    <w:div w:id="980768610">
      <w:bodyDiv w:val="1"/>
      <w:marLeft w:val="0"/>
      <w:marRight w:val="0"/>
      <w:marTop w:val="0"/>
      <w:marBottom w:val="0"/>
      <w:divBdr>
        <w:top w:val="none" w:sz="0" w:space="0" w:color="auto"/>
        <w:left w:val="none" w:sz="0" w:space="0" w:color="auto"/>
        <w:bottom w:val="none" w:sz="0" w:space="0" w:color="auto"/>
        <w:right w:val="none" w:sz="0" w:space="0" w:color="auto"/>
      </w:divBdr>
    </w:div>
    <w:div w:id="1036810449">
      <w:bodyDiv w:val="1"/>
      <w:marLeft w:val="0"/>
      <w:marRight w:val="0"/>
      <w:marTop w:val="0"/>
      <w:marBottom w:val="0"/>
      <w:divBdr>
        <w:top w:val="none" w:sz="0" w:space="0" w:color="auto"/>
        <w:left w:val="none" w:sz="0" w:space="0" w:color="auto"/>
        <w:bottom w:val="none" w:sz="0" w:space="0" w:color="auto"/>
        <w:right w:val="none" w:sz="0" w:space="0" w:color="auto"/>
      </w:divBdr>
    </w:div>
    <w:div w:id="1043291036">
      <w:bodyDiv w:val="1"/>
      <w:marLeft w:val="0"/>
      <w:marRight w:val="0"/>
      <w:marTop w:val="0"/>
      <w:marBottom w:val="0"/>
      <w:divBdr>
        <w:top w:val="none" w:sz="0" w:space="0" w:color="auto"/>
        <w:left w:val="none" w:sz="0" w:space="0" w:color="auto"/>
        <w:bottom w:val="none" w:sz="0" w:space="0" w:color="auto"/>
        <w:right w:val="none" w:sz="0" w:space="0" w:color="auto"/>
      </w:divBdr>
    </w:div>
    <w:div w:id="1245722959">
      <w:bodyDiv w:val="1"/>
      <w:marLeft w:val="0"/>
      <w:marRight w:val="0"/>
      <w:marTop w:val="0"/>
      <w:marBottom w:val="0"/>
      <w:divBdr>
        <w:top w:val="none" w:sz="0" w:space="0" w:color="auto"/>
        <w:left w:val="none" w:sz="0" w:space="0" w:color="auto"/>
        <w:bottom w:val="none" w:sz="0" w:space="0" w:color="auto"/>
        <w:right w:val="none" w:sz="0" w:space="0" w:color="auto"/>
      </w:divBdr>
    </w:div>
    <w:div w:id="1268998448">
      <w:bodyDiv w:val="1"/>
      <w:marLeft w:val="0"/>
      <w:marRight w:val="0"/>
      <w:marTop w:val="0"/>
      <w:marBottom w:val="0"/>
      <w:divBdr>
        <w:top w:val="none" w:sz="0" w:space="0" w:color="auto"/>
        <w:left w:val="none" w:sz="0" w:space="0" w:color="auto"/>
        <w:bottom w:val="none" w:sz="0" w:space="0" w:color="auto"/>
        <w:right w:val="none" w:sz="0" w:space="0" w:color="auto"/>
      </w:divBdr>
    </w:div>
    <w:div w:id="1338314722">
      <w:bodyDiv w:val="1"/>
      <w:marLeft w:val="0"/>
      <w:marRight w:val="0"/>
      <w:marTop w:val="0"/>
      <w:marBottom w:val="0"/>
      <w:divBdr>
        <w:top w:val="none" w:sz="0" w:space="0" w:color="auto"/>
        <w:left w:val="none" w:sz="0" w:space="0" w:color="auto"/>
        <w:bottom w:val="none" w:sz="0" w:space="0" w:color="auto"/>
        <w:right w:val="none" w:sz="0" w:space="0" w:color="auto"/>
      </w:divBdr>
    </w:div>
    <w:div w:id="1602487526">
      <w:bodyDiv w:val="1"/>
      <w:marLeft w:val="0"/>
      <w:marRight w:val="0"/>
      <w:marTop w:val="0"/>
      <w:marBottom w:val="0"/>
      <w:divBdr>
        <w:top w:val="none" w:sz="0" w:space="0" w:color="auto"/>
        <w:left w:val="none" w:sz="0" w:space="0" w:color="auto"/>
        <w:bottom w:val="none" w:sz="0" w:space="0" w:color="auto"/>
        <w:right w:val="none" w:sz="0" w:space="0" w:color="auto"/>
      </w:divBdr>
    </w:div>
    <w:div w:id="1696080843">
      <w:bodyDiv w:val="1"/>
      <w:marLeft w:val="0"/>
      <w:marRight w:val="0"/>
      <w:marTop w:val="0"/>
      <w:marBottom w:val="0"/>
      <w:divBdr>
        <w:top w:val="none" w:sz="0" w:space="0" w:color="auto"/>
        <w:left w:val="none" w:sz="0" w:space="0" w:color="auto"/>
        <w:bottom w:val="none" w:sz="0" w:space="0" w:color="auto"/>
        <w:right w:val="none" w:sz="0" w:space="0" w:color="auto"/>
      </w:divBdr>
    </w:div>
    <w:div w:id="1709142317">
      <w:bodyDiv w:val="1"/>
      <w:marLeft w:val="0"/>
      <w:marRight w:val="0"/>
      <w:marTop w:val="0"/>
      <w:marBottom w:val="0"/>
      <w:divBdr>
        <w:top w:val="none" w:sz="0" w:space="0" w:color="auto"/>
        <w:left w:val="none" w:sz="0" w:space="0" w:color="auto"/>
        <w:bottom w:val="none" w:sz="0" w:space="0" w:color="auto"/>
        <w:right w:val="none" w:sz="0" w:space="0" w:color="auto"/>
      </w:divBdr>
    </w:div>
    <w:div w:id="1851984953">
      <w:bodyDiv w:val="1"/>
      <w:marLeft w:val="0"/>
      <w:marRight w:val="0"/>
      <w:marTop w:val="0"/>
      <w:marBottom w:val="0"/>
      <w:divBdr>
        <w:top w:val="none" w:sz="0" w:space="0" w:color="auto"/>
        <w:left w:val="none" w:sz="0" w:space="0" w:color="auto"/>
        <w:bottom w:val="none" w:sz="0" w:space="0" w:color="auto"/>
        <w:right w:val="none" w:sz="0" w:space="0" w:color="auto"/>
      </w:divBdr>
    </w:div>
    <w:div w:id="1972785483">
      <w:bodyDiv w:val="1"/>
      <w:marLeft w:val="0"/>
      <w:marRight w:val="0"/>
      <w:marTop w:val="0"/>
      <w:marBottom w:val="0"/>
      <w:divBdr>
        <w:top w:val="none" w:sz="0" w:space="0" w:color="auto"/>
        <w:left w:val="none" w:sz="0" w:space="0" w:color="auto"/>
        <w:bottom w:val="none" w:sz="0" w:space="0" w:color="auto"/>
        <w:right w:val="none" w:sz="0" w:space="0" w:color="auto"/>
      </w:divBdr>
    </w:div>
    <w:div w:id="1980185286">
      <w:bodyDiv w:val="1"/>
      <w:marLeft w:val="0"/>
      <w:marRight w:val="0"/>
      <w:marTop w:val="0"/>
      <w:marBottom w:val="0"/>
      <w:divBdr>
        <w:top w:val="none" w:sz="0" w:space="0" w:color="auto"/>
        <w:left w:val="none" w:sz="0" w:space="0" w:color="auto"/>
        <w:bottom w:val="none" w:sz="0" w:space="0" w:color="auto"/>
        <w:right w:val="none" w:sz="0" w:space="0" w:color="auto"/>
      </w:divBdr>
    </w:div>
    <w:div w:id="2010715151">
      <w:bodyDiv w:val="1"/>
      <w:marLeft w:val="0"/>
      <w:marRight w:val="0"/>
      <w:marTop w:val="0"/>
      <w:marBottom w:val="0"/>
      <w:divBdr>
        <w:top w:val="none" w:sz="0" w:space="0" w:color="auto"/>
        <w:left w:val="none" w:sz="0" w:space="0" w:color="auto"/>
        <w:bottom w:val="none" w:sz="0" w:space="0" w:color="auto"/>
        <w:right w:val="none" w:sz="0" w:space="0" w:color="auto"/>
      </w:divBdr>
    </w:div>
    <w:div w:id="2109234434">
      <w:bodyDiv w:val="1"/>
      <w:marLeft w:val="0"/>
      <w:marRight w:val="0"/>
      <w:marTop w:val="0"/>
      <w:marBottom w:val="0"/>
      <w:divBdr>
        <w:top w:val="none" w:sz="0" w:space="0" w:color="auto"/>
        <w:left w:val="none" w:sz="0" w:space="0" w:color="auto"/>
        <w:bottom w:val="none" w:sz="0" w:space="0" w:color="auto"/>
        <w:right w:val="none" w:sz="0" w:space="0" w:color="auto"/>
      </w:divBdr>
    </w:div>
    <w:div w:id="21256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31654-72D1-4294-A488-3C49C55E2F6E}"/>
</file>

<file path=customXml/itemProps2.xml><?xml version="1.0" encoding="utf-8"?>
<ds:datastoreItem xmlns:ds="http://schemas.openxmlformats.org/officeDocument/2006/customXml" ds:itemID="{E9F4E86C-963A-456A-B0EE-2BD828E24B85}"/>
</file>

<file path=customXml/itemProps3.xml><?xml version="1.0" encoding="utf-8"?>
<ds:datastoreItem xmlns:ds="http://schemas.openxmlformats.org/officeDocument/2006/customXml" ds:itemID="{80990673-729F-4596-8C58-4E91838B5E9D}"/>
</file>

<file path=customXml/itemProps4.xml><?xml version="1.0" encoding="utf-8"?>
<ds:datastoreItem xmlns:ds="http://schemas.openxmlformats.org/officeDocument/2006/customXml" ds:itemID="{8C579A80-DE5F-45E5-9C65-69EDF66082CC}"/>
</file>

<file path=docProps/app.xml><?xml version="1.0" encoding="utf-8"?>
<Properties xmlns="http://schemas.openxmlformats.org/officeDocument/2006/extended-properties" xmlns:vt="http://schemas.openxmlformats.org/officeDocument/2006/docPropsVTypes">
  <Template>Normal</Template>
  <TotalTime>0</TotalTime>
  <Pages>29</Pages>
  <Words>10266</Words>
  <Characters>60574</Characters>
  <Application>Microsoft Office Word</Application>
  <DocSecurity>4</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70699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12/08</dc:title>
  <dc:creator>KABÁTEK Štefan</dc:creator>
  <cp:lastModifiedBy>GREŠOVÁ Romana</cp:lastModifiedBy>
  <cp:revision>2</cp:revision>
  <cp:lastPrinted>2013-01-28T15:59:00Z</cp:lastPrinted>
  <dcterms:created xsi:type="dcterms:W3CDTF">2013-02-11T08:15:00Z</dcterms:created>
  <dcterms:modified xsi:type="dcterms:W3CDTF">2013-02-11T08:15:00Z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