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B8B" w:rsidRDefault="00AC4B8B" w:rsidP="00AC4B8B">
      <w:pPr>
        <w:jc w:val="center"/>
        <w:rPr>
          <w:rFonts w:cs="Arial"/>
          <w:b/>
          <w:color w:val="000000"/>
          <w:sz w:val="28"/>
          <w:szCs w:val="28"/>
        </w:rPr>
      </w:pPr>
      <w:r>
        <w:rPr>
          <w:rFonts w:cs="Arial"/>
          <w:b/>
          <w:noProof/>
          <w:color w:val="000000"/>
          <w:sz w:val="28"/>
          <w:szCs w:val="28"/>
          <w:lang w:eastAsia="cs-CZ"/>
        </w:rPr>
        <w:drawing>
          <wp:inline distT="0" distB="0" distL="0" distR="0">
            <wp:extent cx="800100" cy="5715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571500"/>
                    </a:xfrm>
                    <a:prstGeom prst="rect">
                      <a:avLst/>
                    </a:prstGeom>
                    <a:noFill/>
                  </pic:spPr>
                </pic:pic>
              </a:graphicData>
            </a:graphic>
          </wp:inline>
        </w:drawing>
      </w:r>
    </w:p>
    <w:p w:rsidR="00AC4B8B" w:rsidRDefault="00AC4B8B" w:rsidP="00AC4B8B">
      <w:pPr>
        <w:jc w:val="center"/>
        <w:rPr>
          <w:rFonts w:cs="Arial"/>
          <w:b/>
          <w:color w:val="000000"/>
          <w:sz w:val="28"/>
          <w:szCs w:val="28"/>
        </w:rPr>
      </w:pPr>
    </w:p>
    <w:p w:rsidR="00AC4B8B" w:rsidRPr="00F935DC" w:rsidRDefault="00AC4B8B" w:rsidP="00AC4B8B">
      <w:pPr>
        <w:jc w:val="center"/>
        <w:rPr>
          <w:rFonts w:cs="Arial"/>
          <w:b/>
          <w:color w:val="000000"/>
          <w:sz w:val="28"/>
          <w:szCs w:val="28"/>
        </w:rPr>
      </w:pPr>
      <w:r w:rsidRPr="00F935DC">
        <w:rPr>
          <w:rFonts w:cs="Arial"/>
          <w:b/>
          <w:color w:val="000000"/>
          <w:sz w:val="28"/>
          <w:szCs w:val="28"/>
        </w:rPr>
        <w:t>Kontrolní závěr z kontrolní akce</w:t>
      </w:r>
    </w:p>
    <w:p w:rsidR="00AC4B8B" w:rsidRPr="00F935DC" w:rsidRDefault="00AC4B8B" w:rsidP="00AC4B8B">
      <w:pPr>
        <w:jc w:val="center"/>
        <w:rPr>
          <w:rFonts w:cs="Arial"/>
          <w:color w:val="000000"/>
        </w:rPr>
      </w:pPr>
    </w:p>
    <w:p w:rsidR="00AC4B8B" w:rsidRPr="00F935DC" w:rsidRDefault="00AC4B8B" w:rsidP="00AC4B8B">
      <w:pPr>
        <w:jc w:val="center"/>
        <w:rPr>
          <w:rFonts w:cs="Arial"/>
          <w:b/>
          <w:color w:val="000000"/>
          <w:sz w:val="28"/>
          <w:szCs w:val="28"/>
        </w:rPr>
      </w:pPr>
      <w:r w:rsidRPr="00F935DC">
        <w:rPr>
          <w:rFonts w:cs="Arial"/>
          <w:b/>
          <w:color w:val="000000"/>
          <w:sz w:val="28"/>
          <w:szCs w:val="28"/>
        </w:rPr>
        <w:t>1</w:t>
      </w:r>
      <w:r>
        <w:rPr>
          <w:rFonts w:cs="Arial"/>
          <w:b/>
          <w:color w:val="000000"/>
          <w:sz w:val="28"/>
          <w:szCs w:val="28"/>
        </w:rPr>
        <w:t>1</w:t>
      </w:r>
      <w:r w:rsidRPr="00F935DC">
        <w:rPr>
          <w:rFonts w:cs="Arial"/>
          <w:b/>
          <w:color w:val="000000"/>
          <w:sz w:val="28"/>
          <w:szCs w:val="28"/>
        </w:rPr>
        <w:t>/</w:t>
      </w:r>
      <w:r>
        <w:rPr>
          <w:rFonts w:cs="Arial"/>
          <w:b/>
          <w:color w:val="000000"/>
          <w:sz w:val="28"/>
          <w:szCs w:val="28"/>
        </w:rPr>
        <w:t>26</w:t>
      </w:r>
    </w:p>
    <w:p w:rsidR="00AC4B8B" w:rsidRPr="00F935DC" w:rsidRDefault="00AC4B8B" w:rsidP="00AC4B8B">
      <w:pPr>
        <w:jc w:val="center"/>
        <w:rPr>
          <w:rFonts w:cs="Arial"/>
          <w:color w:val="000000"/>
        </w:rPr>
      </w:pPr>
    </w:p>
    <w:p w:rsidR="00AC4B8B" w:rsidRPr="00F935DC" w:rsidRDefault="00AC4B8B" w:rsidP="00AC4B8B">
      <w:pPr>
        <w:jc w:val="center"/>
        <w:rPr>
          <w:rFonts w:cs="Arial"/>
          <w:b/>
          <w:bCs/>
          <w:color w:val="000000"/>
          <w:sz w:val="28"/>
          <w:szCs w:val="28"/>
        </w:rPr>
      </w:pPr>
      <w:r>
        <w:rPr>
          <w:rFonts w:cs="Arial"/>
          <w:b/>
          <w:bCs/>
          <w:color w:val="000000"/>
          <w:sz w:val="28"/>
          <w:szCs w:val="28"/>
        </w:rPr>
        <w:t>Ú</w:t>
      </w:r>
      <w:r w:rsidRPr="00F935DC">
        <w:rPr>
          <w:rFonts w:cs="Arial"/>
          <w:b/>
          <w:bCs/>
          <w:color w:val="000000"/>
          <w:sz w:val="28"/>
          <w:szCs w:val="28"/>
        </w:rPr>
        <w:t xml:space="preserve">četní </w:t>
      </w:r>
      <w:r>
        <w:rPr>
          <w:rFonts w:cs="Arial"/>
          <w:b/>
          <w:bCs/>
          <w:color w:val="000000"/>
          <w:sz w:val="28"/>
          <w:szCs w:val="28"/>
        </w:rPr>
        <w:t xml:space="preserve">závěrka </w:t>
      </w:r>
      <w:r w:rsidRPr="00F935DC">
        <w:rPr>
          <w:rFonts w:cs="Arial"/>
          <w:b/>
          <w:bCs/>
          <w:color w:val="000000"/>
          <w:sz w:val="28"/>
          <w:szCs w:val="28"/>
        </w:rPr>
        <w:t>a finanční výkazy České správy sociálního zabezpečení za rok 201</w:t>
      </w:r>
      <w:r>
        <w:rPr>
          <w:rFonts w:cs="Arial"/>
          <w:b/>
          <w:bCs/>
          <w:color w:val="000000"/>
          <w:sz w:val="28"/>
          <w:szCs w:val="28"/>
        </w:rPr>
        <w:t>1</w:t>
      </w:r>
    </w:p>
    <w:p w:rsidR="00AC4B8B" w:rsidRPr="00F935DC" w:rsidRDefault="00AC4B8B" w:rsidP="00AC4B8B">
      <w:pPr>
        <w:rPr>
          <w:rFonts w:cs="Arial"/>
          <w:color w:val="000000"/>
        </w:rPr>
      </w:pPr>
    </w:p>
    <w:p w:rsidR="00AC4B8B" w:rsidRPr="00F935DC" w:rsidRDefault="00AC4B8B" w:rsidP="00AC4B8B">
      <w:pPr>
        <w:rPr>
          <w:rFonts w:cs="Arial"/>
          <w:color w:val="000000"/>
        </w:rPr>
      </w:pPr>
    </w:p>
    <w:p w:rsidR="00AC4B8B" w:rsidRPr="00F935DC" w:rsidRDefault="00AC4B8B" w:rsidP="00355106">
      <w:pPr>
        <w:ind w:firstLine="0"/>
        <w:rPr>
          <w:rFonts w:cs="Arial"/>
          <w:color w:val="000000"/>
        </w:rPr>
      </w:pPr>
      <w:r w:rsidRPr="00F935DC">
        <w:rPr>
          <w:rFonts w:cs="Arial"/>
          <w:color w:val="000000"/>
        </w:rPr>
        <w:t>Kontrolní akce byla zařazena do plánu kontrolní činnosti Nejvyššího kontrolního úřadu (dále jen „NKÚ“) na rok 201</w:t>
      </w:r>
      <w:r>
        <w:rPr>
          <w:rFonts w:cs="Arial"/>
          <w:color w:val="000000"/>
        </w:rPr>
        <w:t>1</w:t>
      </w:r>
      <w:r w:rsidRPr="00F935DC">
        <w:rPr>
          <w:rFonts w:cs="Arial"/>
          <w:color w:val="000000"/>
        </w:rPr>
        <w:t xml:space="preserve"> pod číslem 1</w:t>
      </w:r>
      <w:r>
        <w:rPr>
          <w:rFonts w:cs="Arial"/>
          <w:color w:val="000000"/>
        </w:rPr>
        <w:t>1</w:t>
      </w:r>
      <w:r w:rsidRPr="00F935DC">
        <w:rPr>
          <w:rFonts w:cs="Arial"/>
          <w:color w:val="000000"/>
        </w:rPr>
        <w:t>/</w:t>
      </w:r>
      <w:r>
        <w:rPr>
          <w:rFonts w:cs="Arial"/>
          <w:color w:val="000000"/>
        </w:rPr>
        <w:t>26</w:t>
      </w:r>
      <w:r w:rsidRPr="00F935DC">
        <w:rPr>
          <w:rFonts w:cs="Arial"/>
          <w:color w:val="000000"/>
        </w:rPr>
        <w:t>. Kontrolní akci řídil a kontrolní závěr vypracoval člen NKÚ Ing. Jan Vedral.</w:t>
      </w:r>
    </w:p>
    <w:p w:rsidR="009F5A5E" w:rsidRDefault="009F5A5E" w:rsidP="00355106">
      <w:pPr>
        <w:ind w:firstLine="0"/>
        <w:rPr>
          <w:rFonts w:cs="Arial"/>
          <w:color w:val="000000"/>
        </w:rPr>
      </w:pPr>
    </w:p>
    <w:p w:rsidR="007F14CC" w:rsidRPr="007F14CC" w:rsidRDefault="007F14CC" w:rsidP="007F14CC">
      <w:pPr>
        <w:ind w:firstLine="0"/>
        <w:rPr>
          <w:rFonts w:cs="Arial"/>
          <w:noProof/>
          <w:color w:val="000000"/>
          <w:szCs w:val="22"/>
        </w:rPr>
      </w:pPr>
      <w:r w:rsidRPr="00F935DC">
        <w:rPr>
          <w:rFonts w:cs="Arial"/>
          <w:color w:val="000000"/>
        </w:rPr>
        <w:t xml:space="preserve">Cílem kontroly bylo </w:t>
      </w:r>
      <w:r>
        <w:rPr>
          <w:rFonts w:cs="Arial"/>
          <w:color w:val="000000"/>
        </w:rPr>
        <w:t>p</w:t>
      </w:r>
      <w:r w:rsidRPr="007F14CC">
        <w:rPr>
          <w:rFonts w:cs="Arial"/>
          <w:noProof/>
          <w:color w:val="000000"/>
          <w:szCs w:val="22"/>
        </w:rPr>
        <w:t xml:space="preserve">rověřit spolehlivost účetní závěrky České správy sociálního zabezpečení sestavené </w:t>
      </w:r>
      <w:r w:rsidR="00F33867">
        <w:rPr>
          <w:rFonts w:cs="Arial"/>
          <w:noProof/>
          <w:color w:val="000000"/>
          <w:szCs w:val="22"/>
        </w:rPr>
        <w:t>k </w:t>
      </w:r>
      <w:r w:rsidRPr="007F14CC">
        <w:rPr>
          <w:rFonts w:cs="Arial"/>
          <w:noProof/>
          <w:color w:val="000000"/>
          <w:szCs w:val="22"/>
        </w:rPr>
        <w:t xml:space="preserve">31. 12. 2011 a finanční výkazy České správy sociálního zabezpečení za rok 2011 předkládané jako podklad pro závěrečný účet kapitoly státního rozpočtu 313 </w:t>
      </w:r>
      <w:r>
        <w:rPr>
          <w:rFonts w:cs="Arial"/>
          <w:noProof/>
          <w:color w:val="000000"/>
          <w:szCs w:val="22"/>
        </w:rPr>
        <w:t>–</w:t>
      </w:r>
      <w:r w:rsidR="001632CB">
        <w:rPr>
          <w:rFonts w:cs="Arial"/>
          <w:noProof/>
          <w:color w:val="000000"/>
          <w:szCs w:val="22"/>
        </w:rPr>
        <w:t xml:space="preserve"> </w:t>
      </w:r>
      <w:r w:rsidR="00D54265" w:rsidRPr="00164D44">
        <w:rPr>
          <w:rFonts w:cs="Arial"/>
          <w:i/>
          <w:noProof/>
          <w:color w:val="000000"/>
          <w:szCs w:val="22"/>
        </w:rPr>
        <w:t>Ministerstvo práce a sociálních věcí</w:t>
      </w:r>
      <w:r w:rsidRPr="007F14CC">
        <w:rPr>
          <w:rFonts w:cs="Arial"/>
          <w:noProof/>
          <w:color w:val="000000"/>
          <w:szCs w:val="22"/>
        </w:rPr>
        <w:t xml:space="preserve"> za rok 2011</w:t>
      </w:r>
      <w:r>
        <w:rPr>
          <w:rFonts w:cs="Arial"/>
          <w:noProof/>
          <w:color w:val="000000"/>
          <w:szCs w:val="22"/>
        </w:rPr>
        <w:t>.</w:t>
      </w:r>
    </w:p>
    <w:p w:rsidR="009F5A5E" w:rsidRPr="006C010D" w:rsidRDefault="009F5A5E" w:rsidP="00355106">
      <w:pPr>
        <w:ind w:firstLine="0"/>
        <w:rPr>
          <w:rFonts w:cs="Arial"/>
          <w:color w:val="000000"/>
        </w:rPr>
      </w:pPr>
    </w:p>
    <w:p w:rsidR="00AC4B8B" w:rsidRPr="00F935DC" w:rsidRDefault="00AC4B8B" w:rsidP="00355106">
      <w:pPr>
        <w:ind w:firstLine="0"/>
        <w:rPr>
          <w:rFonts w:cs="Arial"/>
          <w:color w:val="000000"/>
        </w:rPr>
      </w:pPr>
      <w:r w:rsidRPr="00F935DC">
        <w:rPr>
          <w:rFonts w:cs="Arial"/>
          <w:color w:val="000000"/>
        </w:rPr>
        <w:t>Kontrolovaným obdobím byl rok 201</w:t>
      </w:r>
      <w:r>
        <w:rPr>
          <w:rFonts w:cs="Arial"/>
          <w:color w:val="000000"/>
        </w:rPr>
        <w:t>1</w:t>
      </w:r>
      <w:r w:rsidR="00E531BB">
        <w:rPr>
          <w:rFonts w:cs="Arial"/>
          <w:color w:val="000000"/>
        </w:rPr>
        <w:t>, v případě</w:t>
      </w:r>
      <w:r w:rsidRPr="00F935DC">
        <w:rPr>
          <w:rFonts w:cs="Arial"/>
          <w:color w:val="000000"/>
        </w:rPr>
        <w:t xml:space="preserve"> souvisejíc</w:t>
      </w:r>
      <w:r>
        <w:rPr>
          <w:rFonts w:cs="Arial"/>
          <w:color w:val="000000"/>
        </w:rPr>
        <w:t>í</w:t>
      </w:r>
      <w:r w:rsidR="00E531BB">
        <w:rPr>
          <w:rFonts w:cs="Arial"/>
          <w:color w:val="000000"/>
        </w:rPr>
        <w:t>ch</w:t>
      </w:r>
      <w:r>
        <w:rPr>
          <w:rFonts w:cs="Arial"/>
          <w:color w:val="000000"/>
        </w:rPr>
        <w:t xml:space="preserve"> skutečnost</w:t>
      </w:r>
      <w:r w:rsidR="00E531BB">
        <w:rPr>
          <w:rFonts w:cs="Arial"/>
          <w:color w:val="000000"/>
        </w:rPr>
        <w:t>í i období</w:t>
      </w:r>
      <w:r>
        <w:rPr>
          <w:rFonts w:cs="Arial"/>
          <w:color w:val="000000"/>
        </w:rPr>
        <w:t xml:space="preserve"> let předchozích</w:t>
      </w:r>
      <w:r w:rsidR="00E531BB">
        <w:rPr>
          <w:rFonts w:cs="Arial"/>
          <w:color w:val="000000"/>
        </w:rPr>
        <w:t xml:space="preserve"> či</w:t>
      </w:r>
      <w:r w:rsidR="005E5DF2">
        <w:rPr>
          <w:rFonts w:cs="Arial"/>
          <w:color w:val="000000"/>
        </w:rPr>
        <w:t xml:space="preserve"> </w:t>
      </w:r>
      <w:r w:rsidR="00E531BB">
        <w:rPr>
          <w:rFonts w:cs="Arial"/>
          <w:color w:val="000000"/>
        </w:rPr>
        <w:t xml:space="preserve">období </w:t>
      </w:r>
      <w:r w:rsidRPr="00F935DC">
        <w:rPr>
          <w:rFonts w:cs="Arial"/>
          <w:color w:val="000000"/>
        </w:rPr>
        <w:t>roku 201</w:t>
      </w:r>
      <w:r>
        <w:rPr>
          <w:rFonts w:cs="Arial"/>
          <w:color w:val="000000"/>
        </w:rPr>
        <w:t>2</w:t>
      </w:r>
      <w:r w:rsidRPr="00F935DC">
        <w:rPr>
          <w:rFonts w:cs="Arial"/>
          <w:color w:val="000000"/>
        </w:rPr>
        <w:t xml:space="preserve"> do doby ukončení kontroly.</w:t>
      </w:r>
    </w:p>
    <w:p w:rsidR="00AC4B8B" w:rsidRPr="00F935DC" w:rsidRDefault="00AC4B8B" w:rsidP="00AC4B8B">
      <w:pPr>
        <w:rPr>
          <w:rFonts w:cs="Arial"/>
          <w:color w:val="000000"/>
        </w:rPr>
      </w:pPr>
    </w:p>
    <w:p w:rsidR="00AC4B8B" w:rsidRPr="00F935DC" w:rsidRDefault="00AC4B8B" w:rsidP="00355106">
      <w:pPr>
        <w:ind w:firstLine="0"/>
        <w:rPr>
          <w:rFonts w:cs="Arial"/>
          <w:color w:val="000000"/>
        </w:rPr>
      </w:pPr>
      <w:r w:rsidRPr="00F935DC">
        <w:rPr>
          <w:rFonts w:cs="Arial"/>
          <w:color w:val="000000"/>
        </w:rPr>
        <w:t xml:space="preserve">Kontrola byla prováděna </w:t>
      </w:r>
      <w:r w:rsidR="00F33867">
        <w:rPr>
          <w:rFonts w:cs="Arial"/>
          <w:color w:val="000000"/>
        </w:rPr>
        <w:t>v </w:t>
      </w:r>
      <w:r w:rsidRPr="00F935DC">
        <w:rPr>
          <w:rFonts w:cs="Arial"/>
          <w:color w:val="000000"/>
        </w:rPr>
        <w:t xml:space="preserve">době od </w:t>
      </w:r>
      <w:r>
        <w:rPr>
          <w:rFonts w:cs="Arial"/>
          <w:color w:val="000000"/>
        </w:rPr>
        <w:t xml:space="preserve">31. </w:t>
      </w:r>
      <w:r w:rsidRPr="00F935DC">
        <w:rPr>
          <w:rFonts w:cs="Arial"/>
          <w:color w:val="000000"/>
        </w:rPr>
        <w:t>října 201</w:t>
      </w:r>
      <w:r>
        <w:rPr>
          <w:rFonts w:cs="Arial"/>
          <w:color w:val="000000"/>
        </w:rPr>
        <w:t>1</w:t>
      </w:r>
      <w:r w:rsidRPr="00F935DC">
        <w:rPr>
          <w:rFonts w:cs="Arial"/>
          <w:color w:val="000000"/>
        </w:rPr>
        <w:t xml:space="preserve"> do </w:t>
      </w:r>
      <w:r>
        <w:rPr>
          <w:rFonts w:cs="Arial"/>
          <w:color w:val="000000"/>
        </w:rPr>
        <w:t xml:space="preserve">25. </w:t>
      </w:r>
      <w:r w:rsidRPr="00F935DC">
        <w:rPr>
          <w:rFonts w:cs="Arial"/>
          <w:color w:val="000000"/>
        </w:rPr>
        <w:t>dubna 201</w:t>
      </w:r>
      <w:r>
        <w:rPr>
          <w:rFonts w:cs="Arial"/>
          <w:color w:val="000000"/>
        </w:rPr>
        <w:t>2</w:t>
      </w:r>
      <w:r w:rsidRPr="00F935DC">
        <w:rPr>
          <w:rFonts w:cs="Arial"/>
          <w:color w:val="000000"/>
        </w:rPr>
        <w:t>.</w:t>
      </w:r>
    </w:p>
    <w:p w:rsidR="00AC4B8B" w:rsidRPr="00F935DC" w:rsidRDefault="00AC4B8B" w:rsidP="00AC4B8B">
      <w:pPr>
        <w:rPr>
          <w:rFonts w:cs="Arial"/>
          <w:color w:val="000000"/>
        </w:rPr>
      </w:pPr>
    </w:p>
    <w:p w:rsidR="00AC4B8B" w:rsidRPr="00F935DC" w:rsidRDefault="00AC4B8B" w:rsidP="00355106">
      <w:pPr>
        <w:ind w:firstLine="0"/>
        <w:rPr>
          <w:rFonts w:cs="Arial"/>
          <w:color w:val="000000"/>
        </w:rPr>
      </w:pPr>
      <w:r w:rsidRPr="00F935DC">
        <w:rPr>
          <w:rFonts w:cs="Arial"/>
          <w:color w:val="000000"/>
        </w:rPr>
        <w:t>Kontrolovan</w:t>
      </w:r>
      <w:r>
        <w:rPr>
          <w:rFonts w:cs="Arial"/>
          <w:color w:val="000000"/>
        </w:rPr>
        <w:t>á</w:t>
      </w:r>
      <w:r w:rsidRPr="00F935DC">
        <w:rPr>
          <w:rFonts w:cs="Arial"/>
          <w:color w:val="000000"/>
        </w:rPr>
        <w:t xml:space="preserve"> osob</w:t>
      </w:r>
      <w:r>
        <w:rPr>
          <w:rFonts w:cs="Arial"/>
          <w:color w:val="000000"/>
        </w:rPr>
        <w:t>a</w:t>
      </w:r>
      <w:r w:rsidRPr="00F935DC">
        <w:rPr>
          <w:rFonts w:cs="Arial"/>
          <w:color w:val="000000"/>
        </w:rPr>
        <w:t>:</w:t>
      </w:r>
    </w:p>
    <w:p w:rsidR="00AC4B8B" w:rsidRPr="00F935DC" w:rsidRDefault="00AC4B8B" w:rsidP="009F5A5E">
      <w:pPr>
        <w:tabs>
          <w:tab w:val="left" w:pos="284"/>
        </w:tabs>
        <w:ind w:firstLine="0"/>
        <w:rPr>
          <w:rFonts w:cs="Arial"/>
          <w:color w:val="000000"/>
        </w:rPr>
      </w:pPr>
      <w:r w:rsidRPr="00F935DC">
        <w:rPr>
          <w:rFonts w:cs="Arial"/>
          <w:color w:val="000000"/>
        </w:rPr>
        <w:t>Česká správa sociálního zabezpečení (dále také „ČSSZ“).</w:t>
      </w:r>
    </w:p>
    <w:p w:rsidR="00AC4B8B" w:rsidRPr="00F935DC" w:rsidRDefault="00AC4B8B" w:rsidP="00AC4B8B">
      <w:pPr>
        <w:rPr>
          <w:rFonts w:cs="Arial"/>
          <w:color w:val="000000"/>
        </w:rPr>
      </w:pPr>
    </w:p>
    <w:p w:rsidR="00AC4B8B" w:rsidRPr="00F935DC" w:rsidRDefault="00AC4B8B" w:rsidP="00355106">
      <w:pPr>
        <w:ind w:firstLine="0"/>
        <w:rPr>
          <w:rFonts w:cs="Arial"/>
          <w:i/>
          <w:color w:val="000000"/>
        </w:rPr>
      </w:pPr>
      <w:r w:rsidRPr="00F935DC">
        <w:rPr>
          <w:rFonts w:cs="Arial"/>
          <w:color w:val="000000"/>
        </w:rPr>
        <w:t>Námitky proti kontrolnímu protokolu, které</w:t>
      </w:r>
      <w:r w:rsidRPr="00254533">
        <w:rPr>
          <w:rFonts w:cs="Arial"/>
          <w:color w:val="000000"/>
        </w:rPr>
        <w:t xml:space="preserve"> </w:t>
      </w:r>
      <w:r w:rsidRPr="00F935DC">
        <w:rPr>
          <w:rFonts w:cs="Arial"/>
          <w:color w:val="000000"/>
        </w:rPr>
        <w:t xml:space="preserve">podala ČSSZ, byly vypořádány vedoucím skupiny kontrolujících rozhodnutím o námitkách. </w:t>
      </w:r>
      <w:r w:rsidRPr="009F5A5E">
        <w:rPr>
          <w:rFonts w:cs="Arial"/>
          <w:color w:val="000000"/>
        </w:rPr>
        <w:t>Odvolání</w:t>
      </w:r>
      <w:r w:rsidR="00E531BB">
        <w:rPr>
          <w:rFonts w:cs="Arial"/>
          <w:color w:val="000000"/>
        </w:rPr>
        <w:t>,</w:t>
      </w:r>
      <w:r w:rsidRPr="009F5A5E">
        <w:rPr>
          <w:rFonts w:cs="Arial"/>
          <w:color w:val="000000"/>
        </w:rPr>
        <w:t xml:space="preserve"> </w:t>
      </w:r>
      <w:r w:rsidR="00E531BB" w:rsidRPr="009F5A5E">
        <w:rPr>
          <w:rFonts w:cs="Arial"/>
          <w:color w:val="000000"/>
        </w:rPr>
        <w:t xml:space="preserve">které ČSSZ podala </w:t>
      </w:r>
      <w:r w:rsidRPr="009F5A5E">
        <w:rPr>
          <w:rFonts w:cs="Arial"/>
          <w:color w:val="000000"/>
        </w:rPr>
        <w:t>proti rozhodnutí o</w:t>
      </w:r>
      <w:r w:rsidR="00E531BB">
        <w:rPr>
          <w:rFonts w:cs="Arial"/>
          <w:color w:val="000000"/>
        </w:rPr>
        <w:t> </w:t>
      </w:r>
      <w:r w:rsidRPr="009F5A5E">
        <w:rPr>
          <w:rFonts w:cs="Arial"/>
          <w:color w:val="000000"/>
        </w:rPr>
        <w:t>námitkách, bylo vypořádáno usnesením Kolegia NKÚ.</w:t>
      </w:r>
    </w:p>
    <w:p w:rsidR="00AC4B8B" w:rsidRPr="00F935DC" w:rsidRDefault="00AC4B8B" w:rsidP="00AC4B8B">
      <w:pPr>
        <w:rPr>
          <w:rFonts w:cs="Arial"/>
          <w:color w:val="000000"/>
        </w:rPr>
      </w:pPr>
    </w:p>
    <w:p w:rsidR="00AC4B8B" w:rsidRPr="00F935DC" w:rsidRDefault="00AC4B8B" w:rsidP="00AC4B8B">
      <w:pPr>
        <w:rPr>
          <w:rFonts w:cs="Arial"/>
          <w:color w:val="000000"/>
        </w:rPr>
      </w:pPr>
    </w:p>
    <w:p w:rsidR="00AC4B8B" w:rsidRPr="00F935DC" w:rsidRDefault="00AC4B8B" w:rsidP="009F5A5E">
      <w:pPr>
        <w:ind w:firstLine="0"/>
        <w:rPr>
          <w:rFonts w:cs="Arial"/>
          <w:color w:val="000000"/>
        </w:rPr>
      </w:pPr>
      <w:r w:rsidRPr="00F935DC">
        <w:rPr>
          <w:rFonts w:cs="Arial"/>
          <w:b/>
          <w:i/>
          <w:color w:val="000000"/>
          <w:spacing w:val="60"/>
        </w:rPr>
        <w:t>Kolegium</w:t>
      </w:r>
      <w:r w:rsidRPr="00EA5862">
        <w:rPr>
          <w:rFonts w:cs="Arial"/>
          <w:b/>
          <w:color w:val="000000"/>
        </w:rPr>
        <w:t xml:space="preserve">   </w:t>
      </w:r>
      <w:r w:rsidRPr="00F935DC">
        <w:rPr>
          <w:rFonts w:cs="Arial"/>
          <w:b/>
          <w:i/>
          <w:color w:val="000000"/>
          <w:spacing w:val="60"/>
        </w:rPr>
        <w:t>NKÚ</w:t>
      </w:r>
      <w:r w:rsidRPr="00F935DC">
        <w:rPr>
          <w:rFonts w:cs="Arial"/>
          <w:color w:val="000000"/>
        </w:rPr>
        <w:t xml:space="preserve">   na svém </w:t>
      </w:r>
      <w:r w:rsidR="00B137A1">
        <w:rPr>
          <w:rFonts w:cs="Arial"/>
          <w:color w:val="000000"/>
        </w:rPr>
        <w:t>XV.</w:t>
      </w:r>
      <w:r w:rsidRPr="00F935DC">
        <w:rPr>
          <w:rFonts w:cs="Arial"/>
          <w:color w:val="000000"/>
        </w:rPr>
        <w:t xml:space="preserve"> zasedání, konaném </w:t>
      </w:r>
      <w:r w:rsidRPr="009F5A5E">
        <w:rPr>
          <w:rFonts w:cs="Arial"/>
          <w:color w:val="000000"/>
        </w:rPr>
        <w:t>dne</w:t>
      </w:r>
      <w:r w:rsidR="001632CB">
        <w:rPr>
          <w:rFonts w:cs="Arial"/>
          <w:color w:val="000000"/>
        </w:rPr>
        <w:t xml:space="preserve"> </w:t>
      </w:r>
      <w:r w:rsidR="00B137A1">
        <w:rPr>
          <w:rFonts w:cs="Arial"/>
          <w:color w:val="000000"/>
        </w:rPr>
        <w:t>6. srpna</w:t>
      </w:r>
      <w:r w:rsidRPr="009F5A5E">
        <w:rPr>
          <w:rFonts w:cs="Arial"/>
          <w:color w:val="000000"/>
        </w:rPr>
        <w:t xml:space="preserve"> 2012,</w:t>
      </w:r>
    </w:p>
    <w:p w:rsidR="00AC4B8B" w:rsidRPr="00F935DC" w:rsidRDefault="00AC4B8B" w:rsidP="009F5A5E">
      <w:pPr>
        <w:ind w:firstLine="0"/>
        <w:rPr>
          <w:rFonts w:cs="Arial"/>
          <w:color w:val="000000"/>
        </w:rPr>
      </w:pPr>
      <w:r w:rsidRPr="00F935DC">
        <w:rPr>
          <w:rFonts w:cs="Arial"/>
          <w:b/>
          <w:i/>
          <w:color w:val="000000"/>
          <w:spacing w:val="60"/>
        </w:rPr>
        <w:t>schválilo</w:t>
      </w:r>
      <w:r w:rsidRPr="00F935DC">
        <w:rPr>
          <w:rFonts w:cs="Arial"/>
          <w:color w:val="000000"/>
        </w:rPr>
        <w:t xml:space="preserve">   </w:t>
      </w:r>
      <w:r w:rsidRPr="00B137A1">
        <w:rPr>
          <w:rFonts w:cs="Arial"/>
          <w:color w:val="000000"/>
        </w:rPr>
        <w:t>usnesením č.</w:t>
      </w:r>
      <w:r w:rsidR="005E5DF2">
        <w:rPr>
          <w:rFonts w:cs="Arial"/>
          <w:color w:val="000000"/>
        </w:rPr>
        <w:t xml:space="preserve"> </w:t>
      </w:r>
      <w:r w:rsidR="00A81165">
        <w:rPr>
          <w:rFonts w:cs="Arial"/>
          <w:color w:val="000000"/>
        </w:rPr>
        <w:t>12</w:t>
      </w:r>
      <w:r w:rsidRPr="00B137A1">
        <w:rPr>
          <w:rFonts w:cs="Arial"/>
          <w:color w:val="000000"/>
        </w:rPr>
        <w:t>/</w:t>
      </w:r>
      <w:r w:rsidR="00B137A1" w:rsidRPr="00B137A1">
        <w:rPr>
          <w:rFonts w:cs="Arial"/>
          <w:color w:val="000000"/>
        </w:rPr>
        <w:t>XV</w:t>
      </w:r>
      <w:r w:rsidRPr="00B137A1">
        <w:rPr>
          <w:rFonts w:cs="Arial"/>
          <w:color w:val="000000"/>
        </w:rPr>
        <w:t>/2012</w:t>
      </w:r>
    </w:p>
    <w:p w:rsidR="00AC4B8B" w:rsidRPr="00F935DC" w:rsidRDefault="00AC4B8B" w:rsidP="009F5A5E">
      <w:pPr>
        <w:ind w:firstLine="0"/>
        <w:rPr>
          <w:rFonts w:cs="Arial"/>
          <w:color w:val="000000"/>
        </w:rPr>
      </w:pPr>
      <w:r w:rsidRPr="00F935DC">
        <w:rPr>
          <w:rFonts w:cs="Arial"/>
          <w:b/>
          <w:i/>
          <w:color w:val="000000"/>
          <w:spacing w:val="60"/>
        </w:rPr>
        <w:t>kontrolní</w:t>
      </w:r>
      <w:r w:rsidRPr="00F935DC">
        <w:rPr>
          <w:rFonts w:cs="Arial"/>
          <w:b/>
          <w:i/>
          <w:color w:val="000000"/>
        </w:rPr>
        <w:t xml:space="preserve">   </w:t>
      </w:r>
      <w:r w:rsidRPr="00F935DC">
        <w:rPr>
          <w:rFonts w:cs="Arial"/>
          <w:b/>
          <w:i/>
          <w:color w:val="000000"/>
          <w:spacing w:val="60"/>
        </w:rPr>
        <w:t>závěr</w:t>
      </w:r>
      <w:r w:rsidRPr="00F935DC">
        <w:rPr>
          <w:rFonts w:cs="Arial"/>
          <w:color w:val="000000"/>
        </w:rPr>
        <w:t xml:space="preserve">   </w:t>
      </w:r>
      <w:r w:rsidR="00F33867">
        <w:rPr>
          <w:rFonts w:cs="Arial"/>
          <w:color w:val="000000"/>
        </w:rPr>
        <w:t>v </w:t>
      </w:r>
      <w:r w:rsidRPr="00F935DC">
        <w:rPr>
          <w:rFonts w:cs="Arial"/>
          <w:color w:val="000000"/>
        </w:rPr>
        <w:t>tomto znění:</w:t>
      </w:r>
    </w:p>
    <w:p w:rsidR="00AC4B8B" w:rsidRPr="00F935DC" w:rsidRDefault="00AC4B8B" w:rsidP="00AC4B8B">
      <w:pPr>
        <w:rPr>
          <w:rFonts w:cs="Arial"/>
          <w:color w:val="000000"/>
        </w:rPr>
      </w:pPr>
    </w:p>
    <w:p w:rsidR="00AC4B8B" w:rsidRPr="00F935DC" w:rsidRDefault="00AC4B8B" w:rsidP="00AC4B8B">
      <w:pPr>
        <w:rPr>
          <w:rFonts w:cs="Arial"/>
          <w:color w:val="000000"/>
        </w:rPr>
      </w:pPr>
    </w:p>
    <w:p w:rsidR="00AC4B8B" w:rsidRPr="00F935DC" w:rsidRDefault="00AC4B8B" w:rsidP="00AC4B8B">
      <w:pPr>
        <w:jc w:val="center"/>
        <w:rPr>
          <w:rFonts w:cs="Arial"/>
          <w:b/>
          <w:color w:val="000000"/>
          <w:sz w:val="24"/>
        </w:rPr>
      </w:pPr>
      <w:r w:rsidRPr="00F935DC">
        <w:rPr>
          <w:rFonts w:cs="Arial"/>
          <w:b/>
          <w:color w:val="000000"/>
          <w:sz w:val="24"/>
        </w:rPr>
        <w:t>I. Úvod</w:t>
      </w:r>
    </w:p>
    <w:p w:rsidR="00AC4B8B" w:rsidRPr="00F935DC" w:rsidRDefault="00AC4B8B" w:rsidP="00AC4B8B">
      <w:pPr>
        <w:rPr>
          <w:rFonts w:cs="Arial"/>
          <w:color w:val="000000"/>
        </w:rPr>
      </w:pPr>
    </w:p>
    <w:p w:rsidR="00AC4B8B" w:rsidRPr="00017E0A" w:rsidRDefault="00AC4B8B" w:rsidP="00355106">
      <w:pPr>
        <w:ind w:firstLine="0"/>
        <w:rPr>
          <w:rFonts w:cs="Arial"/>
          <w:color w:val="000000"/>
        </w:rPr>
      </w:pPr>
      <w:r w:rsidRPr="00017E0A">
        <w:rPr>
          <w:rFonts w:cs="Arial"/>
          <w:color w:val="000000"/>
        </w:rPr>
        <w:t xml:space="preserve">Česká správa sociálního zabezpečení byla ustavena </w:t>
      </w:r>
      <w:r w:rsidR="00F33867">
        <w:rPr>
          <w:rFonts w:cs="Arial"/>
          <w:color w:val="000000"/>
        </w:rPr>
        <w:t>s </w:t>
      </w:r>
      <w:r w:rsidRPr="00017E0A">
        <w:rPr>
          <w:rFonts w:cs="Arial"/>
          <w:color w:val="000000"/>
        </w:rPr>
        <w:t>účinností od 1.</w:t>
      </w:r>
      <w:r w:rsidR="005E5DF2">
        <w:rPr>
          <w:rFonts w:cs="Arial"/>
          <w:color w:val="000000"/>
        </w:rPr>
        <w:t xml:space="preserve"> </w:t>
      </w:r>
      <w:r w:rsidRPr="00017E0A">
        <w:rPr>
          <w:rFonts w:cs="Arial"/>
          <w:color w:val="000000"/>
        </w:rPr>
        <w:t>září 1990 zákonem č. 210/1990 Sb., o</w:t>
      </w:r>
      <w:r w:rsidR="005E5DF2">
        <w:rPr>
          <w:rFonts w:cs="Arial"/>
          <w:color w:val="000000"/>
        </w:rPr>
        <w:t xml:space="preserve"> </w:t>
      </w:r>
      <w:r w:rsidRPr="00017E0A">
        <w:rPr>
          <w:rFonts w:cs="Arial"/>
          <w:color w:val="000000"/>
        </w:rPr>
        <w:t xml:space="preserve">změnách </w:t>
      </w:r>
      <w:r w:rsidR="00F33867">
        <w:rPr>
          <w:rFonts w:cs="Arial"/>
          <w:color w:val="000000"/>
        </w:rPr>
        <w:t>v </w:t>
      </w:r>
      <w:r w:rsidRPr="00017E0A">
        <w:rPr>
          <w:rFonts w:cs="Arial"/>
          <w:color w:val="000000"/>
        </w:rPr>
        <w:t xml:space="preserve">působnosti orgánů České republiky </w:t>
      </w:r>
      <w:r w:rsidR="00E531BB">
        <w:rPr>
          <w:rFonts w:cs="Arial"/>
          <w:color w:val="000000"/>
        </w:rPr>
        <w:t xml:space="preserve">o sociálním zabezpečení </w:t>
      </w:r>
      <w:r w:rsidRPr="00017E0A">
        <w:rPr>
          <w:rFonts w:cs="Arial"/>
          <w:color w:val="000000"/>
        </w:rPr>
        <w:t>a</w:t>
      </w:r>
      <w:r w:rsidR="005E5DF2">
        <w:rPr>
          <w:rFonts w:cs="Arial"/>
          <w:color w:val="000000"/>
        </w:rPr>
        <w:t xml:space="preserve"> </w:t>
      </w:r>
      <w:r w:rsidRPr="00017E0A">
        <w:rPr>
          <w:rFonts w:cs="Arial"/>
          <w:color w:val="000000"/>
        </w:rPr>
        <w:t>o</w:t>
      </w:r>
      <w:r w:rsidR="005E5DF2">
        <w:rPr>
          <w:rFonts w:cs="Arial"/>
          <w:color w:val="000000"/>
        </w:rPr>
        <w:t xml:space="preserve"> </w:t>
      </w:r>
      <w:r w:rsidRPr="00017E0A">
        <w:rPr>
          <w:rFonts w:cs="Arial"/>
          <w:color w:val="000000"/>
        </w:rPr>
        <w:t>změně zákona č. 20/1966 Sb., o</w:t>
      </w:r>
      <w:r w:rsidR="005E5DF2">
        <w:rPr>
          <w:rFonts w:cs="Arial"/>
          <w:color w:val="000000"/>
        </w:rPr>
        <w:t xml:space="preserve"> </w:t>
      </w:r>
      <w:r w:rsidRPr="00017E0A">
        <w:rPr>
          <w:rFonts w:cs="Arial"/>
          <w:color w:val="000000"/>
        </w:rPr>
        <w:t>péči o</w:t>
      </w:r>
      <w:r w:rsidR="005E5DF2">
        <w:rPr>
          <w:rFonts w:cs="Arial"/>
          <w:color w:val="000000"/>
        </w:rPr>
        <w:t xml:space="preserve"> </w:t>
      </w:r>
      <w:r w:rsidRPr="00017E0A">
        <w:rPr>
          <w:rFonts w:cs="Arial"/>
          <w:color w:val="000000"/>
        </w:rPr>
        <w:t>zdraví lidu, kterým byl novelizován zákon č.</w:t>
      </w:r>
      <w:r w:rsidR="00E531BB">
        <w:rPr>
          <w:rFonts w:cs="Arial"/>
          <w:color w:val="000000"/>
        </w:rPr>
        <w:t> </w:t>
      </w:r>
      <w:r w:rsidRPr="00017E0A">
        <w:rPr>
          <w:rFonts w:cs="Arial"/>
          <w:color w:val="000000"/>
        </w:rPr>
        <w:t xml:space="preserve">114/1988 Sb., o působnosti orgánů České socialistické republiky </w:t>
      </w:r>
      <w:r w:rsidR="00F33867">
        <w:rPr>
          <w:rFonts w:cs="Arial"/>
          <w:color w:val="000000"/>
        </w:rPr>
        <w:t>v </w:t>
      </w:r>
      <w:r w:rsidRPr="00017E0A">
        <w:rPr>
          <w:rFonts w:cs="Arial"/>
          <w:color w:val="000000"/>
        </w:rPr>
        <w:t>sociálním zabezpečení. ČSSZ</w:t>
      </w:r>
      <w:r w:rsidR="006B7A43" w:rsidRPr="00017E0A">
        <w:rPr>
          <w:rFonts w:cs="Arial"/>
          <w:color w:val="000000"/>
        </w:rPr>
        <w:t xml:space="preserve"> je</w:t>
      </w:r>
      <w:r w:rsidRPr="00017E0A">
        <w:rPr>
          <w:rFonts w:cs="Arial"/>
          <w:color w:val="000000"/>
        </w:rPr>
        <w:t xml:space="preserve"> orgánem státní správy, který vykonává působnost </w:t>
      </w:r>
      <w:r w:rsidR="00F33867">
        <w:rPr>
          <w:rFonts w:cs="Arial"/>
          <w:color w:val="000000"/>
        </w:rPr>
        <w:t>v </w:t>
      </w:r>
      <w:r w:rsidRPr="00017E0A">
        <w:rPr>
          <w:rFonts w:cs="Arial"/>
          <w:color w:val="000000"/>
        </w:rPr>
        <w:t>oblasti sociálního zabezpečení (důchodového a</w:t>
      </w:r>
      <w:r w:rsidR="005E5DF2">
        <w:rPr>
          <w:rFonts w:cs="Arial"/>
          <w:color w:val="000000"/>
        </w:rPr>
        <w:t xml:space="preserve"> </w:t>
      </w:r>
      <w:r w:rsidRPr="00017E0A">
        <w:rPr>
          <w:rFonts w:cs="Arial"/>
          <w:color w:val="000000"/>
        </w:rPr>
        <w:t>nemocenského pojištění) a</w:t>
      </w:r>
      <w:r w:rsidR="005E5DF2">
        <w:rPr>
          <w:rFonts w:cs="Arial"/>
          <w:color w:val="000000"/>
        </w:rPr>
        <w:t xml:space="preserve"> </w:t>
      </w:r>
      <w:r w:rsidRPr="00017E0A">
        <w:rPr>
          <w:rFonts w:cs="Arial"/>
          <w:color w:val="000000"/>
        </w:rPr>
        <w:t>lékařské posudkové služby</w:t>
      </w:r>
      <w:r w:rsidR="006B7A43" w:rsidRPr="00017E0A">
        <w:rPr>
          <w:rFonts w:cs="Arial"/>
          <w:color w:val="000000"/>
        </w:rPr>
        <w:t>.</w:t>
      </w:r>
      <w:r w:rsidRPr="00017E0A">
        <w:rPr>
          <w:rFonts w:cs="Arial"/>
          <w:color w:val="000000"/>
        </w:rPr>
        <w:t xml:space="preserve"> Kompetence ČSSZ jsou upraveny zákonem č.</w:t>
      </w:r>
      <w:r w:rsidR="005E5DF2">
        <w:rPr>
          <w:rFonts w:cs="Arial"/>
          <w:color w:val="000000"/>
        </w:rPr>
        <w:t xml:space="preserve"> </w:t>
      </w:r>
      <w:r w:rsidRPr="00017E0A">
        <w:rPr>
          <w:rFonts w:cs="Arial"/>
          <w:color w:val="000000"/>
        </w:rPr>
        <w:t>582/1991 Sb., o</w:t>
      </w:r>
      <w:r w:rsidR="005E5DF2">
        <w:rPr>
          <w:rFonts w:cs="Arial"/>
          <w:color w:val="000000"/>
        </w:rPr>
        <w:t xml:space="preserve"> </w:t>
      </w:r>
      <w:r w:rsidRPr="00017E0A">
        <w:rPr>
          <w:rFonts w:cs="Arial"/>
          <w:color w:val="000000"/>
        </w:rPr>
        <w:t>organizaci a</w:t>
      </w:r>
      <w:r w:rsidR="005E5DF2">
        <w:rPr>
          <w:rFonts w:cs="Arial"/>
          <w:color w:val="000000"/>
        </w:rPr>
        <w:t xml:space="preserve"> </w:t>
      </w:r>
      <w:r w:rsidRPr="00017E0A">
        <w:rPr>
          <w:rFonts w:cs="Arial"/>
          <w:color w:val="000000"/>
        </w:rPr>
        <w:t>provádění sociálního zabezpečení</w:t>
      </w:r>
      <w:r w:rsidR="00E531BB">
        <w:rPr>
          <w:rFonts w:cs="Arial"/>
          <w:color w:val="000000"/>
        </w:rPr>
        <w:t>.</w:t>
      </w:r>
      <w:r w:rsidRPr="00017E0A">
        <w:rPr>
          <w:rFonts w:cs="Arial"/>
          <w:color w:val="000000"/>
        </w:rPr>
        <w:t xml:space="preserve"> ČSSZ je organizační </w:t>
      </w:r>
      <w:r w:rsidR="006B7A43" w:rsidRPr="00017E0A">
        <w:rPr>
          <w:rFonts w:cs="Arial"/>
          <w:color w:val="000000"/>
        </w:rPr>
        <w:t>složkou</w:t>
      </w:r>
      <w:r w:rsidRPr="00017E0A">
        <w:rPr>
          <w:rFonts w:cs="Arial"/>
          <w:color w:val="000000"/>
        </w:rPr>
        <w:t xml:space="preserve"> státu a</w:t>
      </w:r>
      <w:r w:rsidR="005E5DF2">
        <w:rPr>
          <w:rFonts w:cs="Arial"/>
          <w:color w:val="000000"/>
        </w:rPr>
        <w:t xml:space="preserve"> </w:t>
      </w:r>
      <w:r w:rsidRPr="00017E0A">
        <w:rPr>
          <w:rFonts w:cs="Arial"/>
          <w:color w:val="000000"/>
        </w:rPr>
        <w:t>samostatnou účetní jednotkou.</w:t>
      </w:r>
    </w:p>
    <w:p w:rsidR="00AC4B8B" w:rsidRPr="00017E0A" w:rsidRDefault="00AC4B8B" w:rsidP="00AC4B8B">
      <w:pPr>
        <w:rPr>
          <w:rFonts w:cs="Arial"/>
          <w:color w:val="000000"/>
        </w:rPr>
      </w:pPr>
    </w:p>
    <w:p w:rsidR="00AC4B8B" w:rsidRPr="00F935DC" w:rsidRDefault="00AC4B8B" w:rsidP="00355106">
      <w:pPr>
        <w:ind w:firstLine="0"/>
        <w:rPr>
          <w:rFonts w:cs="Arial"/>
          <w:color w:val="000000"/>
        </w:rPr>
      </w:pPr>
      <w:r w:rsidRPr="00017E0A">
        <w:rPr>
          <w:rFonts w:cs="Arial"/>
          <w:color w:val="000000"/>
        </w:rPr>
        <w:t>ČSSZ rozhoduje o dávkách důchodového pojištění</w:t>
      </w:r>
      <w:r w:rsidRPr="00F935DC">
        <w:rPr>
          <w:rFonts w:cs="Arial"/>
          <w:color w:val="000000"/>
        </w:rPr>
        <w:t xml:space="preserve"> (dále také „DDP“), plní úkoly vypl</w:t>
      </w:r>
      <w:r>
        <w:rPr>
          <w:rFonts w:cs="Arial"/>
          <w:color w:val="000000"/>
        </w:rPr>
        <w:t>ývající z mezinárodních smluv o</w:t>
      </w:r>
      <w:r w:rsidR="005E5DF2">
        <w:rPr>
          <w:rFonts w:cs="Arial"/>
          <w:color w:val="000000"/>
        </w:rPr>
        <w:t xml:space="preserve"> </w:t>
      </w:r>
      <w:r w:rsidRPr="00F935DC">
        <w:rPr>
          <w:rFonts w:cs="Arial"/>
          <w:color w:val="000000"/>
        </w:rPr>
        <w:t xml:space="preserve">sociálním zabezpečení, vybírá pojistné na sociální zabezpečení a příspěvek na státní politiku zaměstnanosti, kontroluje plnění povinností subjektů sociálního </w:t>
      </w:r>
      <w:r w:rsidRPr="00F935DC">
        <w:rPr>
          <w:rFonts w:cs="Arial"/>
          <w:color w:val="000000"/>
        </w:rPr>
        <w:lastRenderedPageBreak/>
        <w:t>zabezpečení, posuzuje zdravotní stav a</w:t>
      </w:r>
      <w:r w:rsidR="005E5DF2">
        <w:rPr>
          <w:rFonts w:cs="Arial"/>
          <w:color w:val="000000"/>
        </w:rPr>
        <w:t xml:space="preserve"> </w:t>
      </w:r>
      <w:r w:rsidRPr="00F935DC">
        <w:rPr>
          <w:rFonts w:cs="Arial"/>
          <w:color w:val="000000"/>
        </w:rPr>
        <w:t>pracovní schopnost občanů pro účely sociálního zabezpečení, vede evid</w:t>
      </w:r>
      <w:r>
        <w:rPr>
          <w:rFonts w:cs="Arial"/>
          <w:color w:val="000000"/>
        </w:rPr>
        <w:t>enci práce neschopných občanů a</w:t>
      </w:r>
      <w:r w:rsidR="005E5DF2">
        <w:rPr>
          <w:rFonts w:cs="Arial"/>
          <w:color w:val="000000"/>
        </w:rPr>
        <w:t xml:space="preserve"> </w:t>
      </w:r>
      <w:r w:rsidR="00F33867">
        <w:rPr>
          <w:rFonts w:cs="Arial"/>
          <w:color w:val="000000"/>
        </w:rPr>
        <w:t>v </w:t>
      </w:r>
      <w:r w:rsidRPr="00F935DC">
        <w:rPr>
          <w:rFonts w:cs="Arial"/>
          <w:color w:val="000000"/>
        </w:rPr>
        <w:t>určených případech provádí nemocenské pojištění.</w:t>
      </w:r>
    </w:p>
    <w:p w:rsidR="00AC4B8B" w:rsidRPr="00F935DC" w:rsidRDefault="00AC4B8B" w:rsidP="00AC4B8B">
      <w:pPr>
        <w:rPr>
          <w:rFonts w:cs="Arial"/>
          <w:color w:val="000000"/>
        </w:rPr>
      </w:pPr>
    </w:p>
    <w:p w:rsidR="00AC4B8B" w:rsidRPr="00164D44" w:rsidRDefault="00D54265" w:rsidP="00355106">
      <w:pPr>
        <w:ind w:firstLine="0"/>
        <w:rPr>
          <w:rFonts w:cs="Arial"/>
          <w:color w:val="000000"/>
          <w:spacing w:val="-2"/>
        </w:rPr>
      </w:pPr>
      <w:r w:rsidRPr="00164D44">
        <w:rPr>
          <w:rFonts w:cs="Arial"/>
          <w:color w:val="000000"/>
          <w:spacing w:val="-2"/>
        </w:rPr>
        <w:t xml:space="preserve">Podíl ČSSZ na aktivech, nákladech, výnosech, příjmech a výdajích kapitoly 313 – </w:t>
      </w:r>
      <w:r w:rsidRPr="00164D44">
        <w:rPr>
          <w:rFonts w:cs="Arial"/>
          <w:i/>
          <w:color w:val="000000"/>
          <w:spacing w:val="-2"/>
        </w:rPr>
        <w:t>Ministerstvo práce a sociálních věcí</w:t>
      </w:r>
      <w:r w:rsidRPr="00164D44">
        <w:rPr>
          <w:rFonts w:cs="Arial"/>
          <w:color w:val="000000"/>
          <w:spacing w:val="-2"/>
        </w:rPr>
        <w:t xml:space="preserve"> byl v roce 2011 následující:</w:t>
      </w:r>
    </w:p>
    <w:p w:rsidR="001A1086" w:rsidRDefault="00AC4B8B" w:rsidP="00164D44">
      <w:pPr>
        <w:rPr>
          <w:rFonts w:cs="Arial"/>
          <w:color w:val="000000"/>
        </w:rPr>
      </w:pPr>
      <w:r>
        <w:rPr>
          <w:rFonts w:cs="Arial"/>
          <w:color w:val="000000"/>
        </w:rPr>
        <w:t>89</w:t>
      </w:r>
      <w:r w:rsidRPr="00F935DC">
        <w:rPr>
          <w:rFonts w:cs="Arial"/>
          <w:color w:val="000000"/>
        </w:rPr>
        <w:t xml:space="preserve"> % aktiv (pasiv) kapitoly,</w:t>
      </w:r>
    </w:p>
    <w:p w:rsidR="00AC4B8B" w:rsidRPr="00F935DC" w:rsidRDefault="00AC4B8B" w:rsidP="00AC4B8B">
      <w:pPr>
        <w:rPr>
          <w:rFonts w:cs="Arial"/>
          <w:color w:val="000000"/>
        </w:rPr>
      </w:pPr>
      <w:r w:rsidRPr="00F935DC">
        <w:rPr>
          <w:rFonts w:cs="Arial"/>
          <w:color w:val="000000"/>
        </w:rPr>
        <w:t>8</w:t>
      </w:r>
      <w:r>
        <w:rPr>
          <w:rFonts w:cs="Arial"/>
          <w:color w:val="000000"/>
        </w:rPr>
        <w:t>0</w:t>
      </w:r>
      <w:r w:rsidRPr="00F935DC">
        <w:rPr>
          <w:rFonts w:cs="Arial"/>
          <w:color w:val="000000"/>
        </w:rPr>
        <w:t xml:space="preserve"> % nákladů kapitoly,</w:t>
      </w:r>
    </w:p>
    <w:p w:rsidR="00AC4B8B" w:rsidRPr="00F935DC" w:rsidRDefault="00AC4B8B" w:rsidP="00AC4B8B">
      <w:pPr>
        <w:rPr>
          <w:rFonts w:cs="Arial"/>
          <w:color w:val="000000"/>
        </w:rPr>
      </w:pPr>
      <w:r w:rsidRPr="00F935DC">
        <w:rPr>
          <w:rFonts w:cs="Arial"/>
          <w:color w:val="000000"/>
        </w:rPr>
        <w:t>9</w:t>
      </w:r>
      <w:r>
        <w:rPr>
          <w:rFonts w:cs="Arial"/>
          <w:color w:val="000000"/>
        </w:rPr>
        <w:t>2</w:t>
      </w:r>
      <w:r w:rsidRPr="00F935DC">
        <w:rPr>
          <w:rFonts w:cs="Arial"/>
          <w:color w:val="000000"/>
        </w:rPr>
        <w:t xml:space="preserve"> % výnosů kapitoly,</w:t>
      </w:r>
    </w:p>
    <w:p w:rsidR="00AC4B8B" w:rsidRPr="00F935DC" w:rsidRDefault="00AC4B8B" w:rsidP="00AC4B8B">
      <w:pPr>
        <w:rPr>
          <w:rFonts w:cs="Arial"/>
          <w:color w:val="000000"/>
        </w:rPr>
      </w:pPr>
      <w:r w:rsidRPr="00F935DC">
        <w:rPr>
          <w:rFonts w:cs="Arial"/>
          <w:color w:val="000000"/>
        </w:rPr>
        <w:t>9</w:t>
      </w:r>
      <w:r>
        <w:rPr>
          <w:rFonts w:cs="Arial"/>
          <w:color w:val="000000"/>
        </w:rPr>
        <w:t>2</w:t>
      </w:r>
      <w:r w:rsidRPr="00F935DC">
        <w:rPr>
          <w:rFonts w:cs="Arial"/>
          <w:color w:val="000000"/>
        </w:rPr>
        <w:t xml:space="preserve"> % příjmů kapitoly,</w:t>
      </w:r>
    </w:p>
    <w:p w:rsidR="00AC4B8B" w:rsidRPr="00F935DC" w:rsidRDefault="00AC4B8B" w:rsidP="00AC4B8B">
      <w:pPr>
        <w:rPr>
          <w:rFonts w:cs="Arial"/>
          <w:color w:val="000000"/>
        </w:rPr>
      </w:pPr>
      <w:r w:rsidRPr="00F935DC">
        <w:rPr>
          <w:rFonts w:cs="Arial"/>
          <w:color w:val="000000"/>
        </w:rPr>
        <w:t>8</w:t>
      </w:r>
      <w:r>
        <w:rPr>
          <w:rFonts w:cs="Arial"/>
          <w:color w:val="000000"/>
        </w:rPr>
        <w:t>0</w:t>
      </w:r>
      <w:r w:rsidRPr="00F935DC">
        <w:rPr>
          <w:rFonts w:cs="Arial"/>
          <w:color w:val="000000"/>
        </w:rPr>
        <w:t xml:space="preserve"> % výdajů kapitoly.</w:t>
      </w:r>
    </w:p>
    <w:p w:rsidR="00AC4B8B" w:rsidRPr="00F935DC" w:rsidRDefault="00AC4B8B" w:rsidP="00AC4B8B">
      <w:pPr>
        <w:rPr>
          <w:rFonts w:cs="Arial"/>
          <w:color w:val="000000"/>
        </w:rPr>
      </w:pPr>
    </w:p>
    <w:p w:rsidR="00AC4B8B" w:rsidRPr="00017E0A" w:rsidRDefault="00AC4B8B" w:rsidP="00355106">
      <w:pPr>
        <w:ind w:firstLine="0"/>
        <w:rPr>
          <w:rFonts w:cs="Arial"/>
          <w:color w:val="000000"/>
        </w:rPr>
      </w:pPr>
      <w:r w:rsidRPr="00017E0A">
        <w:rPr>
          <w:rFonts w:cs="Arial"/>
          <w:color w:val="000000"/>
        </w:rPr>
        <w:t>Kontrola navázala na kontrolní akci č.</w:t>
      </w:r>
      <w:r w:rsidR="005E5DF2">
        <w:rPr>
          <w:rFonts w:cs="Arial"/>
          <w:color w:val="000000"/>
        </w:rPr>
        <w:t xml:space="preserve"> </w:t>
      </w:r>
      <w:r w:rsidRPr="00017E0A">
        <w:rPr>
          <w:rFonts w:cs="Arial"/>
          <w:color w:val="000000"/>
        </w:rPr>
        <w:t xml:space="preserve">10/19 – </w:t>
      </w:r>
      <w:r w:rsidR="00D54265" w:rsidRPr="00164D44">
        <w:rPr>
          <w:rFonts w:cs="Arial"/>
          <w:i/>
          <w:color w:val="000000"/>
        </w:rPr>
        <w:t>Roční účetní a finanční výkazy České správy sociálního zabezpečení za rok 2010</w:t>
      </w:r>
      <w:r w:rsidR="001466EB" w:rsidRPr="00017E0A">
        <w:rPr>
          <w:rStyle w:val="Znakapoznpodarou"/>
          <w:rFonts w:cs="Arial"/>
          <w:color w:val="000000"/>
        </w:rPr>
        <w:footnoteReference w:id="1"/>
      </w:r>
      <w:r w:rsidRPr="00017E0A">
        <w:rPr>
          <w:rFonts w:cs="Arial"/>
          <w:color w:val="000000"/>
        </w:rPr>
        <w:t xml:space="preserve">, která byla zaměřena na </w:t>
      </w:r>
      <w:r w:rsidR="009F5A5E" w:rsidRPr="00017E0A">
        <w:rPr>
          <w:rFonts w:cs="Arial"/>
          <w:color w:val="000000"/>
        </w:rPr>
        <w:t>celou účetní závěrku ČSSZ a </w:t>
      </w:r>
      <w:r w:rsidR="00E531BB">
        <w:rPr>
          <w:rFonts w:cs="Arial"/>
          <w:color w:val="000000"/>
        </w:rPr>
        <w:t>v</w:t>
      </w:r>
      <w:r w:rsidRPr="00017E0A">
        <w:rPr>
          <w:rFonts w:cs="Arial"/>
          <w:color w:val="000000"/>
        </w:rPr>
        <w:t>ýkaz pro hodnocení plnění rozpočtu.</w:t>
      </w:r>
    </w:p>
    <w:p w:rsidR="00AC4B8B" w:rsidRPr="00017E0A" w:rsidRDefault="00AC4B8B" w:rsidP="00AC4B8B">
      <w:pPr>
        <w:rPr>
          <w:rFonts w:cs="Arial"/>
          <w:color w:val="000000"/>
        </w:rPr>
      </w:pPr>
    </w:p>
    <w:p w:rsidR="00AC4B8B" w:rsidRDefault="00A81165" w:rsidP="00164D44">
      <w:pPr>
        <w:ind w:firstLine="0"/>
        <w:rPr>
          <w:rFonts w:cs="Arial"/>
        </w:rPr>
      </w:pPr>
      <w:r>
        <w:rPr>
          <w:rFonts w:cs="Arial"/>
          <w:color w:val="000000"/>
        </w:rPr>
        <w:t xml:space="preserve">Tato kontrolní akce </w:t>
      </w:r>
      <w:r w:rsidR="00AC4B8B" w:rsidRPr="00017E0A">
        <w:rPr>
          <w:rFonts w:cs="Arial"/>
          <w:color w:val="000000"/>
        </w:rPr>
        <w:t>byla zaměřena na účetní výkazy, které tvoří účetní závěrku (dále také „ÚZ“)</w:t>
      </w:r>
      <w:r w:rsidR="009D1B4F">
        <w:rPr>
          <w:rFonts w:cs="Arial"/>
          <w:color w:val="000000"/>
        </w:rPr>
        <w:t>,</w:t>
      </w:r>
      <w:r w:rsidR="00AC4B8B" w:rsidRPr="00017E0A">
        <w:rPr>
          <w:rFonts w:cs="Arial"/>
          <w:color w:val="000000"/>
        </w:rPr>
        <w:t xml:space="preserve"> a</w:t>
      </w:r>
      <w:r w:rsidR="005E5DF2">
        <w:rPr>
          <w:rFonts w:cs="Arial"/>
          <w:color w:val="000000"/>
        </w:rPr>
        <w:t xml:space="preserve"> </w:t>
      </w:r>
      <w:r w:rsidR="00AC4B8B" w:rsidRPr="00017E0A">
        <w:rPr>
          <w:rFonts w:cs="Arial"/>
          <w:color w:val="000000"/>
        </w:rPr>
        <w:t xml:space="preserve">finanční výkazy, zejména pak na </w:t>
      </w:r>
      <w:r w:rsidR="00D54265" w:rsidRPr="00164D44">
        <w:rPr>
          <w:rFonts w:cs="Arial"/>
          <w:i/>
          <w:color w:val="000000"/>
        </w:rPr>
        <w:t>výkaz pro hodnocení plnění rozpočtu</w:t>
      </w:r>
      <w:bookmarkStart w:id="0" w:name="_Toc279409352"/>
      <w:r w:rsidR="00D54265" w:rsidRPr="00164D44">
        <w:rPr>
          <w:rFonts w:cs="Arial"/>
          <w:i/>
          <w:color w:val="000000"/>
        </w:rPr>
        <w:t xml:space="preserve"> správců kapitol, organizačních složek státu a státních fondů </w:t>
      </w:r>
      <w:r w:rsidR="00AC4B8B" w:rsidRPr="009D1B4F">
        <w:rPr>
          <w:rFonts w:cs="Arial"/>
          <w:color w:val="000000"/>
        </w:rPr>
        <w:t>FIN 2-04 U</w:t>
      </w:r>
      <w:r w:rsidR="00AC4B8B" w:rsidRPr="00017E0A">
        <w:rPr>
          <w:rFonts w:cs="Arial"/>
          <w:color w:val="000000"/>
        </w:rPr>
        <w:t xml:space="preserve"> (dále také „</w:t>
      </w:r>
      <w:r w:rsidR="009D1B4F">
        <w:rPr>
          <w:rFonts w:cs="Arial"/>
          <w:color w:val="000000"/>
        </w:rPr>
        <w:t>v</w:t>
      </w:r>
      <w:r w:rsidR="00AC4B8B" w:rsidRPr="00017E0A">
        <w:rPr>
          <w:rFonts w:cs="Arial"/>
          <w:color w:val="000000"/>
        </w:rPr>
        <w:t>ýkaz pro hodnocení plnění rozpočtu“)</w:t>
      </w:r>
      <w:r w:rsidR="009D1B4F">
        <w:rPr>
          <w:rFonts w:cs="Arial"/>
          <w:color w:val="000000"/>
        </w:rPr>
        <w:t>,</w:t>
      </w:r>
      <w:r w:rsidR="00AC4B8B" w:rsidRPr="00017E0A">
        <w:rPr>
          <w:rFonts w:cs="Arial"/>
          <w:color w:val="000000"/>
        </w:rPr>
        <w:t xml:space="preserve"> sestavené </w:t>
      </w:r>
      <w:r w:rsidR="00F33867">
        <w:rPr>
          <w:rFonts w:cs="Arial"/>
          <w:color w:val="000000"/>
        </w:rPr>
        <w:t>k </w:t>
      </w:r>
      <w:r w:rsidR="00AC4B8B" w:rsidRPr="00017E0A">
        <w:rPr>
          <w:rFonts w:cs="Arial"/>
          <w:color w:val="000000"/>
        </w:rPr>
        <w:t>31.</w:t>
      </w:r>
      <w:r w:rsidR="005E5DF2">
        <w:rPr>
          <w:rFonts w:cs="Arial"/>
          <w:color w:val="000000"/>
        </w:rPr>
        <w:t xml:space="preserve"> </w:t>
      </w:r>
      <w:r w:rsidR="00AC4B8B" w:rsidRPr="00017E0A">
        <w:rPr>
          <w:rFonts w:cs="Arial"/>
          <w:color w:val="000000"/>
        </w:rPr>
        <w:t xml:space="preserve">prosinci 2011, přičemž položky </w:t>
      </w:r>
      <w:r w:rsidR="00F33867">
        <w:rPr>
          <w:rFonts w:cs="Arial"/>
          <w:color w:val="000000"/>
        </w:rPr>
        <w:t>k </w:t>
      </w:r>
      <w:r w:rsidR="00AC4B8B" w:rsidRPr="00017E0A">
        <w:rPr>
          <w:rFonts w:cs="Arial"/>
          <w:color w:val="000000"/>
        </w:rPr>
        <w:t xml:space="preserve">podrobnému testování byly </w:t>
      </w:r>
      <w:r w:rsidR="00F07B3A" w:rsidRPr="00017E0A">
        <w:rPr>
          <w:rFonts w:cs="Arial"/>
          <w:color w:val="000000"/>
        </w:rPr>
        <w:t>vybrány</w:t>
      </w:r>
      <w:r w:rsidR="00AC4B8B" w:rsidRPr="00017E0A">
        <w:rPr>
          <w:rFonts w:cs="Arial"/>
          <w:color w:val="000000"/>
        </w:rPr>
        <w:t xml:space="preserve"> </w:t>
      </w:r>
      <w:r w:rsidR="00F33867">
        <w:rPr>
          <w:rFonts w:cs="Arial"/>
          <w:color w:val="000000"/>
        </w:rPr>
        <w:t>v </w:t>
      </w:r>
      <w:r w:rsidR="00AC4B8B" w:rsidRPr="00017E0A">
        <w:rPr>
          <w:rFonts w:cs="Arial"/>
          <w:color w:val="000000"/>
        </w:rPr>
        <w:t xml:space="preserve">návaznosti na jejich kvantitativní a kvalitativní významnost </w:t>
      </w:r>
      <w:r w:rsidR="00F33867">
        <w:rPr>
          <w:rFonts w:cs="Arial"/>
          <w:color w:val="000000"/>
        </w:rPr>
        <w:t>v </w:t>
      </w:r>
      <w:r w:rsidR="00AC4B8B" w:rsidRPr="00017E0A">
        <w:rPr>
          <w:rFonts w:cs="Arial"/>
          <w:color w:val="000000"/>
        </w:rPr>
        <w:t xml:space="preserve">rámci účetní závěrky a </w:t>
      </w:r>
      <w:r w:rsidR="009D1B4F">
        <w:rPr>
          <w:rFonts w:cs="Arial"/>
          <w:color w:val="000000"/>
        </w:rPr>
        <w:t>v</w:t>
      </w:r>
      <w:r w:rsidR="00AC4B8B" w:rsidRPr="00017E0A">
        <w:rPr>
          <w:rFonts w:cs="Arial"/>
          <w:color w:val="000000"/>
        </w:rPr>
        <w:t xml:space="preserve">ýkazu pro hodnocení plnění rozpočtu. Pozornost byla věnována též účetní metodě odpisování dlouhodobého majetku, kterou </w:t>
      </w:r>
      <w:r w:rsidR="008F3B3A">
        <w:rPr>
          <w:rFonts w:cs="Arial"/>
          <w:color w:val="000000"/>
        </w:rPr>
        <w:t xml:space="preserve">organizační složky státu </w:t>
      </w:r>
      <w:r w:rsidR="00AC4B8B" w:rsidRPr="00017E0A">
        <w:rPr>
          <w:rFonts w:cs="Arial"/>
          <w:color w:val="000000"/>
        </w:rPr>
        <w:t xml:space="preserve">provedly poprvé v účetní závěrce sestavené </w:t>
      </w:r>
      <w:r w:rsidR="00F33867">
        <w:rPr>
          <w:rFonts w:cs="Arial"/>
          <w:color w:val="000000"/>
        </w:rPr>
        <w:t>k </w:t>
      </w:r>
      <w:r w:rsidR="00AC4B8B" w:rsidRPr="00017E0A">
        <w:rPr>
          <w:rFonts w:cs="Arial"/>
          <w:color w:val="000000"/>
        </w:rPr>
        <w:t xml:space="preserve">31. </w:t>
      </w:r>
      <w:r w:rsidR="005873B9" w:rsidRPr="00017E0A">
        <w:rPr>
          <w:rFonts w:cs="Arial"/>
          <w:color w:val="000000"/>
        </w:rPr>
        <w:t>prosinci</w:t>
      </w:r>
      <w:r w:rsidR="00AC4B8B" w:rsidRPr="00017E0A">
        <w:rPr>
          <w:rFonts w:cs="Arial"/>
          <w:color w:val="000000"/>
        </w:rPr>
        <w:t xml:space="preserve"> 2011.</w:t>
      </w:r>
      <w:bookmarkEnd w:id="0"/>
      <w:r w:rsidR="00AC4B8B" w:rsidRPr="00017E0A">
        <w:rPr>
          <w:rFonts w:cs="Arial"/>
          <w:color w:val="000000"/>
        </w:rPr>
        <w:t xml:space="preserve"> </w:t>
      </w:r>
      <w:r w:rsidR="00AC4B8B" w:rsidRPr="00017E0A">
        <w:rPr>
          <w:rFonts w:cs="Arial"/>
          <w:bCs/>
          <w:iCs/>
        </w:rPr>
        <w:t xml:space="preserve">Dále byla kontrola zaměřena na identifikovaná rizika spojená </w:t>
      </w:r>
      <w:r w:rsidR="00F33867">
        <w:rPr>
          <w:rFonts w:cs="Arial"/>
          <w:bCs/>
          <w:iCs/>
        </w:rPr>
        <w:t>s </w:t>
      </w:r>
      <w:r w:rsidR="00AC4B8B" w:rsidRPr="00017E0A">
        <w:rPr>
          <w:rFonts w:cs="Arial"/>
        </w:rPr>
        <w:t xml:space="preserve">inventarizací majetku a závazků </w:t>
      </w:r>
      <w:r w:rsidR="00F33867">
        <w:rPr>
          <w:rFonts w:cs="Arial"/>
        </w:rPr>
        <w:t>v </w:t>
      </w:r>
      <w:r w:rsidR="00AC4B8B" w:rsidRPr="00017E0A">
        <w:rPr>
          <w:rFonts w:cs="Arial"/>
        </w:rPr>
        <w:t xml:space="preserve">souvislosti </w:t>
      </w:r>
      <w:r w:rsidR="00F33867">
        <w:rPr>
          <w:rFonts w:cs="Arial"/>
        </w:rPr>
        <w:t>s </w:t>
      </w:r>
      <w:r w:rsidR="00AC4B8B" w:rsidRPr="00017E0A">
        <w:rPr>
          <w:rFonts w:cs="Arial"/>
        </w:rPr>
        <w:t>účinností vyhlášky č. 270/2010 Sb.</w:t>
      </w:r>
      <w:r w:rsidR="001466EB" w:rsidRPr="00017E0A">
        <w:rPr>
          <w:rFonts w:cs="Arial"/>
        </w:rPr>
        <w:t>, o inventarizaci majetku a závazků.</w:t>
      </w:r>
    </w:p>
    <w:p w:rsidR="009D1B4F" w:rsidRPr="00017E0A" w:rsidRDefault="009D1B4F" w:rsidP="00355106">
      <w:pPr>
        <w:ind w:firstLine="0"/>
        <w:rPr>
          <w:rFonts w:cs="Arial"/>
          <w:color w:val="000000"/>
        </w:rPr>
      </w:pPr>
    </w:p>
    <w:p w:rsidR="00AC4B8B" w:rsidRDefault="00F33867" w:rsidP="00AC4B8B">
      <w:pPr>
        <w:pStyle w:val="Normlnodsazen"/>
        <w:spacing w:line="240" w:lineRule="auto"/>
        <w:ind w:firstLine="0"/>
      </w:pPr>
      <w:r>
        <w:t>S </w:t>
      </w:r>
      <w:r w:rsidR="00AC4B8B" w:rsidRPr="00017E0A">
        <w:t xml:space="preserve">ohledem na rozsah a povahu operací uskutečňovaných ČSSZ a vzhledem </w:t>
      </w:r>
      <w:r>
        <w:t>k </w:t>
      </w:r>
      <w:r w:rsidR="00AC4B8B" w:rsidRPr="00017E0A">
        <w:t xml:space="preserve">vysokému stupni automatizovaného zpracování dat byly </w:t>
      </w:r>
      <w:r>
        <w:t>v </w:t>
      </w:r>
      <w:r w:rsidR="00AC4B8B" w:rsidRPr="00017E0A">
        <w:t xml:space="preserve">rámci </w:t>
      </w:r>
      <w:r w:rsidR="008F3B3A">
        <w:t>t</w:t>
      </w:r>
      <w:r w:rsidR="009D1B4F">
        <w:t>é</w:t>
      </w:r>
      <w:r w:rsidR="008F3B3A">
        <w:t xml:space="preserve">to kontrolní akce </w:t>
      </w:r>
      <w:r w:rsidR="00AC4B8B" w:rsidRPr="00017E0A">
        <w:t>také provedeny testy automatizovaného zpracování dat, jejich agregace a přenosu</w:t>
      </w:r>
      <w:r w:rsidR="00AC4B8B">
        <w:t xml:space="preserve"> </w:t>
      </w:r>
      <w:r>
        <w:t>v </w:t>
      </w:r>
      <w:r w:rsidR="00AC4B8B">
        <w:t xml:space="preserve">rámci účetního systému </w:t>
      </w:r>
      <w:r>
        <w:t>v </w:t>
      </w:r>
      <w:r w:rsidR="00AC4B8B">
        <w:t xml:space="preserve">oblasti transakčního cyklu zpracování pohledávek a příjmů </w:t>
      </w:r>
      <w:r>
        <w:t>z </w:t>
      </w:r>
      <w:r w:rsidR="00AC4B8B">
        <w:t xml:space="preserve">pojistného, </w:t>
      </w:r>
      <w:r>
        <w:t>v </w:t>
      </w:r>
      <w:r w:rsidR="00AC4B8B">
        <w:t xml:space="preserve">oblasti procesu zpracování závazků a výdajů </w:t>
      </w:r>
      <w:r w:rsidR="009D1B4F">
        <w:t>u</w:t>
      </w:r>
      <w:r w:rsidR="00AC4B8B">
        <w:t xml:space="preserve"> dáv</w:t>
      </w:r>
      <w:r w:rsidR="009D1B4F">
        <w:t>e</w:t>
      </w:r>
      <w:r w:rsidR="00AC4B8B">
        <w:t xml:space="preserve">k důchodového a nemocenského pojištění; testy ověření správnosti účtování přenášených dat pro oblast pohledávek a příjmů </w:t>
      </w:r>
      <w:r>
        <w:t>z </w:t>
      </w:r>
      <w:r w:rsidR="00AC4B8B">
        <w:t xml:space="preserve">pojistného, pro oblast závazků a výdajů </w:t>
      </w:r>
      <w:r w:rsidR="009D1B4F">
        <w:t>u</w:t>
      </w:r>
      <w:r w:rsidR="00AC4B8B">
        <w:t xml:space="preserve"> dáv</w:t>
      </w:r>
      <w:r w:rsidR="009D1B4F">
        <w:t>e</w:t>
      </w:r>
      <w:r w:rsidR="00AC4B8B">
        <w:t xml:space="preserve">k důchodového a nemocenského pojištění; analytické porovnání výše příjmů </w:t>
      </w:r>
      <w:r>
        <w:t>z </w:t>
      </w:r>
      <w:r w:rsidR="00AC4B8B">
        <w:t xml:space="preserve">pojistného a výplat dávek důchodového pojištění </w:t>
      </w:r>
      <w:r>
        <w:t>v </w:t>
      </w:r>
      <w:r w:rsidR="00AC4B8B">
        <w:t>rámci kontrolovaného období.</w:t>
      </w:r>
    </w:p>
    <w:p w:rsidR="00220523" w:rsidRDefault="00220523" w:rsidP="00AC4B8B">
      <w:pPr>
        <w:pStyle w:val="Normlnodsazen"/>
        <w:spacing w:line="240" w:lineRule="auto"/>
        <w:ind w:firstLine="0"/>
      </w:pPr>
    </w:p>
    <w:p w:rsidR="00220523" w:rsidRPr="006420AF" w:rsidRDefault="00220523" w:rsidP="00AC4B8B">
      <w:pPr>
        <w:pStyle w:val="Normlnodsazen"/>
        <w:spacing w:line="240" w:lineRule="auto"/>
        <w:ind w:firstLine="0"/>
      </w:pPr>
    </w:p>
    <w:p w:rsidR="001A1086" w:rsidRPr="00164D44" w:rsidRDefault="00D54265" w:rsidP="00187FC0">
      <w:pPr>
        <w:ind w:left="652" w:hanging="652"/>
        <w:jc w:val="left"/>
        <w:rPr>
          <w:rFonts w:cs="Arial"/>
          <w:color w:val="000000"/>
          <w:sz w:val="18"/>
          <w:szCs w:val="18"/>
        </w:rPr>
      </w:pPr>
      <w:r w:rsidRPr="00164D44">
        <w:rPr>
          <w:rFonts w:cs="Arial"/>
          <w:b/>
          <w:color w:val="000000"/>
          <w:sz w:val="18"/>
          <w:szCs w:val="18"/>
        </w:rPr>
        <w:t>Pozn.:</w:t>
      </w:r>
      <w:r w:rsidRPr="00164D44">
        <w:rPr>
          <w:rFonts w:cs="Arial"/>
          <w:color w:val="000000"/>
          <w:sz w:val="18"/>
          <w:szCs w:val="18"/>
        </w:rPr>
        <w:t xml:space="preserve"> </w:t>
      </w:r>
      <w:r w:rsidR="00187FC0">
        <w:rPr>
          <w:rFonts w:cs="Arial"/>
          <w:color w:val="000000"/>
          <w:sz w:val="18"/>
          <w:szCs w:val="18"/>
        </w:rPr>
        <w:t xml:space="preserve"> </w:t>
      </w:r>
      <w:r w:rsidRPr="00164D44">
        <w:rPr>
          <w:rFonts w:cs="Arial"/>
          <w:color w:val="000000"/>
          <w:sz w:val="18"/>
          <w:szCs w:val="18"/>
        </w:rPr>
        <w:t>Všechny právní předpisy uvedené v tomto kontrolním závěru jsou aplikovány ve znění účinném pro kontrolované období.</w:t>
      </w:r>
    </w:p>
    <w:p w:rsidR="00304D66" w:rsidRDefault="00304D66" w:rsidP="008F3B3A">
      <w:pPr>
        <w:ind w:left="284" w:hanging="284"/>
        <w:jc w:val="left"/>
        <w:rPr>
          <w:rFonts w:cs="Arial"/>
          <w:color w:val="000000"/>
        </w:rPr>
      </w:pPr>
      <w:r>
        <w:rPr>
          <w:rFonts w:cs="Arial"/>
          <w:color w:val="000000"/>
        </w:rPr>
        <w:br w:type="page"/>
      </w:r>
    </w:p>
    <w:p w:rsidR="00AC4B8B" w:rsidRPr="00A91338" w:rsidRDefault="00AC4B8B" w:rsidP="00AC4B8B">
      <w:pPr>
        <w:jc w:val="center"/>
        <w:rPr>
          <w:rFonts w:cs="Arial"/>
          <w:b/>
          <w:color w:val="000000"/>
          <w:sz w:val="24"/>
        </w:rPr>
      </w:pPr>
      <w:r w:rsidRPr="00A91338">
        <w:rPr>
          <w:rFonts w:cs="Arial"/>
          <w:b/>
          <w:color w:val="000000"/>
          <w:sz w:val="24"/>
        </w:rPr>
        <w:lastRenderedPageBreak/>
        <w:t>II. Skutečnosti zjištěné při kontrole</w:t>
      </w:r>
    </w:p>
    <w:p w:rsidR="00AC4B8B" w:rsidRPr="00F935DC" w:rsidRDefault="00AC4B8B" w:rsidP="00AC4B8B">
      <w:pPr>
        <w:jc w:val="center"/>
        <w:rPr>
          <w:rFonts w:cs="Arial"/>
          <w:b/>
          <w:color w:val="000000"/>
          <w:sz w:val="24"/>
        </w:rPr>
      </w:pPr>
    </w:p>
    <w:p w:rsidR="001A1086" w:rsidRDefault="00B87E1C" w:rsidP="00164D44">
      <w:pPr>
        <w:pStyle w:val="Nadpis1"/>
        <w:numPr>
          <w:ilvl w:val="0"/>
          <w:numId w:val="0"/>
        </w:numPr>
        <w:rPr>
          <w:sz w:val="22"/>
          <w:szCs w:val="22"/>
        </w:rPr>
      </w:pPr>
      <w:r>
        <w:rPr>
          <w:sz w:val="22"/>
          <w:szCs w:val="22"/>
        </w:rPr>
        <w:t xml:space="preserve">1. </w:t>
      </w:r>
      <w:r w:rsidR="00AC4B8B" w:rsidRPr="00A91338">
        <w:rPr>
          <w:sz w:val="22"/>
          <w:szCs w:val="22"/>
        </w:rPr>
        <w:t xml:space="preserve">Účetní závěrka </w:t>
      </w:r>
      <w:r w:rsidR="002716C1">
        <w:rPr>
          <w:sz w:val="22"/>
          <w:szCs w:val="22"/>
        </w:rPr>
        <w:t xml:space="preserve">ČSSZ </w:t>
      </w:r>
      <w:r w:rsidR="00F33867">
        <w:rPr>
          <w:sz w:val="22"/>
          <w:szCs w:val="22"/>
        </w:rPr>
        <w:t>k </w:t>
      </w:r>
      <w:r w:rsidR="00AC4B8B" w:rsidRPr="00A91338">
        <w:rPr>
          <w:sz w:val="22"/>
          <w:szCs w:val="22"/>
        </w:rPr>
        <w:t>31. prosinci 2011</w:t>
      </w:r>
    </w:p>
    <w:p w:rsidR="00AC4B8B" w:rsidRPr="00F935DC" w:rsidRDefault="00AC4B8B" w:rsidP="00AC4B8B">
      <w:pPr>
        <w:rPr>
          <w:rFonts w:cs="Arial"/>
          <w:color w:val="000000"/>
        </w:rPr>
      </w:pPr>
    </w:p>
    <w:p w:rsidR="00AC4B8B" w:rsidRPr="004823CA" w:rsidRDefault="00B87E1C" w:rsidP="00B87E1C">
      <w:pPr>
        <w:tabs>
          <w:tab w:val="right" w:pos="9072"/>
        </w:tabs>
        <w:ind w:left="1622" w:hanging="1622"/>
        <w:rPr>
          <w:rFonts w:cs="Arial"/>
          <w:b/>
          <w:color w:val="000000"/>
        </w:rPr>
      </w:pPr>
      <w:r>
        <w:rPr>
          <w:rFonts w:cs="Arial"/>
          <w:b/>
          <w:color w:val="000000"/>
        </w:rPr>
        <w:t xml:space="preserve">Tabulka č. 1 – </w:t>
      </w:r>
      <w:r w:rsidR="00AC4B8B" w:rsidRPr="00F935DC">
        <w:rPr>
          <w:rFonts w:cs="Arial"/>
          <w:b/>
          <w:color w:val="000000"/>
        </w:rPr>
        <w:t xml:space="preserve">Údaje </w:t>
      </w:r>
      <w:r w:rsidR="00F33867">
        <w:rPr>
          <w:rFonts w:cs="Arial"/>
          <w:b/>
          <w:color w:val="000000"/>
        </w:rPr>
        <w:t>z </w:t>
      </w:r>
      <w:r w:rsidR="00AC4B8B" w:rsidRPr="00F935DC">
        <w:rPr>
          <w:rFonts w:cs="Arial"/>
          <w:b/>
          <w:color w:val="000000"/>
        </w:rPr>
        <w:t>výkaz</w:t>
      </w:r>
      <w:r w:rsidR="00AC4B8B">
        <w:rPr>
          <w:rFonts w:cs="Arial"/>
          <w:b/>
          <w:color w:val="000000"/>
        </w:rPr>
        <w:t>u</w:t>
      </w:r>
      <w:r w:rsidR="00AC4B8B" w:rsidRPr="00F935DC">
        <w:rPr>
          <w:rFonts w:cs="Arial"/>
          <w:b/>
          <w:color w:val="000000"/>
        </w:rPr>
        <w:t xml:space="preserve"> </w:t>
      </w:r>
      <w:r w:rsidR="003664AB">
        <w:rPr>
          <w:rFonts w:cs="Arial"/>
          <w:b/>
          <w:color w:val="000000"/>
        </w:rPr>
        <w:t>r</w:t>
      </w:r>
      <w:r w:rsidR="00AC4B8B" w:rsidRPr="00F935DC">
        <w:rPr>
          <w:rFonts w:cs="Arial"/>
          <w:b/>
          <w:color w:val="000000"/>
        </w:rPr>
        <w:t xml:space="preserve">ozvaha, </w:t>
      </w:r>
      <w:r w:rsidR="003664AB">
        <w:rPr>
          <w:rFonts w:cs="Arial"/>
          <w:b/>
          <w:color w:val="000000"/>
        </w:rPr>
        <w:t>v</w:t>
      </w:r>
      <w:r w:rsidR="00AC4B8B" w:rsidRPr="00F935DC">
        <w:rPr>
          <w:rFonts w:cs="Arial"/>
          <w:b/>
          <w:color w:val="000000"/>
        </w:rPr>
        <w:t>ýkaz</w:t>
      </w:r>
      <w:r w:rsidR="00AC4B8B">
        <w:rPr>
          <w:rFonts w:cs="Arial"/>
          <w:b/>
          <w:color w:val="000000"/>
        </w:rPr>
        <w:t>u</w:t>
      </w:r>
      <w:r w:rsidR="00AC4B8B" w:rsidRPr="00F935DC">
        <w:rPr>
          <w:rFonts w:cs="Arial"/>
          <w:b/>
          <w:color w:val="000000"/>
        </w:rPr>
        <w:t xml:space="preserve"> zisku a ztráty a část</w:t>
      </w:r>
      <w:r w:rsidR="00AC4B8B">
        <w:rPr>
          <w:rFonts w:cs="Arial"/>
          <w:b/>
          <w:color w:val="000000"/>
        </w:rPr>
        <w:t>i</w:t>
      </w:r>
      <w:r w:rsidR="00AC4B8B" w:rsidRPr="00F935DC">
        <w:rPr>
          <w:rFonts w:cs="Arial"/>
          <w:b/>
          <w:color w:val="000000"/>
        </w:rPr>
        <w:t xml:space="preserve"> A.4 </w:t>
      </w:r>
      <w:r w:rsidR="003664AB">
        <w:rPr>
          <w:rFonts w:cs="Arial"/>
          <w:b/>
          <w:color w:val="000000"/>
        </w:rPr>
        <w:t>p</w:t>
      </w:r>
      <w:r w:rsidR="00AC4B8B" w:rsidRPr="00F935DC">
        <w:rPr>
          <w:rFonts w:cs="Arial"/>
          <w:b/>
          <w:color w:val="000000"/>
        </w:rPr>
        <w:t xml:space="preserve">řílohy ÚZ (jiná aktiva a jiná pasiva) </w:t>
      </w:r>
      <w:r w:rsidR="00F33867">
        <w:rPr>
          <w:rFonts w:cs="Arial"/>
          <w:b/>
          <w:color w:val="000000"/>
        </w:rPr>
        <w:tab/>
      </w:r>
      <w:r w:rsidR="00AC4B8B" w:rsidRPr="004823CA">
        <w:rPr>
          <w:rFonts w:cs="Arial"/>
          <w:b/>
          <w:color w:val="000000"/>
        </w:rPr>
        <w:t>(</w:t>
      </w:r>
      <w:r w:rsidR="00F33867">
        <w:rPr>
          <w:rFonts w:cs="Arial"/>
          <w:b/>
          <w:color w:val="000000"/>
        </w:rPr>
        <w:t>v </w:t>
      </w:r>
      <w:r w:rsidR="00AC4B8B" w:rsidRPr="004823CA">
        <w:rPr>
          <w:rFonts w:cs="Arial"/>
          <w:b/>
          <w:color w:val="000000"/>
        </w:rPr>
        <w:t>Kč)</w:t>
      </w:r>
    </w:p>
    <w:tbl>
      <w:tblPr>
        <w:tblW w:w="9127"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5827"/>
        <w:gridCol w:w="3300"/>
      </w:tblGrid>
      <w:tr w:rsidR="00AC4B8B" w:rsidRPr="00F935DC" w:rsidTr="00AC4B8B">
        <w:trPr>
          <w:trHeight w:val="283"/>
        </w:trPr>
        <w:tc>
          <w:tcPr>
            <w:tcW w:w="5827" w:type="dxa"/>
            <w:shd w:val="clear" w:color="auto" w:fill="auto"/>
            <w:noWrap/>
            <w:vAlign w:val="center"/>
            <w:hideMark/>
          </w:tcPr>
          <w:p w:rsidR="00AC4B8B" w:rsidRPr="00AF4688" w:rsidRDefault="00AC4B8B" w:rsidP="00AC4B8B">
            <w:pPr>
              <w:spacing w:before="20" w:after="20"/>
              <w:jc w:val="center"/>
              <w:rPr>
                <w:rFonts w:cs="Arial"/>
                <w:b/>
                <w:bCs/>
                <w:color w:val="000000"/>
                <w:highlight w:val="yellow"/>
                <w:lang w:eastAsia="cs-CZ"/>
              </w:rPr>
            </w:pPr>
            <w:r w:rsidRPr="00C41BEA">
              <w:rPr>
                <w:rFonts w:cs="Arial"/>
                <w:b/>
                <w:bCs/>
                <w:color w:val="000000"/>
                <w:lang w:eastAsia="cs-CZ"/>
              </w:rPr>
              <w:t>Ukazatel</w:t>
            </w:r>
          </w:p>
        </w:tc>
        <w:tc>
          <w:tcPr>
            <w:tcW w:w="3300" w:type="dxa"/>
            <w:shd w:val="clear" w:color="auto" w:fill="auto"/>
            <w:noWrap/>
            <w:vAlign w:val="center"/>
            <w:hideMark/>
          </w:tcPr>
          <w:p w:rsidR="00AC4B8B" w:rsidRPr="00AF4688" w:rsidRDefault="00AC4B8B" w:rsidP="00AC4B8B">
            <w:pPr>
              <w:spacing w:before="20" w:after="20"/>
              <w:jc w:val="center"/>
              <w:rPr>
                <w:rFonts w:cs="Arial"/>
                <w:b/>
                <w:bCs/>
                <w:color w:val="000000"/>
                <w:highlight w:val="yellow"/>
                <w:lang w:eastAsia="cs-CZ"/>
              </w:rPr>
            </w:pPr>
            <w:r w:rsidRPr="00C41BEA">
              <w:rPr>
                <w:rFonts w:cs="Arial"/>
                <w:b/>
                <w:bCs/>
                <w:color w:val="000000"/>
                <w:lang w:eastAsia="cs-CZ"/>
              </w:rPr>
              <w:t>Hodnota</w:t>
            </w:r>
          </w:p>
        </w:tc>
      </w:tr>
      <w:tr w:rsidR="00AC4B8B" w:rsidRPr="00F935DC" w:rsidTr="00AC4B8B">
        <w:trPr>
          <w:trHeight w:val="283"/>
        </w:trPr>
        <w:tc>
          <w:tcPr>
            <w:tcW w:w="5827" w:type="dxa"/>
            <w:shd w:val="clear" w:color="auto" w:fill="auto"/>
            <w:noWrap/>
            <w:vAlign w:val="center"/>
            <w:hideMark/>
          </w:tcPr>
          <w:p w:rsidR="00AC4B8B" w:rsidRPr="00F935DC" w:rsidRDefault="00AC4B8B" w:rsidP="001632CB">
            <w:pPr>
              <w:spacing w:before="20" w:after="20"/>
              <w:ind w:firstLine="0"/>
              <w:rPr>
                <w:rFonts w:cs="Arial"/>
                <w:color w:val="000000"/>
                <w:lang w:eastAsia="cs-CZ"/>
              </w:rPr>
            </w:pPr>
            <w:r w:rsidRPr="00F935DC">
              <w:rPr>
                <w:rFonts w:cs="Arial"/>
                <w:color w:val="000000"/>
                <w:lang w:eastAsia="cs-CZ"/>
              </w:rPr>
              <w:t>Aktiva (pasiva)</w:t>
            </w:r>
          </w:p>
        </w:tc>
        <w:tc>
          <w:tcPr>
            <w:tcW w:w="3300" w:type="dxa"/>
            <w:shd w:val="clear" w:color="auto" w:fill="auto"/>
            <w:noWrap/>
            <w:vAlign w:val="center"/>
            <w:hideMark/>
          </w:tcPr>
          <w:p w:rsidR="00AC4B8B" w:rsidRPr="00F935DC" w:rsidRDefault="0085207C" w:rsidP="001466EB">
            <w:pPr>
              <w:spacing w:before="20" w:after="20"/>
              <w:ind w:right="296"/>
              <w:jc w:val="right"/>
              <w:rPr>
                <w:rFonts w:cs="Arial"/>
                <w:color w:val="000000"/>
                <w:lang w:eastAsia="cs-CZ"/>
              </w:rPr>
            </w:pPr>
            <w:r w:rsidRPr="00214F9A">
              <w:rPr>
                <w:rFonts w:cs="Arial"/>
                <w:color w:val="000000"/>
                <w:szCs w:val="22"/>
                <w:lang w:eastAsia="cs-CZ"/>
              </w:rPr>
              <w:t>394 674</w:t>
            </w:r>
            <w:r w:rsidR="005E5DF2">
              <w:rPr>
                <w:rFonts w:cs="Arial"/>
                <w:color w:val="000000"/>
                <w:szCs w:val="22"/>
                <w:lang w:eastAsia="cs-CZ"/>
              </w:rPr>
              <w:t xml:space="preserve"> </w:t>
            </w:r>
            <w:r w:rsidRPr="00214F9A">
              <w:rPr>
                <w:rFonts w:cs="Arial"/>
                <w:color w:val="000000"/>
                <w:szCs w:val="22"/>
                <w:lang w:eastAsia="cs-CZ"/>
              </w:rPr>
              <w:t>388</w:t>
            </w:r>
            <w:r w:rsidR="001466EB">
              <w:rPr>
                <w:rFonts w:cs="Arial"/>
                <w:color w:val="000000"/>
                <w:szCs w:val="22"/>
                <w:lang w:eastAsia="cs-CZ"/>
              </w:rPr>
              <w:t xml:space="preserve"> </w:t>
            </w:r>
            <w:r w:rsidRPr="00214F9A">
              <w:rPr>
                <w:rFonts w:cs="Arial"/>
                <w:color w:val="000000"/>
                <w:szCs w:val="22"/>
                <w:lang w:eastAsia="cs-CZ"/>
              </w:rPr>
              <w:t>73</w:t>
            </w:r>
            <w:r w:rsidR="001466EB">
              <w:rPr>
                <w:rFonts w:cs="Arial"/>
                <w:color w:val="000000"/>
                <w:szCs w:val="22"/>
                <w:lang w:eastAsia="cs-CZ"/>
              </w:rPr>
              <w:t>3,69</w:t>
            </w:r>
          </w:p>
        </w:tc>
      </w:tr>
      <w:tr w:rsidR="00AC4B8B" w:rsidRPr="00F935DC" w:rsidTr="00AC4B8B">
        <w:trPr>
          <w:trHeight w:val="283"/>
        </w:trPr>
        <w:tc>
          <w:tcPr>
            <w:tcW w:w="5827" w:type="dxa"/>
            <w:shd w:val="clear" w:color="auto" w:fill="auto"/>
            <w:noWrap/>
            <w:vAlign w:val="center"/>
            <w:hideMark/>
          </w:tcPr>
          <w:p w:rsidR="00AC4B8B" w:rsidRPr="00F935DC" w:rsidRDefault="00AC4B8B" w:rsidP="001632CB">
            <w:pPr>
              <w:spacing w:before="20" w:after="20"/>
              <w:ind w:firstLine="0"/>
              <w:rPr>
                <w:rFonts w:cs="Arial"/>
                <w:color w:val="000000"/>
                <w:lang w:eastAsia="cs-CZ"/>
              </w:rPr>
            </w:pPr>
            <w:r w:rsidRPr="00F935DC">
              <w:rPr>
                <w:rFonts w:cs="Arial"/>
                <w:color w:val="000000"/>
                <w:lang w:eastAsia="cs-CZ"/>
              </w:rPr>
              <w:t xml:space="preserve">Náklady </w:t>
            </w:r>
          </w:p>
        </w:tc>
        <w:tc>
          <w:tcPr>
            <w:tcW w:w="3300" w:type="dxa"/>
            <w:shd w:val="clear" w:color="auto" w:fill="auto"/>
            <w:noWrap/>
            <w:vAlign w:val="center"/>
            <w:hideMark/>
          </w:tcPr>
          <w:p w:rsidR="00AC4B8B" w:rsidRPr="00F935DC" w:rsidRDefault="0085207C" w:rsidP="001466EB">
            <w:pPr>
              <w:spacing w:before="20" w:after="20"/>
              <w:ind w:right="296"/>
              <w:jc w:val="right"/>
              <w:rPr>
                <w:rFonts w:cs="Arial"/>
                <w:color w:val="000000"/>
                <w:lang w:eastAsia="cs-CZ"/>
              </w:rPr>
            </w:pPr>
            <w:r w:rsidRPr="00214F9A">
              <w:rPr>
                <w:rFonts w:cs="Arial"/>
                <w:color w:val="000000"/>
                <w:szCs w:val="22"/>
                <w:lang w:eastAsia="cs-CZ"/>
              </w:rPr>
              <w:t>398 331</w:t>
            </w:r>
            <w:r w:rsidR="005E5DF2">
              <w:rPr>
                <w:rFonts w:cs="Arial"/>
                <w:color w:val="000000"/>
                <w:szCs w:val="22"/>
                <w:lang w:eastAsia="cs-CZ"/>
              </w:rPr>
              <w:t xml:space="preserve"> </w:t>
            </w:r>
            <w:r w:rsidRPr="00214F9A">
              <w:rPr>
                <w:rFonts w:cs="Arial"/>
                <w:color w:val="000000"/>
                <w:szCs w:val="22"/>
                <w:lang w:eastAsia="cs-CZ"/>
              </w:rPr>
              <w:t>707</w:t>
            </w:r>
            <w:r w:rsidR="001466EB">
              <w:rPr>
                <w:rFonts w:cs="Arial"/>
                <w:color w:val="000000"/>
                <w:szCs w:val="22"/>
                <w:lang w:eastAsia="cs-CZ"/>
              </w:rPr>
              <w:t xml:space="preserve"> </w:t>
            </w:r>
            <w:r w:rsidRPr="00214F9A">
              <w:rPr>
                <w:rFonts w:cs="Arial"/>
                <w:color w:val="000000"/>
                <w:szCs w:val="22"/>
                <w:lang w:eastAsia="cs-CZ"/>
              </w:rPr>
              <w:t>51</w:t>
            </w:r>
            <w:r w:rsidR="001466EB">
              <w:rPr>
                <w:rFonts w:cs="Arial"/>
                <w:color w:val="000000"/>
                <w:szCs w:val="22"/>
                <w:lang w:eastAsia="cs-CZ"/>
              </w:rPr>
              <w:t>1,33</w:t>
            </w:r>
          </w:p>
        </w:tc>
      </w:tr>
      <w:tr w:rsidR="00AC4B8B" w:rsidRPr="00F935DC" w:rsidTr="00AC4B8B">
        <w:trPr>
          <w:trHeight w:val="283"/>
        </w:trPr>
        <w:tc>
          <w:tcPr>
            <w:tcW w:w="5827" w:type="dxa"/>
            <w:shd w:val="clear" w:color="auto" w:fill="auto"/>
            <w:noWrap/>
            <w:vAlign w:val="center"/>
            <w:hideMark/>
          </w:tcPr>
          <w:p w:rsidR="00AC4B8B" w:rsidRPr="00F935DC" w:rsidRDefault="00AC4B8B" w:rsidP="001632CB">
            <w:pPr>
              <w:spacing w:before="20" w:after="20"/>
              <w:ind w:firstLine="0"/>
              <w:rPr>
                <w:rFonts w:cs="Arial"/>
                <w:color w:val="000000"/>
                <w:lang w:eastAsia="cs-CZ"/>
              </w:rPr>
            </w:pPr>
            <w:r w:rsidRPr="00F935DC">
              <w:rPr>
                <w:rFonts w:cs="Arial"/>
                <w:color w:val="000000"/>
                <w:lang w:eastAsia="cs-CZ"/>
              </w:rPr>
              <w:t xml:space="preserve">Výnosy </w:t>
            </w:r>
          </w:p>
        </w:tc>
        <w:tc>
          <w:tcPr>
            <w:tcW w:w="3300" w:type="dxa"/>
            <w:shd w:val="clear" w:color="auto" w:fill="auto"/>
            <w:noWrap/>
            <w:vAlign w:val="center"/>
            <w:hideMark/>
          </w:tcPr>
          <w:p w:rsidR="00AC4B8B" w:rsidRPr="00F935DC" w:rsidRDefault="0085207C" w:rsidP="001466EB">
            <w:pPr>
              <w:spacing w:before="20" w:after="20"/>
              <w:ind w:right="296"/>
              <w:jc w:val="right"/>
              <w:rPr>
                <w:rFonts w:cs="Arial"/>
                <w:color w:val="000000"/>
                <w:lang w:eastAsia="cs-CZ"/>
              </w:rPr>
            </w:pPr>
            <w:r w:rsidRPr="00214F9A">
              <w:rPr>
                <w:rFonts w:cs="Arial"/>
                <w:color w:val="000000"/>
                <w:szCs w:val="22"/>
                <w:lang w:eastAsia="cs-CZ"/>
              </w:rPr>
              <w:t>362 093</w:t>
            </w:r>
            <w:r w:rsidR="005E5DF2">
              <w:rPr>
                <w:rFonts w:cs="Arial"/>
                <w:color w:val="000000"/>
                <w:szCs w:val="22"/>
                <w:lang w:eastAsia="cs-CZ"/>
              </w:rPr>
              <w:t xml:space="preserve"> </w:t>
            </w:r>
            <w:r w:rsidRPr="00214F9A">
              <w:rPr>
                <w:rFonts w:cs="Arial"/>
                <w:color w:val="000000"/>
                <w:szCs w:val="22"/>
                <w:lang w:eastAsia="cs-CZ"/>
              </w:rPr>
              <w:t>834</w:t>
            </w:r>
            <w:r w:rsidR="001466EB">
              <w:rPr>
                <w:rFonts w:cs="Arial"/>
                <w:color w:val="000000"/>
                <w:szCs w:val="22"/>
                <w:lang w:eastAsia="cs-CZ"/>
              </w:rPr>
              <w:t xml:space="preserve"> </w:t>
            </w:r>
            <w:r w:rsidRPr="00214F9A">
              <w:rPr>
                <w:rFonts w:cs="Arial"/>
                <w:color w:val="000000"/>
                <w:szCs w:val="22"/>
                <w:lang w:eastAsia="cs-CZ"/>
              </w:rPr>
              <w:t>11</w:t>
            </w:r>
            <w:r w:rsidR="001466EB">
              <w:rPr>
                <w:rFonts w:cs="Arial"/>
                <w:color w:val="000000"/>
                <w:szCs w:val="22"/>
                <w:lang w:eastAsia="cs-CZ"/>
              </w:rPr>
              <w:t>1,40</w:t>
            </w:r>
          </w:p>
        </w:tc>
      </w:tr>
      <w:tr w:rsidR="00AC4B8B" w:rsidRPr="00F935DC" w:rsidTr="00AC4B8B">
        <w:trPr>
          <w:trHeight w:val="283"/>
        </w:trPr>
        <w:tc>
          <w:tcPr>
            <w:tcW w:w="5827" w:type="dxa"/>
            <w:shd w:val="clear" w:color="auto" w:fill="auto"/>
            <w:vAlign w:val="center"/>
            <w:hideMark/>
          </w:tcPr>
          <w:p w:rsidR="00AC4B8B" w:rsidRPr="00F935DC" w:rsidRDefault="00AC4B8B" w:rsidP="003664AB">
            <w:pPr>
              <w:spacing w:before="20" w:after="20"/>
              <w:ind w:firstLine="0"/>
              <w:rPr>
                <w:rFonts w:cs="Arial"/>
                <w:color w:val="000000"/>
                <w:lang w:eastAsia="cs-CZ"/>
              </w:rPr>
            </w:pPr>
            <w:r w:rsidRPr="00F935DC">
              <w:rPr>
                <w:rFonts w:cs="Arial"/>
                <w:color w:val="000000"/>
                <w:lang w:eastAsia="cs-CZ"/>
              </w:rPr>
              <w:t xml:space="preserve">Část A.4 </w:t>
            </w:r>
            <w:r w:rsidR="003664AB">
              <w:rPr>
                <w:rFonts w:cs="Arial"/>
                <w:color w:val="000000"/>
                <w:lang w:eastAsia="cs-CZ"/>
              </w:rPr>
              <w:t>p</w:t>
            </w:r>
            <w:r w:rsidRPr="00F935DC">
              <w:rPr>
                <w:rFonts w:cs="Arial"/>
                <w:color w:val="000000"/>
                <w:lang w:eastAsia="cs-CZ"/>
              </w:rPr>
              <w:t>řílohy ÚZ (jiná aktiva a</w:t>
            </w:r>
            <w:r w:rsidR="005E5DF2">
              <w:rPr>
                <w:rFonts w:cs="Arial"/>
                <w:color w:val="000000"/>
                <w:lang w:eastAsia="cs-CZ"/>
              </w:rPr>
              <w:t xml:space="preserve"> </w:t>
            </w:r>
            <w:r w:rsidRPr="00F935DC">
              <w:rPr>
                <w:rFonts w:cs="Arial"/>
                <w:color w:val="000000"/>
                <w:lang w:eastAsia="cs-CZ"/>
              </w:rPr>
              <w:t>jiná pasiva)</w:t>
            </w:r>
            <w:r w:rsidR="00336B17">
              <w:rPr>
                <w:rFonts w:cs="Arial"/>
                <w:color w:val="000000"/>
                <w:lang w:eastAsia="cs-CZ"/>
              </w:rPr>
              <w:t xml:space="preserve"> </w:t>
            </w:r>
            <w:r w:rsidRPr="00F935DC">
              <w:rPr>
                <w:rFonts w:cs="Arial"/>
                <w:color w:val="000000"/>
                <w:lang w:eastAsia="cs-CZ"/>
              </w:rPr>
              <w:t xml:space="preserve">bez položky P.VII – </w:t>
            </w:r>
            <w:r w:rsidRPr="004823CA">
              <w:rPr>
                <w:rFonts w:cs="Arial"/>
                <w:i/>
                <w:color w:val="000000"/>
                <w:lang w:eastAsia="cs-CZ"/>
              </w:rPr>
              <w:t>Vyrovnávací účty</w:t>
            </w:r>
            <w:r w:rsidRPr="00F935DC">
              <w:rPr>
                <w:rFonts w:cs="Arial"/>
                <w:color w:val="000000"/>
                <w:lang w:eastAsia="cs-CZ"/>
              </w:rPr>
              <w:t xml:space="preserve"> </w:t>
            </w:r>
          </w:p>
        </w:tc>
        <w:tc>
          <w:tcPr>
            <w:tcW w:w="3300" w:type="dxa"/>
            <w:shd w:val="clear" w:color="auto" w:fill="auto"/>
            <w:noWrap/>
            <w:vAlign w:val="center"/>
            <w:hideMark/>
          </w:tcPr>
          <w:p w:rsidR="00AC4B8B" w:rsidRPr="00F935DC" w:rsidRDefault="0085207C" w:rsidP="00CD3DEB">
            <w:pPr>
              <w:spacing w:before="20" w:after="20"/>
              <w:ind w:right="296"/>
              <w:jc w:val="right"/>
              <w:rPr>
                <w:rFonts w:cs="Arial"/>
                <w:color w:val="000000"/>
                <w:lang w:eastAsia="cs-CZ"/>
              </w:rPr>
            </w:pPr>
            <w:r w:rsidRPr="00214F9A">
              <w:rPr>
                <w:rFonts w:cs="Arial"/>
                <w:color w:val="000000"/>
                <w:lang w:eastAsia="cs-CZ"/>
              </w:rPr>
              <w:t>30 846</w:t>
            </w:r>
            <w:r w:rsidR="005E5DF2">
              <w:rPr>
                <w:rFonts w:cs="Arial"/>
                <w:color w:val="000000"/>
                <w:lang w:eastAsia="cs-CZ"/>
              </w:rPr>
              <w:t xml:space="preserve"> </w:t>
            </w:r>
            <w:r w:rsidRPr="00214F9A">
              <w:rPr>
                <w:rFonts w:cs="Arial"/>
                <w:color w:val="000000"/>
                <w:lang w:eastAsia="cs-CZ"/>
              </w:rPr>
              <w:t>242</w:t>
            </w:r>
            <w:r w:rsidR="00CD3DEB">
              <w:rPr>
                <w:rFonts w:cs="Arial"/>
                <w:color w:val="000000"/>
                <w:lang w:eastAsia="cs-CZ"/>
              </w:rPr>
              <w:t xml:space="preserve"> </w:t>
            </w:r>
            <w:r w:rsidRPr="00214F9A">
              <w:rPr>
                <w:rFonts w:cs="Arial"/>
                <w:color w:val="000000"/>
                <w:lang w:eastAsia="cs-CZ"/>
              </w:rPr>
              <w:t>1</w:t>
            </w:r>
            <w:r w:rsidR="00CD3DEB">
              <w:rPr>
                <w:rFonts w:cs="Arial"/>
                <w:color w:val="000000"/>
                <w:lang w:eastAsia="cs-CZ"/>
              </w:rPr>
              <w:t>38,28</w:t>
            </w:r>
          </w:p>
        </w:tc>
      </w:tr>
    </w:tbl>
    <w:p w:rsidR="00AC4B8B" w:rsidRPr="001B3D07" w:rsidRDefault="00AC4B8B" w:rsidP="001B3D07">
      <w:pPr>
        <w:spacing w:before="40"/>
        <w:ind w:firstLine="0"/>
        <w:rPr>
          <w:rFonts w:cs="Arial"/>
          <w:color w:val="000000"/>
          <w:sz w:val="18"/>
          <w:szCs w:val="18"/>
        </w:rPr>
      </w:pPr>
      <w:r w:rsidRPr="001B3D07">
        <w:rPr>
          <w:rFonts w:cs="Arial"/>
          <w:b/>
          <w:color w:val="000000"/>
          <w:sz w:val="18"/>
          <w:szCs w:val="18"/>
        </w:rPr>
        <w:t>Zdroj:</w:t>
      </w:r>
      <w:r w:rsidRPr="001B3D07">
        <w:rPr>
          <w:rFonts w:cs="Arial"/>
          <w:color w:val="000000"/>
          <w:sz w:val="18"/>
          <w:szCs w:val="18"/>
        </w:rPr>
        <w:t xml:space="preserve"> ÚZ ČSSZ </w:t>
      </w:r>
      <w:r w:rsidR="00F33867">
        <w:rPr>
          <w:rFonts w:cs="Arial"/>
          <w:color w:val="000000"/>
          <w:sz w:val="18"/>
          <w:szCs w:val="18"/>
        </w:rPr>
        <w:t>k </w:t>
      </w:r>
      <w:r w:rsidRPr="001B3D07">
        <w:rPr>
          <w:rFonts w:cs="Arial"/>
          <w:color w:val="000000"/>
          <w:sz w:val="18"/>
          <w:szCs w:val="18"/>
        </w:rPr>
        <w:t>31. prosinci 201</w:t>
      </w:r>
      <w:r w:rsidR="0085207C" w:rsidRPr="001B3D07">
        <w:rPr>
          <w:rFonts w:cs="Arial"/>
          <w:color w:val="000000"/>
          <w:sz w:val="18"/>
          <w:szCs w:val="18"/>
        </w:rPr>
        <w:t>1</w:t>
      </w:r>
      <w:r w:rsidRPr="001B3D07">
        <w:rPr>
          <w:rFonts w:cs="Arial"/>
          <w:color w:val="000000"/>
          <w:sz w:val="18"/>
          <w:szCs w:val="18"/>
        </w:rPr>
        <w:t>.</w:t>
      </w:r>
    </w:p>
    <w:p w:rsidR="00AC4B8B" w:rsidRPr="00304D66" w:rsidRDefault="00AC4B8B" w:rsidP="00AC4B8B">
      <w:pPr>
        <w:spacing w:before="40"/>
        <w:rPr>
          <w:rFonts w:cs="Arial"/>
          <w:color w:val="000000"/>
          <w:szCs w:val="22"/>
        </w:rPr>
      </w:pPr>
    </w:p>
    <w:p w:rsidR="001A1086" w:rsidRDefault="00B87E1C" w:rsidP="00D3725E">
      <w:pPr>
        <w:pStyle w:val="Nadpis2"/>
        <w:numPr>
          <w:ilvl w:val="0"/>
          <w:numId w:val="0"/>
        </w:numPr>
        <w:ind w:left="397" w:hanging="397"/>
        <w:rPr>
          <w:color w:val="000000"/>
          <w:sz w:val="22"/>
          <w:szCs w:val="22"/>
        </w:rPr>
      </w:pPr>
      <w:r>
        <w:rPr>
          <w:sz w:val="22"/>
          <w:szCs w:val="22"/>
        </w:rPr>
        <w:t xml:space="preserve">1.1 </w:t>
      </w:r>
      <w:r w:rsidR="00AC4B8B" w:rsidRPr="00A91338">
        <w:rPr>
          <w:sz w:val="22"/>
          <w:szCs w:val="22"/>
        </w:rPr>
        <w:t xml:space="preserve">Změny právních předpisů </w:t>
      </w:r>
      <w:r w:rsidR="00F33867">
        <w:rPr>
          <w:sz w:val="22"/>
          <w:szCs w:val="22"/>
        </w:rPr>
        <w:t>v </w:t>
      </w:r>
      <w:r w:rsidR="00AC4B8B" w:rsidRPr="00A91338">
        <w:rPr>
          <w:sz w:val="22"/>
          <w:szCs w:val="22"/>
        </w:rPr>
        <w:t xml:space="preserve">oblasti účetnictví a výkaznictví organizačních složek státu </w:t>
      </w:r>
      <w:r w:rsidR="00F33867">
        <w:rPr>
          <w:sz w:val="22"/>
          <w:szCs w:val="22"/>
        </w:rPr>
        <w:t>v </w:t>
      </w:r>
      <w:r w:rsidR="00AC4B8B" w:rsidRPr="00A91338">
        <w:rPr>
          <w:sz w:val="22"/>
          <w:szCs w:val="22"/>
        </w:rPr>
        <w:t xml:space="preserve">roce 2011 </w:t>
      </w:r>
    </w:p>
    <w:p w:rsidR="001A1086" w:rsidRDefault="001A1086" w:rsidP="00164D44">
      <w:pPr>
        <w:rPr>
          <w:rFonts w:cs="Arial"/>
          <w:bCs/>
        </w:rPr>
      </w:pPr>
    </w:p>
    <w:p w:rsidR="001A1086" w:rsidRDefault="00F33867" w:rsidP="00D3725E">
      <w:pPr>
        <w:ind w:firstLine="0"/>
        <w:rPr>
          <w:rFonts w:cs="Arial"/>
          <w:bCs/>
        </w:rPr>
      </w:pPr>
      <w:r>
        <w:rPr>
          <w:rFonts w:cs="Arial"/>
          <w:bCs/>
        </w:rPr>
        <w:t>S </w:t>
      </w:r>
      <w:r w:rsidR="00AC4B8B">
        <w:rPr>
          <w:rFonts w:cs="Arial"/>
          <w:bCs/>
        </w:rPr>
        <w:t xml:space="preserve">účinností od 1. </w:t>
      </w:r>
      <w:r w:rsidR="005873B9">
        <w:rPr>
          <w:rFonts w:cs="Arial"/>
          <w:bCs/>
        </w:rPr>
        <w:t>ledna</w:t>
      </w:r>
      <w:r w:rsidR="00AC4B8B">
        <w:rPr>
          <w:rFonts w:cs="Arial"/>
          <w:bCs/>
        </w:rPr>
        <w:t xml:space="preserve"> 2011 byl novelizován </w:t>
      </w:r>
      <w:r w:rsidR="00AC4B8B" w:rsidRPr="00136711">
        <w:rPr>
          <w:rFonts w:cs="Arial"/>
          <w:bCs/>
        </w:rPr>
        <w:t>zákon č</w:t>
      </w:r>
      <w:r w:rsidR="00AC4B8B" w:rsidRPr="00017E0A">
        <w:rPr>
          <w:rFonts w:cs="Arial"/>
          <w:bCs/>
        </w:rPr>
        <w:t>. 563/1991 Sb</w:t>
      </w:r>
      <w:r w:rsidR="00AC4B8B" w:rsidRPr="00136711">
        <w:rPr>
          <w:rFonts w:cs="Arial"/>
          <w:bCs/>
        </w:rPr>
        <w:t>., o účetnictví</w:t>
      </w:r>
      <w:r w:rsidR="003664AB">
        <w:rPr>
          <w:rFonts w:cs="Arial"/>
          <w:bCs/>
        </w:rPr>
        <w:t>,</w:t>
      </w:r>
      <w:r w:rsidR="002716C1">
        <w:rPr>
          <w:rFonts w:cs="Arial"/>
          <w:bCs/>
        </w:rPr>
        <w:t xml:space="preserve"> (dále </w:t>
      </w:r>
      <w:r w:rsidR="00F77E50">
        <w:rPr>
          <w:rFonts w:cs="Arial"/>
          <w:bCs/>
        </w:rPr>
        <w:t>jen „zákon o účetnictví“)</w:t>
      </w:r>
      <w:r w:rsidR="00AC4B8B">
        <w:rPr>
          <w:rFonts w:cs="Arial"/>
          <w:bCs/>
        </w:rPr>
        <w:t>.</w:t>
      </w:r>
      <w:r w:rsidR="00AC4B8B" w:rsidRPr="00136711">
        <w:rPr>
          <w:rFonts w:cs="Arial"/>
          <w:bCs/>
        </w:rPr>
        <w:t xml:space="preserve"> </w:t>
      </w:r>
    </w:p>
    <w:p w:rsidR="001A1086" w:rsidRDefault="001A1086" w:rsidP="00164D44">
      <w:pPr>
        <w:ind w:firstLine="0"/>
        <w:rPr>
          <w:rFonts w:cs="Arial"/>
          <w:bCs/>
        </w:rPr>
      </w:pPr>
    </w:p>
    <w:p w:rsidR="001A1086" w:rsidRDefault="00AC4B8B" w:rsidP="00164D44">
      <w:pPr>
        <w:ind w:firstLine="0"/>
        <w:rPr>
          <w:rFonts w:cs="Arial"/>
          <w:bCs/>
        </w:rPr>
      </w:pPr>
      <w:r w:rsidRPr="00E50EB3">
        <w:rPr>
          <w:rFonts w:cs="Arial"/>
          <w:bCs/>
        </w:rPr>
        <w:t>Kromě novely zákona o účetnictví byla novelizována vyhláška č. 410/2009 Sb.</w:t>
      </w:r>
      <w:r w:rsidR="001439C0" w:rsidRPr="00E50EB3">
        <w:rPr>
          <w:rFonts w:cs="Arial"/>
          <w:bCs/>
        </w:rPr>
        <w:t>, kterou se provádějí některá ustanovení zákona</w:t>
      </w:r>
      <w:r w:rsidR="002C1143" w:rsidRPr="00E50EB3">
        <w:rPr>
          <w:rFonts w:cs="Arial"/>
          <w:bCs/>
        </w:rPr>
        <w:t xml:space="preserve"> č. 563/1991 Sb.,</w:t>
      </w:r>
      <w:r w:rsidR="001439C0" w:rsidRPr="00E50EB3">
        <w:rPr>
          <w:rFonts w:cs="Arial"/>
          <w:bCs/>
        </w:rPr>
        <w:t xml:space="preserve"> o účetnictví, ve znění pozdějších předpisů</w:t>
      </w:r>
      <w:r w:rsidR="006C1A93" w:rsidRPr="00E50EB3">
        <w:rPr>
          <w:rFonts w:cs="Arial"/>
          <w:bCs/>
        </w:rPr>
        <w:t>,</w:t>
      </w:r>
      <w:r w:rsidR="001439C0" w:rsidRPr="00E50EB3">
        <w:rPr>
          <w:rFonts w:cs="Arial"/>
          <w:bCs/>
        </w:rPr>
        <w:t xml:space="preserve"> pro některé vybrané účetní jednotky</w:t>
      </w:r>
      <w:r w:rsidR="001439C0">
        <w:rPr>
          <w:rFonts w:cs="Arial"/>
          <w:bCs/>
        </w:rPr>
        <w:t>.</w:t>
      </w:r>
      <w:r>
        <w:rPr>
          <w:rFonts w:cs="Arial"/>
          <w:bCs/>
        </w:rPr>
        <w:t xml:space="preserve"> Předmětem novelizace byly zejména úpravy týkající se sjednocení používání jednotek české měny při vykazování </w:t>
      </w:r>
      <w:r w:rsidR="00F33867">
        <w:rPr>
          <w:rFonts w:cs="Arial"/>
          <w:bCs/>
        </w:rPr>
        <w:t>v </w:t>
      </w:r>
      <w:r>
        <w:rPr>
          <w:rFonts w:cs="Arial"/>
          <w:bCs/>
        </w:rPr>
        <w:t xml:space="preserve">ÚZ </w:t>
      </w:r>
      <w:r w:rsidRPr="00075CB7">
        <w:rPr>
          <w:rFonts w:cs="Arial"/>
          <w:bCs/>
        </w:rPr>
        <w:t>a</w:t>
      </w:r>
      <w:r w:rsidR="005E5DF2">
        <w:rPr>
          <w:rFonts w:cs="Arial"/>
          <w:bCs/>
        </w:rPr>
        <w:t xml:space="preserve"> </w:t>
      </w:r>
      <w:r w:rsidRPr="00075CB7">
        <w:rPr>
          <w:rFonts w:cs="Arial"/>
          <w:bCs/>
        </w:rPr>
        <w:t>finančních výkazech,</w:t>
      </w:r>
      <w:r>
        <w:rPr>
          <w:rFonts w:cs="Arial"/>
          <w:bCs/>
        </w:rPr>
        <w:t xml:space="preserve"> úpravy obsahového vymezení položek </w:t>
      </w:r>
      <w:r w:rsidR="003664AB">
        <w:rPr>
          <w:rFonts w:cs="Arial"/>
          <w:bCs/>
        </w:rPr>
        <w:t>r</w:t>
      </w:r>
      <w:r>
        <w:rPr>
          <w:rFonts w:cs="Arial"/>
          <w:bCs/>
        </w:rPr>
        <w:t xml:space="preserve">ozvahy a </w:t>
      </w:r>
      <w:r w:rsidR="003664AB">
        <w:rPr>
          <w:rFonts w:cs="Arial"/>
          <w:bCs/>
        </w:rPr>
        <w:t>v</w:t>
      </w:r>
      <w:r>
        <w:rPr>
          <w:rFonts w:cs="Arial"/>
          <w:bCs/>
        </w:rPr>
        <w:t>ýkazu zisku a</w:t>
      </w:r>
      <w:r w:rsidR="005E5DF2">
        <w:rPr>
          <w:rFonts w:cs="Arial"/>
          <w:bCs/>
        </w:rPr>
        <w:t xml:space="preserve"> </w:t>
      </w:r>
      <w:r>
        <w:rPr>
          <w:rFonts w:cs="Arial"/>
          <w:bCs/>
        </w:rPr>
        <w:t xml:space="preserve">ztráty související </w:t>
      </w:r>
      <w:r w:rsidR="00F33867">
        <w:rPr>
          <w:rFonts w:cs="Arial"/>
          <w:bCs/>
        </w:rPr>
        <w:t>s </w:t>
      </w:r>
      <w:r w:rsidR="00220523">
        <w:rPr>
          <w:rFonts w:cs="Arial"/>
          <w:bCs/>
        </w:rPr>
        <w:t>novým</w:t>
      </w:r>
      <w:r>
        <w:rPr>
          <w:rFonts w:cs="Arial"/>
          <w:bCs/>
        </w:rPr>
        <w:t xml:space="preserve"> </w:t>
      </w:r>
      <w:r w:rsidR="003664AB">
        <w:rPr>
          <w:rFonts w:cs="Arial"/>
          <w:bCs/>
        </w:rPr>
        <w:t>č</w:t>
      </w:r>
      <w:r>
        <w:rPr>
          <w:rFonts w:cs="Arial"/>
          <w:bCs/>
        </w:rPr>
        <w:t>esk</w:t>
      </w:r>
      <w:r w:rsidR="00220523">
        <w:rPr>
          <w:rFonts w:cs="Arial"/>
          <w:bCs/>
        </w:rPr>
        <w:t>ým</w:t>
      </w:r>
      <w:r>
        <w:rPr>
          <w:rFonts w:cs="Arial"/>
          <w:bCs/>
        </w:rPr>
        <w:t xml:space="preserve"> účetní</w:t>
      </w:r>
      <w:r w:rsidR="00220523">
        <w:rPr>
          <w:rFonts w:cs="Arial"/>
          <w:bCs/>
        </w:rPr>
        <w:t>m</w:t>
      </w:r>
      <w:r>
        <w:rPr>
          <w:rFonts w:cs="Arial"/>
          <w:bCs/>
        </w:rPr>
        <w:t xml:space="preserve"> standard</w:t>
      </w:r>
      <w:r w:rsidR="00220523">
        <w:rPr>
          <w:rFonts w:cs="Arial"/>
          <w:bCs/>
        </w:rPr>
        <w:t>em</w:t>
      </w:r>
      <w:r>
        <w:rPr>
          <w:rFonts w:cs="Arial"/>
          <w:bCs/>
        </w:rPr>
        <w:t xml:space="preserve"> č. </w:t>
      </w:r>
      <w:r w:rsidRPr="00E169B2">
        <w:rPr>
          <w:rFonts w:cs="Arial"/>
          <w:bCs/>
        </w:rPr>
        <w:t xml:space="preserve">703 – </w:t>
      </w:r>
      <w:r w:rsidR="00D54265" w:rsidRPr="00AD786B">
        <w:rPr>
          <w:rFonts w:cs="Arial"/>
          <w:bCs/>
          <w:i/>
        </w:rPr>
        <w:t>Transfery</w:t>
      </w:r>
      <w:r>
        <w:rPr>
          <w:rFonts w:cs="Arial"/>
          <w:bCs/>
        </w:rPr>
        <w:t xml:space="preserve"> (dále jen „ČÚS č. 703“),</w:t>
      </w:r>
      <w:r>
        <w:rPr>
          <w:rFonts w:cs="Arial"/>
          <w:bCs/>
          <w:i/>
        </w:rPr>
        <w:t xml:space="preserve"> </w:t>
      </w:r>
      <w:r>
        <w:rPr>
          <w:rFonts w:cs="Arial"/>
          <w:bCs/>
        </w:rPr>
        <w:t xml:space="preserve">úpravy související </w:t>
      </w:r>
      <w:r w:rsidR="00F33867">
        <w:rPr>
          <w:rFonts w:cs="Arial"/>
          <w:bCs/>
        </w:rPr>
        <w:t>s </w:t>
      </w:r>
      <w:r>
        <w:rPr>
          <w:rFonts w:cs="Arial"/>
          <w:bCs/>
        </w:rPr>
        <w:t xml:space="preserve">použitím účetní metody opravných položek </w:t>
      </w:r>
      <w:r w:rsidR="00F33867">
        <w:rPr>
          <w:rFonts w:cs="Arial"/>
          <w:bCs/>
        </w:rPr>
        <w:t>k </w:t>
      </w:r>
      <w:r>
        <w:rPr>
          <w:rFonts w:cs="Arial"/>
          <w:bCs/>
        </w:rPr>
        <w:t>majetku a účetní metody odpisování dlouhodobého majetku.</w:t>
      </w:r>
      <w:r w:rsidR="001632CB">
        <w:rPr>
          <w:rFonts w:cs="Arial"/>
          <w:bCs/>
        </w:rPr>
        <w:t xml:space="preserve"> </w:t>
      </w:r>
    </w:p>
    <w:p w:rsidR="001A1086" w:rsidRDefault="001A1086" w:rsidP="00164D44">
      <w:pPr>
        <w:ind w:firstLine="0"/>
        <w:rPr>
          <w:rFonts w:cs="Arial"/>
          <w:bCs/>
        </w:rPr>
      </w:pPr>
    </w:p>
    <w:p w:rsidR="001A1086" w:rsidRDefault="00AC4B8B" w:rsidP="00164D44">
      <w:pPr>
        <w:ind w:firstLine="0"/>
        <w:rPr>
          <w:rFonts w:cs="Arial"/>
        </w:rPr>
      </w:pPr>
      <w:r w:rsidRPr="003875FA">
        <w:rPr>
          <w:rFonts w:cs="Arial"/>
        </w:rPr>
        <w:t xml:space="preserve">Vyhláška č. 410/2009 Sb. stanovuje obsahové vymezení některých syntetických účtů jako položek </w:t>
      </w:r>
      <w:r>
        <w:rPr>
          <w:rFonts w:cs="Arial"/>
        </w:rPr>
        <w:t>ÚZ</w:t>
      </w:r>
      <w:r w:rsidRPr="003875FA">
        <w:rPr>
          <w:rFonts w:cs="Arial"/>
        </w:rPr>
        <w:t xml:space="preserve">. Obdobně jako </w:t>
      </w:r>
      <w:r w:rsidR="00F33867">
        <w:rPr>
          <w:rFonts w:cs="Arial"/>
        </w:rPr>
        <w:t>v </w:t>
      </w:r>
      <w:r w:rsidRPr="003875FA">
        <w:rPr>
          <w:rFonts w:cs="Arial"/>
        </w:rPr>
        <w:t xml:space="preserve">roce 2010 však existuje množství položek výkazu </w:t>
      </w:r>
      <w:r w:rsidR="003664AB">
        <w:rPr>
          <w:rFonts w:cs="Arial"/>
          <w:iCs/>
        </w:rPr>
        <w:t>r</w:t>
      </w:r>
      <w:r w:rsidRPr="003875FA">
        <w:rPr>
          <w:rFonts w:cs="Arial"/>
          <w:iCs/>
        </w:rPr>
        <w:t xml:space="preserve">ozvaha </w:t>
      </w:r>
      <w:r w:rsidRPr="003875FA">
        <w:rPr>
          <w:rFonts w:cs="Arial"/>
        </w:rPr>
        <w:t>a</w:t>
      </w:r>
      <w:r w:rsidR="003664AB">
        <w:rPr>
          <w:rFonts w:cs="Arial"/>
        </w:rPr>
        <w:t> v</w:t>
      </w:r>
      <w:r w:rsidRPr="003875FA">
        <w:rPr>
          <w:rFonts w:cs="Arial"/>
        </w:rPr>
        <w:t xml:space="preserve">ýkazu zisku a ztráty, které nejsou obsahově </w:t>
      </w:r>
      <w:r w:rsidRPr="009E58CC">
        <w:rPr>
          <w:rFonts w:cs="Arial"/>
        </w:rPr>
        <w:t xml:space="preserve">vymezeny. </w:t>
      </w:r>
    </w:p>
    <w:p w:rsidR="001A1086" w:rsidRDefault="001A1086" w:rsidP="00164D44">
      <w:pPr>
        <w:ind w:firstLine="0"/>
        <w:rPr>
          <w:rFonts w:cs="Arial"/>
        </w:rPr>
      </w:pPr>
    </w:p>
    <w:p w:rsidR="001A1086" w:rsidRDefault="00F33867" w:rsidP="00164D44">
      <w:pPr>
        <w:ind w:firstLine="0"/>
        <w:rPr>
          <w:rFonts w:cs="Arial"/>
          <w:bCs/>
        </w:rPr>
      </w:pPr>
      <w:r>
        <w:rPr>
          <w:rFonts w:cs="Arial"/>
          <w:bCs/>
        </w:rPr>
        <w:t>K </w:t>
      </w:r>
      <w:r w:rsidR="00AC4B8B" w:rsidRPr="00136711">
        <w:rPr>
          <w:rFonts w:cs="Arial"/>
          <w:bCs/>
        </w:rPr>
        <w:t xml:space="preserve">zákonu o účetnictví byla vydána nová prováděcí vyhláška </w:t>
      </w:r>
      <w:r w:rsidR="00AC4B8B" w:rsidRPr="00017E0A">
        <w:rPr>
          <w:rFonts w:cs="Arial"/>
          <w:bCs/>
        </w:rPr>
        <w:t>č. 270/2010 Sb., která podrobně vymezila povinnosti vybraných účetních jednotek</w:t>
      </w:r>
      <w:r w:rsidR="00AC4B8B" w:rsidRPr="00017E0A">
        <w:rPr>
          <w:rStyle w:val="Znakapoznpodarou"/>
          <w:rFonts w:cs="Arial"/>
          <w:bCs/>
        </w:rPr>
        <w:footnoteReference w:id="2"/>
      </w:r>
      <w:r w:rsidR="00AC4B8B" w:rsidRPr="00017E0A">
        <w:rPr>
          <w:rFonts w:cs="Arial"/>
          <w:bCs/>
        </w:rPr>
        <w:t xml:space="preserve"> při zajiš</w:t>
      </w:r>
      <w:r w:rsidR="003664AB">
        <w:rPr>
          <w:rFonts w:cs="Arial"/>
          <w:bCs/>
        </w:rPr>
        <w:t>ťování</w:t>
      </w:r>
      <w:r w:rsidR="00AC4B8B" w:rsidRPr="00017E0A">
        <w:rPr>
          <w:rFonts w:cs="Arial"/>
          <w:bCs/>
        </w:rPr>
        <w:t>, prov</w:t>
      </w:r>
      <w:r w:rsidR="003664AB">
        <w:rPr>
          <w:rFonts w:cs="Arial"/>
          <w:bCs/>
        </w:rPr>
        <w:t>ádění</w:t>
      </w:r>
      <w:r w:rsidR="00AC4B8B" w:rsidRPr="00017E0A">
        <w:rPr>
          <w:rFonts w:cs="Arial"/>
          <w:bCs/>
        </w:rPr>
        <w:t xml:space="preserve"> a</w:t>
      </w:r>
      <w:r w:rsidR="003664AB">
        <w:rPr>
          <w:rFonts w:cs="Arial"/>
          <w:bCs/>
        </w:rPr>
        <w:t> </w:t>
      </w:r>
      <w:r w:rsidR="00AC4B8B" w:rsidRPr="00017E0A">
        <w:rPr>
          <w:rFonts w:cs="Arial"/>
          <w:bCs/>
        </w:rPr>
        <w:t>vyhodnoc</w:t>
      </w:r>
      <w:r w:rsidR="003664AB">
        <w:rPr>
          <w:rFonts w:cs="Arial"/>
          <w:bCs/>
        </w:rPr>
        <w:t>ování</w:t>
      </w:r>
      <w:r w:rsidR="00AC4B8B" w:rsidRPr="00017E0A">
        <w:rPr>
          <w:rFonts w:cs="Arial"/>
          <w:bCs/>
        </w:rPr>
        <w:t xml:space="preserve"> inventarizací majetku a závazků. Do roku 2010 byla inventarizace uprave</w:t>
      </w:r>
      <w:r w:rsidR="005873B9" w:rsidRPr="00017E0A">
        <w:rPr>
          <w:rFonts w:cs="Arial"/>
          <w:bCs/>
        </w:rPr>
        <w:t>na jen zákonem o </w:t>
      </w:r>
      <w:r w:rsidR="00AC4B8B" w:rsidRPr="00017E0A">
        <w:rPr>
          <w:rFonts w:cs="Arial"/>
          <w:bCs/>
        </w:rPr>
        <w:t>účetnictví.</w:t>
      </w:r>
      <w:r w:rsidR="00AC4B8B" w:rsidRPr="00136711">
        <w:rPr>
          <w:rFonts w:cs="Arial"/>
          <w:bCs/>
        </w:rPr>
        <w:t xml:space="preserve"> </w:t>
      </w:r>
    </w:p>
    <w:p w:rsidR="001A1086" w:rsidRDefault="001A1086" w:rsidP="00164D44">
      <w:pPr>
        <w:ind w:firstLine="0"/>
        <w:rPr>
          <w:rFonts w:cs="Arial"/>
          <w:bCs/>
        </w:rPr>
      </w:pPr>
    </w:p>
    <w:p w:rsidR="001A1086" w:rsidRDefault="00AC4B8B" w:rsidP="00164D44">
      <w:pPr>
        <w:ind w:firstLine="0"/>
        <w:rPr>
          <w:rFonts w:cs="Arial"/>
          <w:bCs/>
        </w:rPr>
      </w:pPr>
      <w:r w:rsidRPr="007E574F">
        <w:rPr>
          <w:rFonts w:cs="Arial"/>
          <w:bCs/>
        </w:rPr>
        <w:t>Dále byl</w:t>
      </w:r>
      <w:r w:rsidR="00075CB7">
        <w:rPr>
          <w:rFonts w:cs="Arial"/>
          <w:bCs/>
        </w:rPr>
        <w:t>a</w:t>
      </w:r>
      <w:r w:rsidRPr="007E574F">
        <w:rPr>
          <w:rFonts w:cs="Arial"/>
          <w:bCs/>
        </w:rPr>
        <w:t xml:space="preserve"> novelizován</w:t>
      </w:r>
      <w:r w:rsidR="00DE55CC">
        <w:rPr>
          <w:rFonts w:cs="Arial"/>
          <w:bCs/>
        </w:rPr>
        <w:t>a</w:t>
      </w:r>
      <w:r w:rsidRPr="007E574F">
        <w:rPr>
          <w:rFonts w:cs="Arial"/>
          <w:bCs/>
        </w:rPr>
        <w:t xml:space="preserve"> vyhlášk</w:t>
      </w:r>
      <w:r w:rsidR="00DE55CC">
        <w:rPr>
          <w:rFonts w:cs="Arial"/>
          <w:bCs/>
        </w:rPr>
        <w:t xml:space="preserve">a </w:t>
      </w:r>
      <w:r w:rsidRPr="007E574F">
        <w:rPr>
          <w:rFonts w:cs="Arial"/>
          <w:bCs/>
        </w:rPr>
        <w:t xml:space="preserve">č. 383/2009 Sb., o účetních záznamech </w:t>
      </w:r>
      <w:r w:rsidR="00F33867">
        <w:rPr>
          <w:rFonts w:cs="Arial"/>
          <w:bCs/>
        </w:rPr>
        <w:t>v </w:t>
      </w:r>
      <w:r w:rsidRPr="007E574F">
        <w:rPr>
          <w:rFonts w:cs="Arial"/>
          <w:bCs/>
        </w:rPr>
        <w:t>technické formě vybraných účetních jednotek a jejich předávání do centrálního systému účetních informací státu a o požadavcích na technické a smíšené formy účetních záznamů (technická vyhláška o účetních záznamech)</w:t>
      </w:r>
      <w:r w:rsidR="00116413">
        <w:rPr>
          <w:rFonts w:cs="Arial"/>
          <w:bCs/>
        </w:rPr>
        <w:t>.</w:t>
      </w:r>
    </w:p>
    <w:p w:rsidR="001A1086" w:rsidRDefault="001A1086" w:rsidP="00164D44">
      <w:pPr>
        <w:ind w:firstLine="0"/>
        <w:rPr>
          <w:rFonts w:cs="Arial"/>
          <w:bCs/>
        </w:rPr>
      </w:pPr>
    </w:p>
    <w:p w:rsidR="001A1086" w:rsidRDefault="00AC4B8B" w:rsidP="00164D44">
      <w:pPr>
        <w:ind w:firstLine="0"/>
        <w:rPr>
          <w:rFonts w:cs="Arial"/>
          <w:bCs/>
        </w:rPr>
      </w:pPr>
      <w:r w:rsidRPr="00B42BBD">
        <w:rPr>
          <w:rFonts w:cs="Arial"/>
          <w:bCs/>
        </w:rPr>
        <w:t>Účetní regulace platná pro organizační složky státu byla pro účetní období roku 2011 dále doplněna vydáním nových českých účetních standardů:</w:t>
      </w:r>
    </w:p>
    <w:p w:rsidR="00AC4B8B" w:rsidRPr="00B42BBD" w:rsidRDefault="00757F22" w:rsidP="006E031B">
      <w:pPr>
        <w:numPr>
          <w:ilvl w:val="0"/>
          <w:numId w:val="6"/>
        </w:numPr>
        <w:ind w:left="284" w:hanging="284"/>
        <w:contextualSpacing/>
        <w:rPr>
          <w:rFonts w:cs="Arial"/>
          <w:bCs/>
        </w:rPr>
      </w:pPr>
      <w:r>
        <w:rPr>
          <w:rFonts w:cs="Arial"/>
          <w:bCs/>
        </w:rPr>
        <w:t>č</w:t>
      </w:r>
      <w:r w:rsidR="00AC4B8B" w:rsidRPr="00B42BBD">
        <w:rPr>
          <w:rFonts w:cs="Arial"/>
          <w:bCs/>
        </w:rPr>
        <w:t xml:space="preserve">eský účetní standard č. 705 </w:t>
      </w:r>
      <w:r w:rsidR="00AC4B8B" w:rsidRPr="00E169B2">
        <w:rPr>
          <w:rFonts w:cs="Arial"/>
          <w:bCs/>
        </w:rPr>
        <w:t xml:space="preserve">– </w:t>
      </w:r>
      <w:r w:rsidR="00D54265" w:rsidRPr="00AD786B">
        <w:rPr>
          <w:rFonts w:cs="Arial"/>
          <w:bCs/>
          <w:i/>
        </w:rPr>
        <w:t>Rezervy</w:t>
      </w:r>
      <w:r w:rsidR="00AC4B8B" w:rsidRPr="00B42BBD">
        <w:rPr>
          <w:rFonts w:cs="Arial"/>
          <w:bCs/>
        </w:rPr>
        <w:t xml:space="preserve"> (zveřejněn ve </w:t>
      </w:r>
      <w:r w:rsidR="00D54265" w:rsidRPr="00AD786B">
        <w:rPr>
          <w:rFonts w:cs="Arial"/>
          <w:bCs/>
          <w:i/>
        </w:rPr>
        <w:t>Finančním zpravodaji</w:t>
      </w:r>
      <w:r w:rsidR="00AC4B8B" w:rsidRPr="00B42BBD">
        <w:rPr>
          <w:rFonts w:cs="Arial"/>
          <w:bCs/>
        </w:rPr>
        <w:t xml:space="preserve"> č. 8/2010, </w:t>
      </w:r>
      <w:r w:rsidR="00F33867">
        <w:rPr>
          <w:rFonts w:cs="Arial"/>
          <w:bCs/>
        </w:rPr>
        <w:t>s </w:t>
      </w:r>
      <w:r w:rsidR="00AC4B8B" w:rsidRPr="00B42BBD">
        <w:rPr>
          <w:rFonts w:cs="Arial"/>
          <w:bCs/>
        </w:rPr>
        <w:t xml:space="preserve">účinností od 1. </w:t>
      </w:r>
      <w:r w:rsidR="005873B9">
        <w:rPr>
          <w:rFonts w:cs="Arial"/>
          <w:bCs/>
        </w:rPr>
        <w:t>ledna</w:t>
      </w:r>
      <w:r w:rsidR="00AC4B8B" w:rsidRPr="00B42BBD">
        <w:rPr>
          <w:rFonts w:cs="Arial"/>
          <w:bCs/>
        </w:rPr>
        <w:t xml:space="preserve"> 2011</w:t>
      </w:r>
      <w:r w:rsidR="00116413">
        <w:rPr>
          <w:rFonts w:cs="Arial"/>
          <w:bCs/>
        </w:rPr>
        <w:t>)</w:t>
      </w:r>
      <w:r w:rsidR="00AC4B8B" w:rsidRPr="00B42BBD">
        <w:rPr>
          <w:rFonts w:cs="Arial"/>
          <w:bCs/>
        </w:rPr>
        <w:t>,</w:t>
      </w:r>
    </w:p>
    <w:p w:rsidR="00AC4B8B" w:rsidRPr="003875FA" w:rsidRDefault="00757F22" w:rsidP="006E031B">
      <w:pPr>
        <w:numPr>
          <w:ilvl w:val="0"/>
          <w:numId w:val="6"/>
        </w:numPr>
        <w:ind w:left="284" w:hanging="284"/>
        <w:contextualSpacing/>
        <w:rPr>
          <w:rFonts w:cs="Arial"/>
          <w:bCs/>
        </w:rPr>
      </w:pPr>
      <w:r>
        <w:rPr>
          <w:rFonts w:cs="Arial"/>
          <w:bCs/>
        </w:rPr>
        <w:lastRenderedPageBreak/>
        <w:t>č</w:t>
      </w:r>
      <w:r w:rsidR="00AC4B8B" w:rsidRPr="003875FA">
        <w:rPr>
          <w:rFonts w:cs="Arial"/>
          <w:bCs/>
        </w:rPr>
        <w:t xml:space="preserve">eský účetní standard č. 706 – </w:t>
      </w:r>
      <w:r w:rsidR="00D54265" w:rsidRPr="00AD786B">
        <w:rPr>
          <w:rFonts w:cs="Arial"/>
          <w:bCs/>
          <w:i/>
        </w:rPr>
        <w:t>Opravné položky a vyřazení pohledávek</w:t>
      </w:r>
      <w:r w:rsidR="00AC4B8B" w:rsidRPr="003875FA">
        <w:rPr>
          <w:rFonts w:cs="Arial"/>
          <w:bCs/>
        </w:rPr>
        <w:t xml:space="preserve"> </w:t>
      </w:r>
      <w:r w:rsidR="00AC4B8B" w:rsidRPr="003875FA">
        <w:rPr>
          <w:rFonts w:cs="Arial"/>
        </w:rPr>
        <w:t xml:space="preserve">(zveřejněn ve </w:t>
      </w:r>
      <w:r w:rsidR="00D54265" w:rsidRPr="00AD786B">
        <w:rPr>
          <w:rFonts w:cs="Arial"/>
          <w:i/>
        </w:rPr>
        <w:t>Finančním zpravodaji</w:t>
      </w:r>
      <w:r w:rsidR="00AC4B8B" w:rsidRPr="003875FA">
        <w:rPr>
          <w:rFonts w:cs="Arial"/>
        </w:rPr>
        <w:t xml:space="preserve"> č. 8/2010, </w:t>
      </w:r>
      <w:r w:rsidR="00F33867">
        <w:rPr>
          <w:rFonts w:cs="Arial"/>
        </w:rPr>
        <w:t>s </w:t>
      </w:r>
      <w:r w:rsidR="00AC4B8B" w:rsidRPr="003875FA">
        <w:rPr>
          <w:rFonts w:cs="Arial"/>
        </w:rPr>
        <w:t xml:space="preserve">účinností od 1. </w:t>
      </w:r>
      <w:r w:rsidR="005873B9">
        <w:rPr>
          <w:rFonts w:cs="Arial"/>
        </w:rPr>
        <w:t>ledna</w:t>
      </w:r>
      <w:r w:rsidR="00AC4B8B" w:rsidRPr="003875FA">
        <w:rPr>
          <w:rFonts w:cs="Arial"/>
        </w:rPr>
        <w:t xml:space="preserve"> 2011),</w:t>
      </w:r>
    </w:p>
    <w:p w:rsidR="00AC4B8B" w:rsidRPr="003875FA" w:rsidRDefault="00757F22" w:rsidP="006E031B">
      <w:pPr>
        <w:numPr>
          <w:ilvl w:val="0"/>
          <w:numId w:val="6"/>
        </w:numPr>
        <w:ind w:left="284" w:hanging="284"/>
        <w:contextualSpacing/>
        <w:rPr>
          <w:rFonts w:cs="Arial"/>
          <w:bCs/>
        </w:rPr>
      </w:pPr>
      <w:r>
        <w:rPr>
          <w:rFonts w:cs="Arial"/>
          <w:bCs/>
        </w:rPr>
        <w:t>č</w:t>
      </w:r>
      <w:r w:rsidR="00AC4B8B" w:rsidRPr="003875FA">
        <w:rPr>
          <w:rFonts w:cs="Arial"/>
          <w:bCs/>
        </w:rPr>
        <w:t xml:space="preserve">eský účetní standard č. 707 – </w:t>
      </w:r>
      <w:r w:rsidR="00D54265" w:rsidRPr="00AD786B">
        <w:rPr>
          <w:rFonts w:cs="Arial"/>
          <w:bCs/>
          <w:i/>
        </w:rPr>
        <w:t xml:space="preserve">Zásoby </w:t>
      </w:r>
      <w:r w:rsidR="00AC4B8B" w:rsidRPr="003875FA">
        <w:rPr>
          <w:rFonts w:cs="Arial"/>
        </w:rPr>
        <w:t xml:space="preserve">(zveřejněn ve </w:t>
      </w:r>
      <w:r w:rsidR="00D54265" w:rsidRPr="00AD786B">
        <w:rPr>
          <w:rFonts w:cs="Arial"/>
          <w:i/>
        </w:rPr>
        <w:t>Finančním zpravodaji</w:t>
      </w:r>
      <w:r w:rsidR="005873B9">
        <w:rPr>
          <w:rFonts w:cs="Arial"/>
        </w:rPr>
        <w:t xml:space="preserve"> č. 8/2010, </w:t>
      </w:r>
      <w:r w:rsidR="00F33867">
        <w:rPr>
          <w:rFonts w:cs="Arial"/>
        </w:rPr>
        <w:t>s </w:t>
      </w:r>
      <w:r w:rsidR="00AC4B8B" w:rsidRPr="003875FA">
        <w:rPr>
          <w:rFonts w:cs="Arial"/>
        </w:rPr>
        <w:t xml:space="preserve">účinností od 1. </w:t>
      </w:r>
      <w:r w:rsidR="005873B9">
        <w:rPr>
          <w:rFonts w:cs="Arial"/>
        </w:rPr>
        <w:t>ledna</w:t>
      </w:r>
      <w:r w:rsidR="00AC4B8B" w:rsidRPr="003875FA">
        <w:rPr>
          <w:rFonts w:cs="Arial"/>
        </w:rPr>
        <w:t xml:space="preserve"> 2011)</w:t>
      </w:r>
      <w:r>
        <w:rPr>
          <w:rFonts w:cs="Arial"/>
        </w:rPr>
        <w:t>,</w:t>
      </w:r>
    </w:p>
    <w:p w:rsidR="00AC4B8B" w:rsidRPr="003875FA" w:rsidRDefault="00757F22" w:rsidP="006E031B">
      <w:pPr>
        <w:numPr>
          <w:ilvl w:val="0"/>
          <w:numId w:val="6"/>
        </w:numPr>
        <w:ind w:left="284" w:hanging="284"/>
        <w:contextualSpacing/>
        <w:rPr>
          <w:rFonts w:cs="Arial"/>
          <w:bCs/>
        </w:rPr>
      </w:pPr>
      <w:r>
        <w:rPr>
          <w:rFonts w:cs="Arial"/>
          <w:bCs/>
        </w:rPr>
        <w:t>č</w:t>
      </w:r>
      <w:r w:rsidR="00AC4B8B" w:rsidRPr="003875FA">
        <w:rPr>
          <w:rFonts w:cs="Arial"/>
          <w:bCs/>
        </w:rPr>
        <w:t xml:space="preserve">eský účetní standard č. 708 – </w:t>
      </w:r>
      <w:r w:rsidR="00D54265" w:rsidRPr="00AD786B">
        <w:rPr>
          <w:rFonts w:cs="Arial"/>
          <w:bCs/>
          <w:i/>
        </w:rPr>
        <w:t>Odpisování dlouhodobého majetku</w:t>
      </w:r>
      <w:r w:rsidR="00AC4B8B" w:rsidRPr="003875FA">
        <w:rPr>
          <w:rFonts w:cs="Arial"/>
          <w:bCs/>
        </w:rPr>
        <w:t xml:space="preserve"> (</w:t>
      </w:r>
      <w:r w:rsidR="00AC4B8B" w:rsidRPr="003875FA">
        <w:rPr>
          <w:rFonts w:cs="Arial"/>
        </w:rPr>
        <w:t xml:space="preserve">zveřejněn ve </w:t>
      </w:r>
      <w:r w:rsidR="00D54265" w:rsidRPr="00AD786B">
        <w:rPr>
          <w:rFonts w:cs="Arial"/>
          <w:i/>
        </w:rPr>
        <w:t>Finančním zpravodaji</w:t>
      </w:r>
      <w:r w:rsidR="00AC4B8B" w:rsidRPr="003875FA">
        <w:rPr>
          <w:rFonts w:cs="Arial"/>
        </w:rPr>
        <w:t xml:space="preserve"> č. 3/2011, </w:t>
      </w:r>
      <w:r w:rsidR="00F33867">
        <w:rPr>
          <w:rFonts w:cs="Arial"/>
        </w:rPr>
        <w:t>s </w:t>
      </w:r>
      <w:r w:rsidR="00AC4B8B" w:rsidRPr="003875FA">
        <w:rPr>
          <w:rFonts w:cs="Arial"/>
        </w:rPr>
        <w:t xml:space="preserve">účinností od 31. </w:t>
      </w:r>
      <w:r w:rsidR="005873B9">
        <w:rPr>
          <w:rFonts w:cs="Arial"/>
        </w:rPr>
        <w:t>prosince</w:t>
      </w:r>
      <w:r w:rsidR="00AC4B8B" w:rsidRPr="003875FA">
        <w:rPr>
          <w:rFonts w:cs="Arial"/>
        </w:rPr>
        <w:t xml:space="preserve"> 2011); tento standard byl </w:t>
      </w:r>
      <w:r w:rsidR="00F33867">
        <w:rPr>
          <w:rFonts w:cs="Arial"/>
        </w:rPr>
        <w:t>v </w:t>
      </w:r>
      <w:r w:rsidR="00AC4B8B" w:rsidRPr="003875FA">
        <w:rPr>
          <w:rFonts w:cs="Arial"/>
        </w:rPr>
        <w:t xml:space="preserve">průběhu roku 2011 novelizován (zveřejněno ve </w:t>
      </w:r>
      <w:r w:rsidR="00D54265" w:rsidRPr="00AD786B">
        <w:rPr>
          <w:rFonts w:cs="Arial"/>
          <w:i/>
        </w:rPr>
        <w:t>Finančním zpravodaji</w:t>
      </w:r>
      <w:r w:rsidR="00AC4B8B" w:rsidRPr="003875FA">
        <w:rPr>
          <w:rFonts w:cs="Arial"/>
        </w:rPr>
        <w:t xml:space="preserve"> č. 5/2011).</w:t>
      </w:r>
    </w:p>
    <w:p w:rsidR="00AC4B8B" w:rsidRPr="00E169B2" w:rsidRDefault="00AC4B8B" w:rsidP="00895AE6">
      <w:pPr>
        <w:rPr>
          <w:rFonts w:cs="Arial"/>
          <w:bCs/>
          <w:highlight w:val="lightGray"/>
        </w:rPr>
      </w:pPr>
    </w:p>
    <w:p w:rsidR="00AC4B8B" w:rsidRPr="00E169B2" w:rsidRDefault="00AC4B8B" w:rsidP="00895AE6">
      <w:pPr>
        <w:ind w:firstLine="0"/>
        <w:rPr>
          <w:rFonts w:cs="Arial"/>
          <w:bCs/>
          <w:highlight w:val="lightGray"/>
        </w:rPr>
      </w:pPr>
      <w:r w:rsidRPr="003875FA">
        <w:rPr>
          <w:rFonts w:cs="Arial"/>
        </w:rPr>
        <w:t xml:space="preserve">Kromě vydání čtyř nových </w:t>
      </w:r>
      <w:r>
        <w:rPr>
          <w:rFonts w:cs="Arial"/>
        </w:rPr>
        <w:t>českých účetních standardů</w:t>
      </w:r>
      <w:r w:rsidRPr="003875FA">
        <w:rPr>
          <w:rFonts w:cs="Arial"/>
        </w:rPr>
        <w:t xml:space="preserve"> došlo </w:t>
      </w:r>
      <w:r w:rsidR="00F33867">
        <w:rPr>
          <w:rFonts w:cs="Arial"/>
        </w:rPr>
        <w:t>s </w:t>
      </w:r>
      <w:r w:rsidRPr="003875FA">
        <w:rPr>
          <w:rFonts w:cs="Arial"/>
        </w:rPr>
        <w:t xml:space="preserve">účinností od 1. </w:t>
      </w:r>
      <w:r w:rsidR="005873B9">
        <w:rPr>
          <w:rFonts w:cs="Arial"/>
        </w:rPr>
        <w:t>ledna</w:t>
      </w:r>
      <w:r w:rsidRPr="003875FA">
        <w:rPr>
          <w:rFonts w:cs="Arial"/>
        </w:rPr>
        <w:t xml:space="preserve"> 2011 k vydání nového </w:t>
      </w:r>
      <w:r>
        <w:rPr>
          <w:rFonts w:cs="Arial"/>
        </w:rPr>
        <w:t>ČÚS</w:t>
      </w:r>
      <w:r w:rsidRPr="003875FA">
        <w:rPr>
          <w:rFonts w:cs="Arial"/>
        </w:rPr>
        <w:t xml:space="preserve"> č. 703 (zveřejněn ve </w:t>
      </w:r>
      <w:r w:rsidR="00D54265" w:rsidRPr="00AD786B">
        <w:rPr>
          <w:rFonts w:cs="Arial"/>
          <w:i/>
        </w:rPr>
        <w:t>Finančním zpravodaji</w:t>
      </w:r>
      <w:r w:rsidRPr="003875FA">
        <w:rPr>
          <w:rFonts w:cs="Arial"/>
        </w:rPr>
        <w:t xml:space="preserve"> č. 8/2010), jenž nahradil původní </w:t>
      </w:r>
      <w:r>
        <w:rPr>
          <w:rFonts w:cs="Arial"/>
        </w:rPr>
        <w:t>ČÚS</w:t>
      </w:r>
      <w:r w:rsidRPr="003875FA">
        <w:rPr>
          <w:rFonts w:cs="Arial"/>
        </w:rPr>
        <w:t xml:space="preserve"> č. 703.</w:t>
      </w:r>
    </w:p>
    <w:p w:rsidR="00AC4B8B" w:rsidRPr="00F935DC" w:rsidRDefault="00AC4B8B" w:rsidP="00AC4B8B">
      <w:pPr>
        <w:rPr>
          <w:rFonts w:cs="Arial"/>
          <w:bCs/>
          <w:color w:val="000000"/>
          <w:lang w:eastAsia="cs-CZ"/>
        </w:rPr>
      </w:pPr>
    </w:p>
    <w:p w:rsidR="001A1086" w:rsidRDefault="00B87E1C" w:rsidP="00AD786B">
      <w:pPr>
        <w:pStyle w:val="Nadpis2"/>
        <w:numPr>
          <w:ilvl w:val="0"/>
          <w:numId w:val="0"/>
        </w:numPr>
        <w:rPr>
          <w:sz w:val="22"/>
          <w:szCs w:val="22"/>
        </w:rPr>
      </w:pPr>
      <w:r>
        <w:rPr>
          <w:sz w:val="22"/>
          <w:szCs w:val="22"/>
        </w:rPr>
        <w:t xml:space="preserve">1.2 </w:t>
      </w:r>
      <w:r w:rsidR="00C86688">
        <w:rPr>
          <w:sz w:val="22"/>
          <w:szCs w:val="22"/>
        </w:rPr>
        <w:t xml:space="preserve">Nesprávnosti </w:t>
      </w:r>
      <w:r w:rsidR="00F33867">
        <w:rPr>
          <w:sz w:val="22"/>
          <w:szCs w:val="22"/>
        </w:rPr>
        <w:t>v </w:t>
      </w:r>
      <w:r w:rsidR="00C86688">
        <w:rPr>
          <w:sz w:val="22"/>
          <w:szCs w:val="22"/>
        </w:rPr>
        <w:t>účetní závěrce a hlavní příčiny těchto nesprávností</w:t>
      </w:r>
      <w:r w:rsidR="001632CB">
        <w:rPr>
          <w:sz w:val="22"/>
          <w:szCs w:val="22"/>
        </w:rPr>
        <w:t xml:space="preserve"> </w:t>
      </w:r>
      <w:r w:rsidR="00AC4B8B" w:rsidRPr="00A91338">
        <w:rPr>
          <w:sz w:val="22"/>
          <w:szCs w:val="22"/>
        </w:rPr>
        <w:tab/>
      </w:r>
    </w:p>
    <w:p w:rsidR="00AC4B8B" w:rsidRDefault="00AC4B8B" w:rsidP="00895AE6">
      <w:pPr>
        <w:rPr>
          <w:rFonts w:cs="Arial"/>
          <w:color w:val="000000"/>
        </w:rPr>
      </w:pPr>
    </w:p>
    <w:p w:rsidR="00DC1A85" w:rsidRPr="00F935DC" w:rsidRDefault="00DC1A85" w:rsidP="00336B17">
      <w:pPr>
        <w:ind w:firstLine="0"/>
        <w:rPr>
          <w:rFonts w:cs="Arial"/>
          <w:color w:val="000000"/>
        </w:rPr>
      </w:pPr>
      <w:r w:rsidRPr="00F935DC">
        <w:rPr>
          <w:rFonts w:cs="Arial"/>
          <w:color w:val="000000"/>
        </w:rPr>
        <w:t xml:space="preserve">Na celkové nesprávnosti </w:t>
      </w:r>
      <w:r w:rsidR="00F33867">
        <w:rPr>
          <w:rFonts w:cs="Arial"/>
          <w:color w:val="000000"/>
        </w:rPr>
        <w:t>v </w:t>
      </w:r>
      <w:r w:rsidRPr="00F935DC">
        <w:rPr>
          <w:rFonts w:cs="Arial"/>
          <w:color w:val="000000"/>
        </w:rPr>
        <w:t xml:space="preserve">ÚZ </w:t>
      </w:r>
      <w:r w:rsidR="008F3B3A">
        <w:rPr>
          <w:rFonts w:cs="Arial"/>
          <w:color w:val="000000"/>
        </w:rPr>
        <w:t xml:space="preserve">ČSSZ </w:t>
      </w:r>
      <w:r w:rsidRPr="00F935DC">
        <w:rPr>
          <w:rFonts w:cs="Arial"/>
          <w:color w:val="000000"/>
        </w:rPr>
        <w:t>se podílel</w:t>
      </w:r>
      <w:r w:rsidR="00757F22">
        <w:rPr>
          <w:rFonts w:cs="Arial"/>
          <w:color w:val="000000"/>
        </w:rPr>
        <w:t>o</w:t>
      </w:r>
      <w:r w:rsidRPr="00F935DC">
        <w:rPr>
          <w:rFonts w:cs="Arial"/>
          <w:color w:val="000000"/>
        </w:rPr>
        <w:t xml:space="preserve"> nadhodnocení a podhodnocení zůstatků jednotlivých položek </w:t>
      </w:r>
      <w:r w:rsidR="00757F22">
        <w:rPr>
          <w:rFonts w:cs="Arial"/>
          <w:color w:val="000000"/>
        </w:rPr>
        <w:t>r</w:t>
      </w:r>
      <w:r w:rsidRPr="00F935DC">
        <w:rPr>
          <w:rFonts w:cs="Arial"/>
          <w:color w:val="000000"/>
        </w:rPr>
        <w:t xml:space="preserve">ozvahy, </w:t>
      </w:r>
      <w:r w:rsidR="00757F22">
        <w:rPr>
          <w:rFonts w:cs="Arial"/>
          <w:color w:val="000000"/>
        </w:rPr>
        <w:t>v</w:t>
      </w:r>
      <w:r w:rsidRPr="00F935DC">
        <w:rPr>
          <w:rFonts w:cs="Arial"/>
          <w:color w:val="000000"/>
        </w:rPr>
        <w:t xml:space="preserve">ýkazu zisku a ztráty a části A.4 </w:t>
      </w:r>
      <w:r w:rsidR="00757F22">
        <w:rPr>
          <w:rFonts w:cs="Arial"/>
          <w:color w:val="000000"/>
        </w:rPr>
        <w:t>p</w:t>
      </w:r>
      <w:r w:rsidRPr="00F935DC">
        <w:rPr>
          <w:rFonts w:cs="Arial"/>
          <w:color w:val="000000"/>
        </w:rPr>
        <w:t>řílohy ÚZ (jiná aktiva a</w:t>
      </w:r>
      <w:r w:rsidR="00757F22">
        <w:rPr>
          <w:rFonts w:cs="Arial"/>
          <w:color w:val="000000"/>
        </w:rPr>
        <w:t> </w:t>
      </w:r>
      <w:r w:rsidRPr="00F935DC">
        <w:rPr>
          <w:rFonts w:cs="Arial"/>
          <w:color w:val="000000"/>
        </w:rPr>
        <w:t xml:space="preserve">jiná pasiva). Nesprávnosti byly identifikovány dle jednotlivých položek ÚZ </w:t>
      </w:r>
      <w:r w:rsidR="00F33867">
        <w:rPr>
          <w:rFonts w:cs="Arial"/>
          <w:color w:val="000000"/>
        </w:rPr>
        <w:t>s </w:t>
      </w:r>
      <w:r w:rsidRPr="00F935DC">
        <w:rPr>
          <w:rFonts w:cs="Arial"/>
          <w:color w:val="000000"/>
        </w:rPr>
        <w:t>ohledem na jejich obsahové vymezení podle vyhlášky č. 410/2009 Sb.</w:t>
      </w:r>
    </w:p>
    <w:p w:rsidR="00DC1A85" w:rsidRPr="00F935DC" w:rsidRDefault="00DC1A85" w:rsidP="00AC4B8B">
      <w:pPr>
        <w:rPr>
          <w:rFonts w:cs="Arial"/>
          <w:color w:val="000000"/>
        </w:rPr>
      </w:pPr>
    </w:p>
    <w:p w:rsidR="001A1086" w:rsidRDefault="00B87E1C" w:rsidP="00AD786B">
      <w:pPr>
        <w:pStyle w:val="Nadpis3"/>
        <w:numPr>
          <w:ilvl w:val="0"/>
          <w:numId w:val="0"/>
        </w:numPr>
        <w:rPr>
          <w:sz w:val="22"/>
          <w:szCs w:val="22"/>
        </w:rPr>
      </w:pPr>
      <w:r>
        <w:rPr>
          <w:sz w:val="22"/>
          <w:szCs w:val="22"/>
        </w:rPr>
        <w:t xml:space="preserve">1.2.1 </w:t>
      </w:r>
      <w:r w:rsidR="008D2D3A">
        <w:rPr>
          <w:sz w:val="22"/>
          <w:szCs w:val="22"/>
        </w:rPr>
        <w:t>Správnost a úplnost účetnictví</w:t>
      </w:r>
    </w:p>
    <w:p w:rsidR="00AC4B8B" w:rsidRDefault="00AC4B8B" w:rsidP="00895AE6"/>
    <w:p w:rsidR="008D2D3A" w:rsidRDefault="00F33867" w:rsidP="00336B17">
      <w:pPr>
        <w:ind w:firstLine="0"/>
      </w:pPr>
      <w:r>
        <w:t>V </w:t>
      </w:r>
      <w:r w:rsidR="00AC4B8B" w:rsidRPr="0062015A">
        <w:t>ustanovení § 8 odst. 2 zákona o účetnictví je stanoveno, že účetnictví účetní jednotky je správné, jestliže účetní jednotka vede účetnictví tak, ž</w:t>
      </w:r>
      <w:r w:rsidR="005873B9">
        <w:t>e to neodporuje tomuto zákonu a </w:t>
      </w:r>
      <w:r w:rsidR="00AC4B8B" w:rsidRPr="0062015A">
        <w:t>ostatním právním předpisům ani neobchází jejich účel.</w:t>
      </w:r>
      <w:r w:rsidR="008D2D3A">
        <w:t xml:space="preserve"> </w:t>
      </w:r>
    </w:p>
    <w:p w:rsidR="00DB49EA" w:rsidRDefault="00DB49EA" w:rsidP="00336B17">
      <w:pPr>
        <w:ind w:firstLine="0"/>
      </w:pPr>
    </w:p>
    <w:p w:rsidR="001A1086" w:rsidRDefault="00F33867" w:rsidP="00AD786B">
      <w:pPr>
        <w:ind w:firstLine="0"/>
      </w:pPr>
      <w:r>
        <w:t>V </w:t>
      </w:r>
      <w:r w:rsidR="008D2D3A" w:rsidRPr="00F50AFF">
        <w:t xml:space="preserve">ustanovení § 8 odst. 3 zákona o účetnictví je stanoveno, že účetnictví účetní jednotky je úplné, pokud účetní jednotka zaúčtovala </w:t>
      </w:r>
      <w:r>
        <w:t>v </w:t>
      </w:r>
      <w:r w:rsidR="008D2D3A" w:rsidRPr="00F50AFF">
        <w:t xml:space="preserve">účetním období </w:t>
      </w:r>
      <w:r>
        <w:t>v </w:t>
      </w:r>
      <w:r w:rsidR="008D2D3A" w:rsidRPr="00F50AFF">
        <w:t xml:space="preserve">účetních knihách všechny účetní případy, které </w:t>
      </w:r>
      <w:r>
        <w:t>v </w:t>
      </w:r>
      <w:r w:rsidR="008D2D3A" w:rsidRPr="00F50AFF">
        <w:t>něm zaúčtovat měla, a sestavila účetní závěrku.</w:t>
      </w:r>
      <w:r w:rsidR="008D2D3A">
        <w:t xml:space="preserve"> </w:t>
      </w:r>
    </w:p>
    <w:p w:rsidR="001A1086" w:rsidRDefault="001A1086" w:rsidP="00AD786B">
      <w:pPr>
        <w:ind w:firstLine="0"/>
      </w:pPr>
    </w:p>
    <w:p w:rsidR="001A1086" w:rsidRDefault="00C86688" w:rsidP="00AD786B">
      <w:pPr>
        <w:ind w:firstLine="0"/>
      </w:pPr>
      <w:r>
        <w:t xml:space="preserve">ČSSZ nevedla </w:t>
      </w:r>
      <w:r w:rsidR="00F33867">
        <w:t>v </w:t>
      </w:r>
      <w:r>
        <w:t>roce 2011 správné a úplné účetnictví ve</w:t>
      </w:r>
      <w:r w:rsidR="005873B9">
        <w:t xml:space="preserve"> smyslu zákona o účetnictví a </w:t>
      </w:r>
      <w:r>
        <w:t xml:space="preserve">dalších právních předpisů, neboť </w:t>
      </w:r>
      <w:r w:rsidR="00F33867">
        <w:t>v </w:t>
      </w:r>
      <w:r>
        <w:t xml:space="preserve">některých případech nedodržela obsahové vymezení položek ÚZ dle vyhlášky č. 410/2009 Sb. </w:t>
      </w:r>
      <w:r w:rsidR="008D2D3A" w:rsidRPr="00C86688">
        <w:t xml:space="preserve">Nedostatky byly zjištěny zejména </w:t>
      </w:r>
      <w:r w:rsidR="00F33867">
        <w:t>v </w:t>
      </w:r>
      <w:r w:rsidR="008D2D3A" w:rsidRPr="00C86688">
        <w:t>následujících případech.</w:t>
      </w:r>
    </w:p>
    <w:p w:rsidR="001A1086" w:rsidRDefault="001A1086" w:rsidP="00AD786B">
      <w:pPr>
        <w:ind w:firstLine="0"/>
      </w:pPr>
    </w:p>
    <w:p w:rsidR="001A1086" w:rsidRDefault="00B87E1C" w:rsidP="00AD786B">
      <w:pPr>
        <w:pStyle w:val="Nadpis4"/>
        <w:numPr>
          <w:ilvl w:val="0"/>
          <w:numId w:val="0"/>
        </w:numPr>
        <w:spacing w:before="0"/>
        <w:rPr>
          <w:sz w:val="22"/>
        </w:rPr>
      </w:pPr>
      <w:r>
        <w:rPr>
          <w:sz w:val="22"/>
        </w:rPr>
        <w:t xml:space="preserve">1.2.1.1 </w:t>
      </w:r>
      <w:r w:rsidR="008D2D3A" w:rsidRPr="008D2D3A">
        <w:rPr>
          <w:sz w:val="22"/>
        </w:rPr>
        <w:t>Rozvaha</w:t>
      </w:r>
    </w:p>
    <w:p w:rsidR="001A1086" w:rsidRDefault="001A1086" w:rsidP="00AD786B">
      <w:pPr>
        <w:ind w:firstLine="0"/>
        <w:rPr>
          <w:rFonts w:cs="Arial"/>
          <w:color w:val="000000"/>
          <w:spacing w:val="-2"/>
        </w:rPr>
      </w:pPr>
    </w:p>
    <w:p w:rsidR="001A1086" w:rsidRDefault="00AC4B8B" w:rsidP="00AD786B">
      <w:pPr>
        <w:ind w:firstLine="0"/>
      </w:pPr>
      <w:r w:rsidRPr="005B3E8B">
        <w:t>ČSSZ</w:t>
      </w:r>
      <w:r>
        <w:t xml:space="preserve"> nesprávně účtovala o majetku pořízeném do konce roku 2009, </w:t>
      </w:r>
      <w:r w:rsidRPr="005B3E8B">
        <w:t xml:space="preserve">který </w:t>
      </w:r>
      <w:r w:rsidR="00F33867">
        <w:t>v </w:t>
      </w:r>
      <w:r w:rsidRPr="005B3E8B">
        <w:t>jednotlivém případě nesplňoval dolní hranici pro</w:t>
      </w:r>
      <w:r>
        <w:t xml:space="preserve"> </w:t>
      </w:r>
      <w:r w:rsidR="003E6BF8">
        <w:t>vykazování</w:t>
      </w:r>
      <w:r>
        <w:t xml:space="preserve"> </w:t>
      </w:r>
      <w:r w:rsidR="00F33867">
        <w:t>v </w:t>
      </w:r>
      <w:r w:rsidR="003F13AC">
        <w:t>r</w:t>
      </w:r>
      <w:r>
        <w:t xml:space="preserve">ozvaze </w:t>
      </w:r>
      <w:r w:rsidRPr="005B3E8B">
        <w:t>na majetkov</w:t>
      </w:r>
      <w:r w:rsidR="003F13AC">
        <w:t>ém</w:t>
      </w:r>
      <w:r w:rsidRPr="005B3E8B">
        <w:t xml:space="preserve"> úč</w:t>
      </w:r>
      <w:r w:rsidR="003F13AC">
        <w:t>tu</w:t>
      </w:r>
      <w:r w:rsidRPr="005B3E8B">
        <w:t xml:space="preserve"> 018</w:t>
      </w:r>
      <w:r w:rsidR="005E5DF2">
        <w:t xml:space="preserve"> </w:t>
      </w:r>
      <w:r w:rsidRPr="005B3E8B">
        <w:t xml:space="preserve">– </w:t>
      </w:r>
      <w:r w:rsidR="00D54265" w:rsidRPr="00AD786B">
        <w:rPr>
          <w:i/>
        </w:rPr>
        <w:t>Drobný dlouhodobý nehmotný majetek</w:t>
      </w:r>
      <w:r>
        <w:t xml:space="preserve"> a </w:t>
      </w:r>
      <w:r w:rsidR="00F33867">
        <w:t>k </w:t>
      </w:r>
      <w:r w:rsidRPr="005B3E8B">
        <w:t xml:space="preserve">31. </w:t>
      </w:r>
      <w:r w:rsidR="005873B9">
        <w:t>prosinci</w:t>
      </w:r>
      <w:r w:rsidRPr="005B3E8B">
        <w:t xml:space="preserve"> 2011 </w:t>
      </w:r>
      <w:r>
        <w:t xml:space="preserve">tento majetek nesprávně </w:t>
      </w:r>
      <w:r w:rsidRPr="005B3E8B">
        <w:t xml:space="preserve">vykázala na položce </w:t>
      </w:r>
      <w:r w:rsidRPr="00524DB0">
        <w:t>A.I.5</w:t>
      </w:r>
      <w:r w:rsidR="00D54265" w:rsidRPr="00AD786B">
        <w:rPr>
          <w:i/>
        </w:rPr>
        <w:t>. Drobný dlouhodobý nehmotný majetek</w:t>
      </w:r>
      <w:r w:rsidRPr="005B3E8B">
        <w:t xml:space="preserve"> ve výkazu </w:t>
      </w:r>
      <w:r w:rsidR="003F13AC">
        <w:t>r</w:t>
      </w:r>
      <w:r w:rsidRPr="005B3E8B">
        <w:t>ozvaha</w:t>
      </w:r>
      <w:r>
        <w:t>.</w:t>
      </w:r>
      <w:r w:rsidRPr="005B3E8B">
        <w:t xml:space="preserve"> </w:t>
      </w:r>
    </w:p>
    <w:p w:rsidR="001A1086" w:rsidRDefault="001A1086" w:rsidP="00AD786B">
      <w:pPr>
        <w:ind w:firstLine="0"/>
      </w:pPr>
    </w:p>
    <w:p w:rsidR="00AC4B8B" w:rsidRPr="006B516B" w:rsidRDefault="00AC4B8B" w:rsidP="006B4F11">
      <w:pPr>
        <w:ind w:firstLine="0"/>
      </w:pPr>
      <w:r w:rsidRPr="005B3E8B">
        <w:t xml:space="preserve">ČSSZ </w:t>
      </w:r>
      <w:r>
        <w:t xml:space="preserve">chybně účtovala o majetku pořízeném do konce roku 2009, který </w:t>
      </w:r>
      <w:r w:rsidR="00F33867">
        <w:t>v </w:t>
      </w:r>
      <w:r>
        <w:t xml:space="preserve">jednotlivém případě nesplňoval dolní hranici pro </w:t>
      </w:r>
      <w:r w:rsidR="003E6BF8">
        <w:t>vykazování</w:t>
      </w:r>
      <w:r>
        <w:t xml:space="preserve"> </w:t>
      </w:r>
      <w:r w:rsidR="00F33867">
        <w:t>v </w:t>
      </w:r>
      <w:r>
        <w:t>rozvaze na majetkov</w:t>
      </w:r>
      <w:r w:rsidR="003F13AC">
        <w:t>ém</w:t>
      </w:r>
      <w:r>
        <w:t xml:space="preserve"> úč</w:t>
      </w:r>
      <w:r w:rsidR="003F13AC">
        <w:t>tu</w:t>
      </w:r>
      <w:r>
        <w:t xml:space="preserve"> </w:t>
      </w:r>
      <w:r w:rsidRPr="005B3E8B">
        <w:t xml:space="preserve">028 – </w:t>
      </w:r>
      <w:r w:rsidR="00D54265" w:rsidRPr="00AD786B">
        <w:rPr>
          <w:i/>
        </w:rPr>
        <w:t>Drobný dlouhodobý hmotný majetek</w:t>
      </w:r>
      <w:r>
        <w:t xml:space="preserve"> a </w:t>
      </w:r>
      <w:r w:rsidR="00F33867">
        <w:t>k </w:t>
      </w:r>
      <w:r w:rsidRPr="005B3E8B">
        <w:t xml:space="preserve">31. </w:t>
      </w:r>
      <w:r w:rsidR="005873B9" w:rsidRPr="00A82868">
        <w:t>prosinci</w:t>
      </w:r>
      <w:r w:rsidRPr="00A82868">
        <w:t xml:space="preserve"> 2011 tento maje</w:t>
      </w:r>
      <w:r>
        <w:t>tek chybně</w:t>
      </w:r>
      <w:r w:rsidRPr="005B3E8B">
        <w:t xml:space="preserve"> vykázala na položce </w:t>
      </w:r>
      <w:r w:rsidRPr="00524DB0">
        <w:t>A.II.6.</w:t>
      </w:r>
      <w:r w:rsidR="00D54265" w:rsidRPr="00AD786B">
        <w:rPr>
          <w:i/>
        </w:rPr>
        <w:t xml:space="preserve"> Drobný dlouhodobý</w:t>
      </w:r>
      <w:bookmarkStart w:id="1" w:name="_GoBack"/>
      <w:bookmarkEnd w:id="1"/>
      <w:r w:rsidR="00D54265" w:rsidRPr="00AD786B">
        <w:rPr>
          <w:i/>
        </w:rPr>
        <w:t xml:space="preserve"> hmotný majetek</w:t>
      </w:r>
      <w:r w:rsidRPr="005B3E8B">
        <w:t xml:space="preserve"> ve výkazu </w:t>
      </w:r>
      <w:r w:rsidR="003F13AC">
        <w:t>r</w:t>
      </w:r>
      <w:r w:rsidRPr="005B3E8B">
        <w:t>ozvaha</w:t>
      </w:r>
      <w:r>
        <w:t>.</w:t>
      </w:r>
      <w:r w:rsidRPr="005B3E8B">
        <w:t xml:space="preserve"> </w:t>
      </w:r>
      <w:r w:rsidR="00F33867">
        <w:rPr>
          <w:rFonts w:cs="Arial"/>
          <w:bCs/>
          <w:iCs/>
        </w:rPr>
        <w:t>V </w:t>
      </w:r>
      <w:r w:rsidRPr="008042EA">
        <w:rPr>
          <w:rFonts w:cs="Arial"/>
          <w:bCs/>
          <w:iCs/>
        </w:rPr>
        <w:t xml:space="preserve">důsledku </w:t>
      </w:r>
      <w:r w:rsidR="006B516B">
        <w:rPr>
          <w:rFonts w:cs="Arial"/>
          <w:bCs/>
          <w:iCs/>
        </w:rPr>
        <w:t>těchto</w:t>
      </w:r>
      <w:r w:rsidRPr="00BA7EDA">
        <w:rPr>
          <w:rFonts w:cs="Arial"/>
          <w:bCs/>
          <w:iCs/>
        </w:rPr>
        <w:t xml:space="preserve"> skutečností </w:t>
      </w:r>
      <w:r>
        <w:rPr>
          <w:rFonts w:cs="Arial"/>
          <w:bCs/>
          <w:iCs/>
        </w:rPr>
        <w:t>ČSSZ</w:t>
      </w:r>
      <w:r w:rsidRPr="00BA7EDA">
        <w:rPr>
          <w:rFonts w:cs="Arial"/>
          <w:bCs/>
          <w:iCs/>
        </w:rPr>
        <w:t xml:space="preserve"> ve své ÚZ </w:t>
      </w:r>
      <w:r w:rsidR="00F33867">
        <w:rPr>
          <w:rFonts w:cs="Arial"/>
          <w:bCs/>
          <w:iCs/>
        </w:rPr>
        <w:t>k </w:t>
      </w:r>
      <w:r w:rsidRPr="00BA7EDA">
        <w:rPr>
          <w:rFonts w:cs="Arial"/>
          <w:bCs/>
          <w:iCs/>
        </w:rPr>
        <w:t xml:space="preserve">31. </w:t>
      </w:r>
      <w:r w:rsidR="005873B9">
        <w:rPr>
          <w:rFonts w:cs="Arial"/>
          <w:bCs/>
          <w:iCs/>
        </w:rPr>
        <w:t>prosinci</w:t>
      </w:r>
      <w:r w:rsidRPr="00BA7EDA">
        <w:rPr>
          <w:rFonts w:cs="Arial"/>
          <w:bCs/>
          <w:iCs/>
        </w:rPr>
        <w:t xml:space="preserve"> 20</w:t>
      </w:r>
      <w:r>
        <w:rPr>
          <w:rFonts w:cs="Arial"/>
          <w:bCs/>
          <w:iCs/>
        </w:rPr>
        <w:t>11</w:t>
      </w:r>
      <w:r w:rsidRPr="00BA7EDA">
        <w:rPr>
          <w:rFonts w:cs="Arial"/>
          <w:bCs/>
          <w:iCs/>
        </w:rPr>
        <w:t xml:space="preserve"> ve výkazu </w:t>
      </w:r>
      <w:r w:rsidR="003F13AC">
        <w:rPr>
          <w:rFonts w:cs="Arial"/>
          <w:bCs/>
          <w:iCs/>
        </w:rPr>
        <w:t>r</w:t>
      </w:r>
      <w:r w:rsidRPr="00455C95">
        <w:rPr>
          <w:rFonts w:cs="Arial"/>
          <w:bCs/>
          <w:iCs/>
        </w:rPr>
        <w:t>ozvaha</w:t>
      </w:r>
      <w:r>
        <w:rPr>
          <w:rFonts w:cs="Arial"/>
          <w:bCs/>
          <w:iCs/>
        </w:rPr>
        <w:t>:</w:t>
      </w:r>
      <w:r w:rsidRPr="00455C95">
        <w:rPr>
          <w:rFonts w:cs="Arial"/>
          <w:bCs/>
          <w:iCs/>
        </w:rPr>
        <w:t xml:space="preserve"> </w:t>
      </w:r>
    </w:p>
    <w:p w:rsidR="001A1086" w:rsidRDefault="00AC4B8B" w:rsidP="00AD786B">
      <w:pPr>
        <w:numPr>
          <w:ilvl w:val="0"/>
          <w:numId w:val="11"/>
        </w:numPr>
        <w:ind w:left="284" w:hanging="284"/>
        <w:rPr>
          <w:rFonts w:cs="Arial"/>
          <w:bCs/>
          <w:iCs/>
        </w:rPr>
      </w:pPr>
      <w:r w:rsidRPr="00741F1B">
        <w:rPr>
          <w:rFonts w:cs="Arial"/>
          <w:bCs/>
          <w:iCs/>
        </w:rPr>
        <w:t xml:space="preserve">nadhodnotila účet 018 – </w:t>
      </w:r>
      <w:r w:rsidR="00D54265" w:rsidRPr="00AD786B">
        <w:rPr>
          <w:rFonts w:cs="Arial"/>
          <w:bCs/>
          <w:i/>
          <w:iCs/>
        </w:rPr>
        <w:t>Drobný dlouhodobý nehmotný majetek</w:t>
      </w:r>
      <w:r w:rsidRPr="00741F1B">
        <w:rPr>
          <w:rFonts w:cs="Arial"/>
          <w:bCs/>
          <w:i/>
          <w:iCs/>
        </w:rPr>
        <w:t xml:space="preserve"> </w:t>
      </w:r>
      <w:r w:rsidRPr="00741F1B">
        <w:rPr>
          <w:rFonts w:cs="Arial"/>
          <w:bCs/>
          <w:iCs/>
        </w:rPr>
        <w:t xml:space="preserve">o částku </w:t>
      </w:r>
      <w:r w:rsidRPr="00741F1B">
        <w:rPr>
          <w:rFonts w:cs="Arial"/>
          <w:b/>
        </w:rPr>
        <w:t>9</w:t>
      </w:r>
      <w:r w:rsidR="00741F1B" w:rsidRPr="00741F1B">
        <w:rPr>
          <w:rFonts w:cs="Arial"/>
          <w:b/>
        </w:rPr>
        <w:t> </w:t>
      </w:r>
      <w:r w:rsidRPr="00741F1B">
        <w:rPr>
          <w:rFonts w:cs="Arial"/>
          <w:b/>
        </w:rPr>
        <w:t>984</w:t>
      </w:r>
      <w:r w:rsidR="00741F1B" w:rsidRPr="00741F1B">
        <w:rPr>
          <w:rFonts w:cs="Arial"/>
          <w:b/>
        </w:rPr>
        <w:t> </w:t>
      </w:r>
      <w:r w:rsidRPr="00741F1B">
        <w:rPr>
          <w:rFonts w:cs="Arial"/>
          <w:b/>
        </w:rPr>
        <w:t>970,04</w:t>
      </w:r>
      <w:r w:rsidR="00741F1B" w:rsidRPr="00741F1B">
        <w:rPr>
          <w:rFonts w:cs="Arial"/>
          <w:b/>
        </w:rPr>
        <w:t> </w:t>
      </w:r>
      <w:r w:rsidRPr="00741F1B">
        <w:rPr>
          <w:rFonts w:cs="Arial"/>
          <w:b/>
        </w:rPr>
        <w:t>Kč</w:t>
      </w:r>
      <w:r w:rsidRPr="00741F1B">
        <w:rPr>
          <w:rFonts w:cs="Arial"/>
          <w:bCs/>
          <w:iCs/>
        </w:rPr>
        <w:t xml:space="preserve"> a o stejnou částku nadhodnotila účet 401 – </w:t>
      </w:r>
      <w:r w:rsidR="00D54265" w:rsidRPr="00AD786B">
        <w:rPr>
          <w:rFonts w:cs="Arial"/>
          <w:bCs/>
          <w:i/>
          <w:iCs/>
        </w:rPr>
        <w:t>Jmění účetní jednotky</w:t>
      </w:r>
    </w:p>
    <w:p w:rsidR="001A1086" w:rsidRDefault="00AC4B8B" w:rsidP="00AD786B">
      <w:pPr>
        <w:numPr>
          <w:ilvl w:val="0"/>
          <w:numId w:val="11"/>
        </w:numPr>
        <w:ind w:left="284" w:hanging="284"/>
        <w:rPr>
          <w:rFonts w:cs="Arial"/>
          <w:bCs/>
          <w:iCs/>
        </w:rPr>
      </w:pPr>
      <w:r w:rsidRPr="00741F1B">
        <w:rPr>
          <w:rFonts w:cs="Arial"/>
          <w:bCs/>
          <w:iCs/>
        </w:rPr>
        <w:t xml:space="preserve">a zároveň nadhodnotila účet 028 – </w:t>
      </w:r>
      <w:r w:rsidR="00D54265" w:rsidRPr="00AD786B">
        <w:rPr>
          <w:rFonts w:cs="Arial"/>
          <w:bCs/>
          <w:i/>
          <w:iCs/>
        </w:rPr>
        <w:t>Drobný dlouhodobý hmotný majetek</w:t>
      </w:r>
      <w:r w:rsidRPr="00741F1B">
        <w:rPr>
          <w:rFonts w:cs="Arial"/>
          <w:bCs/>
          <w:i/>
          <w:iCs/>
        </w:rPr>
        <w:t xml:space="preserve"> </w:t>
      </w:r>
      <w:r w:rsidRPr="00741F1B">
        <w:rPr>
          <w:rFonts w:cs="Arial"/>
          <w:bCs/>
          <w:iCs/>
        </w:rPr>
        <w:t xml:space="preserve">o částku </w:t>
      </w:r>
      <w:r w:rsidRPr="00741F1B">
        <w:rPr>
          <w:rFonts w:cs="Arial"/>
          <w:b/>
        </w:rPr>
        <w:t>722</w:t>
      </w:r>
      <w:r w:rsidR="00C41BEA" w:rsidRPr="00741F1B">
        <w:rPr>
          <w:rFonts w:cs="Arial"/>
          <w:b/>
        </w:rPr>
        <w:t> </w:t>
      </w:r>
      <w:r w:rsidRPr="00741F1B">
        <w:rPr>
          <w:rFonts w:cs="Arial"/>
          <w:b/>
        </w:rPr>
        <w:t xml:space="preserve">228,53 </w:t>
      </w:r>
      <w:r w:rsidRPr="00741F1B">
        <w:rPr>
          <w:rFonts w:cs="Arial"/>
          <w:b/>
          <w:bCs/>
          <w:iCs/>
        </w:rPr>
        <w:t>Kč</w:t>
      </w:r>
      <w:r w:rsidRPr="00741F1B">
        <w:rPr>
          <w:rFonts w:cs="Arial"/>
          <w:bCs/>
          <w:iCs/>
        </w:rPr>
        <w:t xml:space="preserve"> a o stejnou</w:t>
      </w:r>
      <w:r w:rsidRPr="008042EA">
        <w:rPr>
          <w:rFonts w:cs="Arial"/>
          <w:bCs/>
          <w:iCs/>
        </w:rPr>
        <w:t xml:space="preserve"> částku nadhodnotila účet 401 – </w:t>
      </w:r>
      <w:r w:rsidR="00D54265" w:rsidRPr="00AD786B">
        <w:rPr>
          <w:rFonts w:cs="Arial"/>
          <w:bCs/>
          <w:i/>
          <w:iCs/>
        </w:rPr>
        <w:t>Jmění účetní jednotky</w:t>
      </w:r>
      <w:r w:rsidRPr="008042EA">
        <w:rPr>
          <w:rFonts w:cs="Arial"/>
          <w:bCs/>
          <w:iCs/>
        </w:rPr>
        <w:t>.</w:t>
      </w:r>
    </w:p>
    <w:p w:rsidR="00AC4B8B" w:rsidRDefault="00AC4B8B" w:rsidP="00AC4B8B">
      <w:pPr>
        <w:pStyle w:val="Normlnodsazen"/>
        <w:spacing w:line="240" w:lineRule="auto"/>
        <w:ind w:firstLine="0"/>
        <w:rPr>
          <w:rFonts w:cs="Arial"/>
        </w:rPr>
      </w:pPr>
    </w:p>
    <w:p w:rsidR="00AC4B8B" w:rsidRPr="00355106" w:rsidRDefault="00AC4B8B" w:rsidP="00AC4B8B">
      <w:pPr>
        <w:pStyle w:val="Normlnodsazen"/>
        <w:spacing w:line="240" w:lineRule="auto"/>
        <w:ind w:firstLine="0"/>
        <w:rPr>
          <w:rFonts w:cs="Arial"/>
        </w:rPr>
      </w:pPr>
      <w:r w:rsidRPr="00E222C7">
        <w:rPr>
          <w:rFonts w:cs="Arial"/>
        </w:rPr>
        <w:t xml:space="preserve">ČSSZ </w:t>
      </w:r>
      <w:r w:rsidR="00820858" w:rsidRPr="00E222C7">
        <w:rPr>
          <w:rFonts w:cs="Arial"/>
        </w:rPr>
        <w:t xml:space="preserve">tímto postupem zároveň ovlivnila zůstatky účtů 901 – </w:t>
      </w:r>
      <w:r w:rsidR="00D54265" w:rsidRPr="00AD786B">
        <w:rPr>
          <w:rFonts w:cs="Arial"/>
          <w:i/>
        </w:rPr>
        <w:t>Jiný drobný dlouhodobý nehmotný majetek</w:t>
      </w:r>
      <w:r w:rsidR="00820858" w:rsidRPr="00E222C7">
        <w:rPr>
          <w:rFonts w:cs="Arial"/>
        </w:rPr>
        <w:t xml:space="preserve"> a 902 – </w:t>
      </w:r>
      <w:r w:rsidR="00D54265" w:rsidRPr="00AD786B">
        <w:rPr>
          <w:rFonts w:cs="Arial"/>
          <w:i/>
        </w:rPr>
        <w:t>Jiný drobný dlouhodobý hmotný majetek</w:t>
      </w:r>
      <w:r w:rsidR="00820858" w:rsidRPr="00E222C7">
        <w:rPr>
          <w:rFonts w:cs="Arial"/>
        </w:rPr>
        <w:t xml:space="preserve"> </w:t>
      </w:r>
      <w:r w:rsidR="00F33867">
        <w:rPr>
          <w:rFonts w:cs="Arial"/>
        </w:rPr>
        <w:t>v </w:t>
      </w:r>
      <w:r w:rsidR="003F13AC">
        <w:rPr>
          <w:rFonts w:cs="Arial"/>
        </w:rPr>
        <w:t>p</w:t>
      </w:r>
      <w:r w:rsidRPr="00E222C7">
        <w:rPr>
          <w:rFonts w:cs="Arial"/>
        </w:rPr>
        <w:t xml:space="preserve">říloze ÚZ </w:t>
      </w:r>
      <w:r w:rsidR="00F33867">
        <w:rPr>
          <w:rFonts w:cs="Arial"/>
        </w:rPr>
        <w:t>v </w:t>
      </w:r>
      <w:r w:rsidRPr="00E222C7">
        <w:rPr>
          <w:rFonts w:cs="Arial"/>
        </w:rPr>
        <w:t xml:space="preserve">části </w:t>
      </w:r>
      <w:r w:rsidR="00524DB0">
        <w:rPr>
          <w:rFonts w:cs="Arial"/>
        </w:rPr>
        <w:br/>
      </w:r>
      <w:r w:rsidRPr="00E222C7">
        <w:rPr>
          <w:rFonts w:cs="Arial"/>
        </w:rPr>
        <w:t>A.4</w:t>
      </w:r>
      <w:r w:rsidR="001632CB">
        <w:rPr>
          <w:rFonts w:cs="Arial"/>
        </w:rPr>
        <w:t xml:space="preserve"> </w:t>
      </w:r>
      <w:r w:rsidR="005873B9">
        <w:rPr>
          <w:rFonts w:cs="Arial"/>
        </w:rPr>
        <w:t>–</w:t>
      </w:r>
      <w:r w:rsidRPr="00E222C7">
        <w:rPr>
          <w:rFonts w:cs="Arial"/>
        </w:rPr>
        <w:t xml:space="preserve"> </w:t>
      </w:r>
      <w:r w:rsidR="00D54265" w:rsidRPr="00AD786B">
        <w:rPr>
          <w:rFonts w:cs="Arial"/>
          <w:i/>
        </w:rPr>
        <w:t>Informace podle § 7 odst. 5 zákona o stavu účtů v knize podrozvahových účtů</w:t>
      </w:r>
      <w:r w:rsidR="00820858" w:rsidRPr="00355106">
        <w:rPr>
          <w:rFonts w:cs="Arial"/>
        </w:rPr>
        <w:t xml:space="preserve"> – viz kapitola </w:t>
      </w:r>
      <w:r w:rsidR="003E6BF8">
        <w:rPr>
          <w:rFonts w:cs="Arial"/>
        </w:rPr>
        <w:t xml:space="preserve">tohoto kontrolního závěru </w:t>
      </w:r>
      <w:r w:rsidR="00820858" w:rsidRPr="00355106">
        <w:rPr>
          <w:rFonts w:cs="Arial"/>
        </w:rPr>
        <w:t xml:space="preserve">1.2.1.3 </w:t>
      </w:r>
      <w:r w:rsidR="00D54265" w:rsidRPr="00AD786B">
        <w:rPr>
          <w:rFonts w:cs="Arial"/>
          <w:i/>
        </w:rPr>
        <w:t>Příloha ÚZ</w:t>
      </w:r>
      <w:r w:rsidR="00820858" w:rsidRPr="00355106">
        <w:rPr>
          <w:rFonts w:cs="Arial"/>
        </w:rPr>
        <w:t>.</w:t>
      </w:r>
    </w:p>
    <w:p w:rsidR="00C41BEA" w:rsidRDefault="00C41BEA" w:rsidP="00AC4B8B">
      <w:pPr>
        <w:pStyle w:val="Normlnodsazen"/>
        <w:spacing w:line="240" w:lineRule="auto"/>
        <w:ind w:firstLine="539"/>
        <w:rPr>
          <w:rFonts w:cs="Arial"/>
        </w:rPr>
      </w:pPr>
    </w:p>
    <w:p w:rsidR="00AC4B8B" w:rsidRPr="002D084D" w:rsidRDefault="00AC4B8B" w:rsidP="006B4F11">
      <w:pPr>
        <w:tabs>
          <w:tab w:val="left" w:pos="284"/>
        </w:tabs>
        <w:ind w:firstLine="0"/>
        <w:rPr>
          <w:rFonts w:cs="Arial"/>
          <w:color w:val="000000"/>
          <w:spacing w:val="-2"/>
        </w:rPr>
      </w:pPr>
      <w:r w:rsidRPr="00854756">
        <w:rPr>
          <w:rFonts w:cs="Arial"/>
          <w:color w:val="000000"/>
          <w:spacing w:val="-2"/>
        </w:rPr>
        <w:t xml:space="preserve">ČSSZ </w:t>
      </w:r>
      <w:r w:rsidR="00F33867">
        <w:rPr>
          <w:rFonts w:cs="Arial"/>
          <w:color w:val="000000"/>
          <w:spacing w:val="-2"/>
        </w:rPr>
        <w:t>k </w:t>
      </w:r>
      <w:r w:rsidRPr="00854756">
        <w:rPr>
          <w:rFonts w:cs="Arial"/>
          <w:color w:val="000000"/>
          <w:spacing w:val="-2"/>
        </w:rPr>
        <w:t xml:space="preserve">31. </w:t>
      </w:r>
      <w:r w:rsidR="005873B9">
        <w:rPr>
          <w:rFonts w:cs="Arial"/>
          <w:color w:val="000000"/>
          <w:spacing w:val="-2"/>
        </w:rPr>
        <w:t>prosinci</w:t>
      </w:r>
      <w:r w:rsidRPr="00854756">
        <w:rPr>
          <w:rFonts w:cs="Arial"/>
          <w:color w:val="000000"/>
          <w:spacing w:val="-2"/>
        </w:rPr>
        <w:t xml:space="preserve"> 2011 nesprávně vykázala majetkové položky </w:t>
      </w:r>
      <w:r w:rsidR="00F33867">
        <w:rPr>
          <w:rFonts w:cs="Arial"/>
          <w:color w:val="000000"/>
          <w:spacing w:val="-2"/>
        </w:rPr>
        <w:t>v </w:t>
      </w:r>
      <w:r w:rsidRPr="00854756">
        <w:rPr>
          <w:rFonts w:cs="Arial"/>
          <w:color w:val="000000"/>
          <w:spacing w:val="-2"/>
        </w:rPr>
        <w:t xml:space="preserve">celkové hodnotě </w:t>
      </w:r>
      <w:r w:rsidRPr="00C41BEA">
        <w:rPr>
          <w:rFonts w:cs="Arial"/>
          <w:b/>
          <w:color w:val="000000"/>
          <w:spacing w:val="-2"/>
        </w:rPr>
        <w:t>18</w:t>
      </w:r>
      <w:r w:rsidR="00C41BEA" w:rsidRPr="00C41BEA">
        <w:rPr>
          <w:rFonts w:cs="Arial"/>
          <w:b/>
          <w:color w:val="000000"/>
          <w:spacing w:val="-2"/>
        </w:rPr>
        <w:t> </w:t>
      </w:r>
      <w:r w:rsidRPr="00C41BEA">
        <w:rPr>
          <w:rFonts w:cs="Arial"/>
          <w:b/>
          <w:color w:val="000000"/>
          <w:spacing w:val="-2"/>
        </w:rPr>
        <w:t>377</w:t>
      </w:r>
      <w:r w:rsidR="00C41BEA" w:rsidRPr="00C41BEA">
        <w:rPr>
          <w:rFonts w:cs="Arial"/>
          <w:b/>
          <w:color w:val="000000"/>
          <w:spacing w:val="-2"/>
        </w:rPr>
        <w:t> </w:t>
      </w:r>
      <w:r w:rsidRPr="00C41BEA">
        <w:rPr>
          <w:rFonts w:cs="Arial"/>
          <w:b/>
          <w:color w:val="000000"/>
          <w:spacing w:val="-2"/>
        </w:rPr>
        <w:t>242</w:t>
      </w:r>
      <w:r w:rsidR="006B4F11">
        <w:rPr>
          <w:rFonts w:cs="Arial"/>
          <w:b/>
          <w:color w:val="000000"/>
          <w:spacing w:val="-2"/>
        </w:rPr>
        <w:t> </w:t>
      </w:r>
      <w:r w:rsidRPr="00C41BEA">
        <w:rPr>
          <w:rFonts w:cs="Arial"/>
          <w:b/>
          <w:color w:val="000000"/>
          <w:spacing w:val="-2"/>
        </w:rPr>
        <w:t>Kč</w:t>
      </w:r>
      <w:r w:rsidRPr="00854756">
        <w:rPr>
          <w:rFonts w:cs="Arial"/>
          <w:color w:val="000000"/>
          <w:spacing w:val="-2"/>
        </w:rPr>
        <w:t xml:space="preserve"> na položce</w:t>
      </w:r>
      <w:r w:rsidR="001632CB">
        <w:rPr>
          <w:rFonts w:cs="Arial"/>
          <w:color w:val="000000"/>
          <w:spacing w:val="-2"/>
        </w:rPr>
        <w:t xml:space="preserve"> </w:t>
      </w:r>
      <w:r w:rsidRPr="00854756">
        <w:t xml:space="preserve">A.II.8. </w:t>
      </w:r>
      <w:r w:rsidR="00D54265" w:rsidRPr="00B50AEE">
        <w:rPr>
          <w:i/>
        </w:rPr>
        <w:t>Nedokončený dlouhodobý hmotný majetek</w:t>
      </w:r>
      <w:r w:rsidRPr="00854756">
        <w:t xml:space="preserve"> ve výkazu </w:t>
      </w:r>
      <w:r w:rsidR="00524DB0">
        <w:t>r</w:t>
      </w:r>
      <w:r w:rsidRPr="00854756">
        <w:t>ozvaha</w:t>
      </w:r>
      <w:r w:rsidRPr="00854756">
        <w:rPr>
          <w:rFonts w:cs="Arial"/>
          <w:color w:val="000000"/>
          <w:spacing w:val="-2"/>
        </w:rPr>
        <w:t xml:space="preserve">, ačkoliv tento majetek </w:t>
      </w:r>
      <w:r w:rsidR="00524DB0" w:rsidRPr="00854756">
        <w:rPr>
          <w:rFonts w:cs="Arial"/>
          <w:color w:val="000000"/>
          <w:spacing w:val="-2"/>
        </w:rPr>
        <w:t xml:space="preserve">byl </w:t>
      </w:r>
      <w:r w:rsidRPr="00854756">
        <w:rPr>
          <w:rFonts w:cs="Arial"/>
          <w:color w:val="000000"/>
          <w:spacing w:val="-2"/>
        </w:rPr>
        <w:t xml:space="preserve">již způsobilý </w:t>
      </w:r>
      <w:r w:rsidR="00F33867">
        <w:rPr>
          <w:rFonts w:cs="Arial"/>
          <w:color w:val="000000"/>
          <w:spacing w:val="-2"/>
        </w:rPr>
        <w:t>k </w:t>
      </w:r>
      <w:r w:rsidRPr="00854756">
        <w:rPr>
          <w:rFonts w:cs="Arial"/>
          <w:color w:val="000000"/>
          <w:spacing w:val="-2"/>
        </w:rPr>
        <w:t>užívání.</w:t>
      </w:r>
      <w:r w:rsidR="006B516B">
        <w:rPr>
          <w:rFonts w:cs="Arial"/>
          <w:color w:val="000000"/>
          <w:spacing w:val="-2"/>
        </w:rPr>
        <w:t xml:space="preserve"> </w:t>
      </w:r>
      <w:r w:rsidR="00F33867">
        <w:rPr>
          <w:rFonts w:cs="Arial"/>
          <w:color w:val="000000"/>
          <w:spacing w:val="-2"/>
        </w:rPr>
        <w:t>V </w:t>
      </w:r>
      <w:r w:rsidRPr="002D084D">
        <w:rPr>
          <w:rFonts w:cs="Arial"/>
          <w:color w:val="000000"/>
          <w:spacing w:val="-2"/>
        </w:rPr>
        <w:t xml:space="preserve">důsledku </w:t>
      </w:r>
      <w:r w:rsidR="006B516B">
        <w:rPr>
          <w:rFonts w:cs="Arial"/>
          <w:color w:val="000000"/>
          <w:spacing w:val="-2"/>
        </w:rPr>
        <w:t>této</w:t>
      </w:r>
      <w:r w:rsidRPr="002D084D">
        <w:rPr>
          <w:rFonts w:cs="Arial"/>
          <w:color w:val="000000"/>
          <w:spacing w:val="-2"/>
        </w:rPr>
        <w:t xml:space="preserve"> skutečnost</w:t>
      </w:r>
      <w:r>
        <w:rPr>
          <w:rFonts w:cs="Arial"/>
          <w:color w:val="000000"/>
          <w:spacing w:val="-2"/>
        </w:rPr>
        <w:t>i</w:t>
      </w:r>
      <w:r w:rsidRPr="002D084D">
        <w:rPr>
          <w:rFonts w:cs="Arial"/>
          <w:color w:val="000000"/>
          <w:spacing w:val="-2"/>
        </w:rPr>
        <w:t xml:space="preserve"> ČSSZ ve své ÚZ </w:t>
      </w:r>
      <w:r w:rsidR="00F33867">
        <w:rPr>
          <w:rFonts w:cs="Arial"/>
          <w:color w:val="000000"/>
          <w:spacing w:val="-2"/>
        </w:rPr>
        <w:t>k </w:t>
      </w:r>
      <w:r w:rsidRPr="002D084D">
        <w:rPr>
          <w:rFonts w:cs="Arial"/>
          <w:color w:val="000000"/>
          <w:spacing w:val="-2"/>
        </w:rPr>
        <w:t xml:space="preserve">31. </w:t>
      </w:r>
      <w:r w:rsidR="005873B9">
        <w:rPr>
          <w:rFonts w:cs="Arial"/>
          <w:color w:val="000000"/>
          <w:spacing w:val="-2"/>
        </w:rPr>
        <w:t>prosinci</w:t>
      </w:r>
      <w:r w:rsidRPr="002D084D">
        <w:rPr>
          <w:rFonts w:cs="Arial"/>
          <w:color w:val="000000"/>
          <w:spacing w:val="-2"/>
        </w:rPr>
        <w:t xml:space="preserve"> 2011 ve výkazu </w:t>
      </w:r>
      <w:r w:rsidR="00524DB0">
        <w:rPr>
          <w:rFonts w:cs="Arial"/>
          <w:color w:val="000000"/>
          <w:spacing w:val="-2"/>
        </w:rPr>
        <w:t>r</w:t>
      </w:r>
      <w:r w:rsidRPr="002D084D">
        <w:rPr>
          <w:rFonts w:cs="Arial"/>
          <w:color w:val="000000"/>
          <w:spacing w:val="-2"/>
        </w:rPr>
        <w:t>ozvaha</w:t>
      </w:r>
      <w:r>
        <w:rPr>
          <w:rFonts w:cs="Arial"/>
          <w:color w:val="000000"/>
          <w:spacing w:val="-2"/>
        </w:rPr>
        <w:t>:</w:t>
      </w:r>
      <w:r w:rsidRPr="002D084D">
        <w:rPr>
          <w:rFonts w:cs="Arial"/>
          <w:color w:val="000000"/>
          <w:spacing w:val="-2"/>
        </w:rPr>
        <w:t xml:space="preserve"> </w:t>
      </w:r>
    </w:p>
    <w:p w:rsidR="001A1086" w:rsidRDefault="00AC4B8B" w:rsidP="00B638CB">
      <w:pPr>
        <w:numPr>
          <w:ilvl w:val="0"/>
          <w:numId w:val="11"/>
        </w:numPr>
        <w:ind w:left="284" w:hanging="284"/>
        <w:rPr>
          <w:rFonts w:cs="Arial"/>
          <w:color w:val="000000"/>
          <w:spacing w:val="-2"/>
        </w:rPr>
      </w:pPr>
      <w:r w:rsidRPr="002D084D">
        <w:rPr>
          <w:rFonts w:cs="Arial"/>
          <w:color w:val="000000"/>
          <w:spacing w:val="-2"/>
        </w:rPr>
        <w:tab/>
        <w:t xml:space="preserve">podhodnotila účet 021 – </w:t>
      </w:r>
      <w:r w:rsidR="00D54265" w:rsidRPr="00B638CB">
        <w:rPr>
          <w:rFonts w:cs="Arial"/>
          <w:i/>
          <w:color w:val="000000"/>
          <w:spacing w:val="-2"/>
        </w:rPr>
        <w:t>Stavby</w:t>
      </w:r>
      <w:r w:rsidRPr="002D084D">
        <w:rPr>
          <w:rFonts w:cs="Arial"/>
          <w:color w:val="000000"/>
          <w:spacing w:val="-2"/>
        </w:rPr>
        <w:t xml:space="preserve"> o částku </w:t>
      </w:r>
      <w:r w:rsidRPr="00C41BEA">
        <w:rPr>
          <w:rFonts w:cs="Arial"/>
          <w:b/>
          <w:color w:val="000000"/>
          <w:spacing w:val="-2"/>
        </w:rPr>
        <w:t>18 377 242 Kč</w:t>
      </w:r>
      <w:r w:rsidRPr="002D084D">
        <w:rPr>
          <w:rFonts w:cs="Arial"/>
          <w:color w:val="000000"/>
          <w:spacing w:val="-2"/>
        </w:rPr>
        <w:t xml:space="preserve"> a o stejnou částku </w:t>
      </w:r>
      <w:r w:rsidRPr="00854756">
        <w:rPr>
          <w:rFonts w:cs="Arial"/>
          <w:color w:val="000000"/>
          <w:spacing w:val="-2"/>
        </w:rPr>
        <w:t xml:space="preserve">nadhodnotila účet 042 – </w:t>
      </w:r>
      <w:r w:rsidR="00D54265" w:rsidRPr="00B638CB">
        <w:rPr>
          <w:rFonts w:cs="Arial"/>
          <w:i/>
          <w:color w:val="000000"/>
          <w:spacing w:val="-2"/>
        </w:rPr>
        <w:t>Nedokončený dlouhodobý hmotný majetek</w:t>
      </w:r>
      <w:r w:rsidRPr="00854756">
        <w:rPr>
          <w:rFonts w:cs="Arial"/>
          <w:color w:val="000000"/>
          <w:spacing w:val="-2"/>
        </w:rPr>
        <w:t>.</w:t>
      </w:r>
    </w:p>
    <w:p w:rsidR="00AC4B8B" w:rsidRDefault="00AC4B8B" w:rsidP="00AC4B8B">
      <w:pPr>
        <w:tabs>
          <w:tab w:val="left" w:pos="284"/>
        </w:tabs>
        <w:rPr>
          <w:rFonts w:cs="Arial"/>
          <w:color w:val="000000"/>
          <w:spacing w:val="-2"/>
        </w:rPr>
      </w:pPr>
    </w:p>
    <w:p w:rsidR="00AC4B8B" w:rsidRPr="00012A40" w:rsidRDefault="00AC4B8B" w:rsidP="006B4F11">
      <w:pPr>
        <w:tabs>
          <w:tab w:val="left" w:pos="284"/>
        </w:tabs>
        <w:ind w:firstLine="0"/>
        <w:rPr>
          <w:rFonts w:cs="Arial"/>
          <w:color w:val="000000"/>
          <w:spacing w:val="-2"/>
        </w:rPr>
      </w:pPr>
      <w:r w:rsidRPr="00012A40">
        <w:rPr>
          <w:rFonts w:cs="Arial"/>
          <w:color w:val="000000"/>
          <w:spacing w:val="-2"/>
        </w:rPr>
        <w:t xml:space="preserve">ČSSZ </w:t>
      </w:r>
      <w:r w:rsidR="00F33867">
        <w:rPr>
          <w:rFonts w:cs="Arial"/>
          <w:color w:val="000000"/>
          <w:spacing w:val="-2"/>
        </w:rPr>
        <w:t>k </w:t>
      </w:r>
      <w:r w:rsidRPr="00012A40">
        <w:rPr>
          <w:rFonts w:cs="Arial"/>
          <w:color w:val="000000"/>
          <w:spacing w:val="-2"/>
        </w:rPr>
        <w:t xml:space="preserve">31. </w:t>
      </w:r>
      <w:r w:rsidR="005873B9">
        <w:rPr>
          <w:rFonts w:cs="Arial"/>
          <w:color w:val="000000"/>
          <w:spacing w:val="-2"/>
        </w:rPr>
        <w:t>prosinci</w:t>
      </w:r>
      <w:r w:rsidRPr="00012A40">
        <w:rPr>
          <w:rFonts w:cs="Arial"/>
          <w:color w:val="000000"/>
          <w:spacing w:val="-2"/>
        </w:rPr>
        <w:t xml:space="preserve"> 2011</w:t>
      </w:r>
      <w:r>
        <w:rPr>
          <w:rFonts w:cs="Arial"/>
          <w:color w:val="000000"/>
          <w:spacing w:val="-2"/>
        </w:rPr>
        <w:t xml:space="preserve"> chybně</w:t>
      </w:r>
      <w:r w:rsidRPr="00012A40">
        <w:rPr>
          <w:rFonts w:cs="Arial"/>
          <w:color w:val="000000"/>
          <w:spacing w:val="-2"/>
        </w:rPr>
        <w:t xml:space="preserve"> vykázala pohledávky plynoucí </w:t>
      </w:r>
      <w:r w:rsidR="00F33867">
        <w:rPr>
          <w:rFonts w:cs="Arial"/>
          <w:color w:val="000000"/>
          <w:spacing w:val="-2"/>
        </w:rPr>
        <w:t>z </w:t>
      </w:r>
      <w:r w:rsidRPr="00012A40">
        <w:rPr>
          <w:rFonts w:cs="Arial"/>
          <w:color w:val="000000"/>
          <w:spacing w:val="-2"/>
        </w:rPr>
        <w:t xml:space="preserve">pronájmu služebních bytů, nebytových prostor a služeb spojených </w:t>
      </w:r>
      <w:r w:rsidR="00F33867">
        <w:rPr>
          <w:rFonts w:cs="Arial"/>
          <w:color w:val="000000"/>
          <w:spacing w:val="-2"/>
        </w:rPr>
        <w:t>s </w:t>
      </w:r>
      <w:r w:rsidRPr="00012A40">
        <w:rPr>
          <w:rFonts w:cs="Arial"/>
          <w:color w:val="000000"/>
          <w:spacing w:val="-2"/>
        </w:rPr>
        <w:t xml:space="preserve">pronájmem na účtu 315 – </w:t>
      </w:r>
      <w:r w:rsidR="00D54265" w:rsidRPr="00B638CB">
        <w:rPr>
          <w:rFonts w:cs="Arial"/>
          <w:i/>
          <w:color w:val="000000"/>
          <w:spacing w:val="-2"/>
        </w:rPr>
        <w:t>Jiné pohledávky z hlavní činnosti</w:t>
      </w:r>
      <w:r w:rsidRPr="00012A40">
        <w:rPr>
          <w:rFonts w:cs="Arial"/>
          <w:color w:val="000000"/>
          <w:spacing w:val="-2"/>
        </w:rPr>
        <w:t xml:space="preserve">, ačkoliv povaha účetní operace neodpovídala obsahovému vymezení </w:t>
      </w:r>
      <w:r w:rsidR="00455AD5">
        <w:rPr>
          <w:rFonts w:cs="Arial"/>
          <w:color w:val="000000"/>
          <w:spacing w:val="-2"/>
        </w:rPr>
        <w:t>p</w:t>
      </w:r>
      <w:r w:rsidRPr="00012A40">
        <w:rPr>
          <w:rFonts w:cs="Arial"/>
          <w:color w:val="000000"/>
          <w:spacing w:val="-2"/>
        </w:rPr>
        <w:t>oložky</w:t>
      </w:r>
      <w:r w:rsidR="006B4F11">
        <w:rPr>
          <w:rFonts w:cs="Arial"/>
          <w:color w:val="000000"/>
          <w:spacing w:val="-2"/>
        </w:rPr>
        <w:t xml:space="preserve"> </w:t>
      </w:r>
      <w:r w:rsidRPr="00012A40">
        <w:rPr>
          <w:rFonts w:cs="Arial"/>
          <w:color w:val="000000"/>
          <w:spacing w:val="-2"/>
        </w:rPr>
        <w:t xml:space="preserve">B.II.5. </w:t>
      </w:r>
      <w:r w:rsidR="00D54265" w:rsidRPr="00B638CB">
        <w:rPr>
          <w:rFonts w:cs="Arial"/>
          <w:i/>
          <w:color w:val="000000"/>
          <w:spacing w:val="-2"/>
        </w:rPr>
        <w:t>Jiné pohledávky z hlavní činnosti</w:t>
      </w:r>
      <w:r w:rsidRPr="00012A40">
        <w:rPr>
          <w:rFonts w:cs="Arial"/>
          <w:color w:val="000000"/>
          <w:spacing w:val="-2"/>
        </w:rPr>
        <w:t xml:space="preserve"> ve výkazu </w:t>
      </w:r>
      <w:r w:rsidR="00524DB0">
        <w:rPr>
          <w:rFonts w:cs="Arial"/>
          <w:color w:val="000000"/>
          <w:spacing w:val="-2"/>
        </w:rPr>
        <w:t>r</w:t>
      </w:r>
      <w:r w:rsidRPr="00012A40">
        <w:rPr>
          <w:rFonts w:cs="Arial"/>
          <w:color w:val="000000"/>
          <w:spacing w:val="-2"/>
        </w:rPr>
        <w:t>ozvaha</w:t>
      </w:r>
      <w:r w:rsidR="006B516B">
        <w:rPr>
          <w:rFonts w:cs="Arial"/>
          <w:color w:val="000000"/>
          <w:spacing w:val="-2"/>
        </w:rPr>
        <w:t xml:space="preserve">. </w:t>
      </w:r>
      <w:r w:rsidR="00F33867">
        <w:rPr>
          <w:rFonts w:cs="Arial"/>
          <w:color w:val="000000"/>
          <w:spacing w:val="-2"/>
        </w:rPr>
        <w:t>V </w:t>
      </w:r>
      <w:r w:rsidRPr="00012A40">
        <w:rPr>
          <w:rFonts w:cs="Arial"/>
          <w:color w:val="000000"/>
          <w:spacing w:val="-2"/>
        </w:rPr>
        <w:t xml:space="preserve">důsledku </w:t>
      </w:r>
      <w:r w:rsidR="006B516B">
        <w:rPr>
          <w:rFonts w:cs="Arial"/>
          <w:color w:val="000000"/>
          <w:spacing w:val="-2"/>
        </w:rPr>
        <w:t>t</w:t>
      </w:r>
      <w:r w:rsidR="00524DB0">
        <w:rPr>
          <w:rFonts w:cs="Arial"/>
          <w:color w:val="000000"/>
          <w:spacing w:val="-2"/>
        </w:rPr>
        <w:t>éto</w:t>
      </w:r>
      <w:r w:rsidRPr="00012A40">
        <w:rPr>
          <w:rFonts w:cs="Arial"/>
          <w:color w:val="000000"/>
          <w:spacing w:val="-2"/>
        </w:rPr>
        <w:t xml:space="preserve"> skutečnost</w:t>
      </w:r>
      <w:r w:rsidR="00524DB0">
        <w:rPr>
          <w:rFonts w:cs="Arial"/>
          <w:color w:val="000000"/>
          <w:spacing w:val="-2"/>
        </w:rPr>
        <w:t>i</w:t>
      </w:r>
      <w:r w:rsidRPr="00012A40">
        <w:rPr>
          <w:rFonts w:cs="Arial"/>
          <w:color w:val="000000"/>
          <w:spacing w:val="-2"/>
        </w:rPr>
        <w:t xml:space="preserve"> ČSSZ ve své ÚZ </w:t>
      </w:r>
      <w:r w:rsidR="00F33867">
        <w:rPr>
          <w:rFonts w:cs="Arial"/>
          <w:color w:val="000000"/>
          <w:spacing w:val="-2"/>
        </w:rPr>
        <w:t>k </w:t>
      </w:r>
      <w:r w:rsidRPr="00012A40">
        <w:rPr>
          <w:rFonts w:cs="Arial"/>
          <w:color w:val="000000"/>
          <w:spacing w:val="-2"/>
        </w:rPr>
        <w:t xml:space="preserve">31. </w:t>
      </w:r>
      <w:r w:rsidR="005873B9">
        <w:rPr>
          <w:rFonts w:cs="Arial"/>
          <w:color w:val="000000"/>
          <w:spacing w:val="-2"/>
        </w:rPr>
        <w:t>prosinci</w:t>
      </w:r>
      <w:r w:rsidRPr="00012A40">
        <w:rPr>
          <w:rFonts w:cs="Arial"/>
          <w:color w:val="000000"/>
          <w:spacing w:val="-2"/>
        </w:rPr>
        <w:t xml:space="preserve"> 2011 ve výkazu </w:t>
      </w:r>
      <w:r w:rsidR="00524DB0">
        <w:rPr>
          <w:rFonts w:cs="Arial"/>
          <w:color w:val="000000"/>
          <w:spacing w:val="-2"/>
        </w:rPr>
        <w:t>r</w:t>
      </w:r>
      <w:r w:rsidRPr="00012A40">
        <w:rPr>
          <w:rFonts w:cs="Arial"/>
          <w:color w:val="000000"/>
          <w:spacing w:val="-2"/>
        </w:rPr>
        <w:t>ozvaha:</w:t>
      </w:r>
    </w:p>
    <w:p w:rsidR="001A1086" w:rsidRDefault="00AC4B8B" w:rsidP="00B638CB">
      <w:pPr>
        <w:numPr>
          <w:ilvl w:val="0"/>
          <w:numId w:val="11"/>
        </w:numPr>
        <w:ind w:left="284" w:hanging="284"/>
        <w:rPr>
          <w:rFonts w:cs="Arial"/>
          <w:color w:val="000000"/>
          <w:spacing w:val="-2"/>
        </w:rPr>
      </w:pPr>
      <w:r w:rsidRPr="002B6ECA">
        <w:rPr>
          <w:rFonts w:cs="Arial"/>
          <w:color w:val="000000"/>
          <w:spacing w:val="-2"/>
        </w:rPr>
        <w:tab/>
        <w:t xml:space="preserve">nadhodnotila účet 315 – </w:t>
      </w:r>
      <w:r w:rsidR="00D54265" w:rsidRPr="00B638CB">
        <w:rPr>
          <w:rFonts w:cs="Arial"/>
          <w:i/>
          <w:color w:val="000000"/>
          <w:spacing w:val="-2"/>
        </w:rPr>
        <w:t>Jiné pohledávky z hlavní činnosti</w:t>
      </w:r>
      <w:r w:rsidRPr="002B6ECA">
        <w:rPr>
          <w:rFonts w:cs="Arial"/>
          <w:color w:val="000000"/>
          <w:spacing w:val="-2"/>
        </w:rPr>
        <w:t xml:space="preserve"> o částku </w:t>
      </w:r>
      <w:r w:rsidRPr="00C41BEA">
        <w:rPr>
          <w:rFonts w:cs="Arial"/>
          <w:b/>
          <w:color w:val="000000"/>
          <w:spacing w:val="-2"/>
        </w:rPr>
        <w:t>847 356,30 Kč</w:t>
      </w:r>
      <w:r w:rsidR="005873B9">
        <w:rPr>
          <w:rFonts w:cs="Arial"/>
          <w:color w:val="000000"/>
          <w:spacing w:val="-2"/>
        </w:rPr>
        <w:t xml:space="preserve"> a</w:t>
      </w:r>
      <w:r w:rsidR="00741F1B">
        <w:rPr>
          <w:rFonts w:cs="Arial"/>
          <w:color w:val="000000"/>
          <w:spacing w:val="-2"/>
        </w:rPr>
        <w:t> </w:t>
      </w:r>
      <w:r w:rsidR="005873B9">
        <w:rPr>
          <w:rFonts w:cs="Arial"/>
          <w:color w:val="000000"/>
          <w:spacing w:val="-2"/>
        </w:rPr>
        <w:t>o </w:t>
      </w:r>
      <w:r w:rsidRPr="002B6ECA">
        <w:rPr>
          <w:rFonts w:cs="Arial"/>
          <w:color w:val="000000"/>
          <w:spacing w:val="-2"/>
        </w:rPr>
        <w:t xml:space="preserve">stejnou částku podhodnotila účet 311 – </w:t>
      </w:r>
      <w:r w:rsidR="00D54265" w:rsidRPr="00B638CB">
        <w:rPr>
          <w:rFonts w:cs="Arial"/>
          <w:i/>
          <w:color w:val="000000"/>
          <w:spacing w:val="-2"/>
        </w:rPr>
        <w:t>Odběratelé</w:t>
      </w:r>
      <w:r>
        <w:rPr>
          <w:rFonts w:cs="Arial"/>
          <w:color w:val="000000"/>
          <w:spacing w:val="-2"/>
        </w:rPr>
        <w:t>.</w:t>
      </w:r>
    </w:p>
    <w:p w:rsidR="00AC4B8B" w:rsidRPr="003E1DC4" w:rsidRDefault="00AC4B8B" w:rsidP="00AC4B8B">
      <w:pPr>
        <w:rPr>
          <w:rFonts w:cs="Arial"/>
          <w:color w:val="000000"/>
          <w:spacing w:val="-2"/>
        </w:rPr>
      </w:pPr>
    </w:p>
    <w:p w:rsidR="00AC4B8B" w:rsidRPr="003E1DC4" w:rsidRDefault="00AC4B8B" w:rsidP="006B4F11">
      <w:pPr>
        <w:ind w:firstLine="0"/>
        <w:rPr>
          <w:rFonts w:cs="Arial"/>
          <w:color w:val="000000"/>
          <w:spacing w:val="-2"/>
        </w:rPr>
      </w:pPr>
      <w:r w:rsidRPr="003E1DC4">
        <w:rPr>
          <w:rFonts w:cs="Arial"/>
          <w:color w:val="000000"/>
          <w:spacing w:val="-2"/>
        </w:rPr>
        <w:t xml:space="preserve">ČSSZ </w:t>
      </w:r>
      <w:r w:rsidR="00F33867">
        <w:rPr>
          <w:rFonts w:cs="Arial"/>
          <w:color w:val="000000"/>
          <w:spacing w:val="-2"/>
        </w:rPr>
        <w:t>v </w:t>
      </w:r>
      <w:r w:rsidRPr="003E1DC4">
        <w:rPr>
          <w:rFonts w:cs="Arial"/>
          <w:color w:val="000000"/>
          <w:spacing w:val="-2"/>
        </w:rPr>
        <w:t xml:space="preserve">roce 2011 účtovala </w:t>
      </w:r>
      <w:r>
        <w:rPr>
          <w:rFonts w:cs="Arial"/>
          <w:color w:val="000000"/>
          <w:spacing w:val="-2"/>
        </w:rPr>
        <w:t xml:space="preserve">nesprávně </w:t>
      </w:r>
      <w:r w:rsidRPr="003E1DC4">
        <w:rPr>
          <w:rFonts w:cs="Arial"/>
          <w:color w:val="000000"/>
          <w:spacing w:val="-2"/>
        </w:rPr>
        <w:t xml:space="preserve">o penále </w:t>
      </w:r>
      <w:r w:rsidR="00F33867">
        <w:rPr>
          <w:rFonts w:cs="Arial"/>
          <w:color w:val="000000"/>
          <w:spacing w:val="-2"/>
        </w:rPr>
        <w:t>z </w:t>
      </w:r>
      <w:r w:rsidRPr="003E1DC4">
        <w:rPr>
          <w:rFonts w:cs="Arial"/>
          <w:color w:val="000000"/>
          <w:spacing w:val="-2"/>
        </w:rPr>
        <w:t xml:space="preserve">pojistného vůči zaměstnavatelům na účtu pohledávek a výnosů již </w:t>
      </w:r>
      <w:r w:rsidR="00F33867">
        <w:rPr>
          <w:rFonts w:cs="Arial"/>
          <w:color w:val="000000"/>
          <w:spacing w:val="-2"/>
        </w:rPr>
        <w:t>v </w:t>
      </w:r>
      <w:r w:rsidRPr="003E1DC4">
        <w:rPr>
          <w:rFonts w:cs="Arial"/>
          <w:color w:val="000000"/>
          <w:spacing w:val="-2"/>
        </w:rPr>
        <w:t>okamžiku vyhodnocení konta plátce pojistného, nikoli</w:t>
      </w:r>
      <w:r w:rsidR="00F33867">
        <w:rPr>
          <w:rFonts w:cs="Arial"/>
          <w:color w:val="000000"/>
          <w:spacing w:val="-2"/>
        </w:rPr>
        <w:t xml:space="preserve">v </w:t>
      </w:r>
      <w:r w:rsidRPr="003E1DC4">
        <w:rPr>
          <w:rFonts w:cs="Arial"/>
          <w:color w:val="000000"/>
          <w:spacing w:val="-2"/>
        </w:rPr>
        <w:t>až okamžikem pravomocného vyměření výkazem nedoplatků či platebním výměrem</w:t>
      </w:r>
      <w:r>
        <w:rPr>
          <w:rFonts w:cs="Arial"/>
          <w:color w:val="000000"/>
          <w:spacing w:val="-2"/>
        </w:rPr>
        <w:t>.</w:t>
      </w:r>
      <w:r w:rsidR="006B516B">
        <w:rPr>
          <w:rFonts w:cs="Arial"/>
          <w:color w:val="000000"/>
          <w:spacing w:val="-2"/>
        </w:rPr>
        <w:t xml:space="preserve"> </w:t>
      </w:r>
      <w:r w:rsidR="00F33867">
        <w:rPr>
          <w:rFonts w:cs="Arial"/>
          <w:color w:val="000000"/>
          <w:spacing w:val="-2"/>
        </w:rPr>
        <w:t>V </w:t>
      </w:r>
      <w:r w:rsidRPr="003E1DC4">
        <w:rPr>
          <w:rFonts w:cs="Arial"/>
          <w:color w:val="000000"/>
          <w:spacing w:val="-2"/>
        </w:rPr>
        <w:t xml:space="preserve">důsledku </w:t>
      </w:r>
      <w:r w:rsidR="006B516B">
        <w:rPr>
          <w:rFonts w:cs="Arial"/>
          <w:color w:val="000000"/>
          <w:spacing w:val="-2"/>
        </w:rPr>
        <w:t>t</w:t>
      </w:r>
      <w:r w:rsidR="00524DB0">
        <w:rPr>
          <w:rFonts w:cs="Arial"/>
          <w:color w:val="000000"/>
          <w:spacing w:val="-2"/>
        </w:rPr>
        <w:t>éto</w:t>
      </w:r>
      <w:r w:rsidRPr="003E1DC4">
        <w:rPr>
          <w:rFonts w:cs="Arial"/>
          <w:color w:val="000000"/>
          <w:spacing w:val="-2"/>
        </w:rPr>
        <w:t xml:space="preserve"> skutečnost</w:t>
      </w:r>
      <w:r w:rsidR="00524DB0">
        <w:rPr>
          <w:rFonts w:cs="Arial"/>
          <w:color w:val="000000"/>
          <w:spacing w:val="-2"/>
        </w:rPr>
        <w:t>i</w:t>
      </w:r>
      <w:r w:rsidRPr="003E1DC4">
        <w:rPr>
          <w:rFonts w:cs="Arial"/>
          <w:color w:val="000000"/>
          <w:spacing w:val="-2"/>
        </w:rPr>
        <w:t xml:space="preserve"> ČSSZ ve své </w:t>
      </w:r>
      <w:r w:rsidR="006B4F11">
        <w:rPr>
          <w:rFonts w:cs="Arial"/>
          <w:color w:val="000000"/>
          <w:spacing w:val="-2"/>
        </w:rPr>
        <w:t>Ú</w:t>
      </w:r>
      <w:r w:rsidRPr="003E1DC4">
        <w:rPr>
          <w:rFonts w:cs="Arial"/>
          <w:color w:val="000000"/>
          <w:spacing w:val="-2"/>
        </w:rPr>
        <w:t xml:space="preserve">Z </w:t>
      </w:r>
      <w:r w:rsidR="00F33867">
        <w:rPr>
          <w:rFonts w:cs="Arial"/>
          <w:color w:val="000000"/>
          <w:spacing w:val="-2"/>
        </w:rPr>
        <w:t>k </w:t>
      </w:r>
      <w:r w:rsidRPr="003E1DC4">
        <w:rPr>
          <w:rFonts w:cs="Arial"/>
          <w:color w:val="000000"/>
          <w:spacing w:val="-2"/>
        </w:rPr>
        <w:t xml:space="preserve">31. </w:t>
      </w:r>
      <w:r w:rsidR="005873B9">
        <w:rPr>
          <w:rFonts w:cs="Arial"/>
          <w:color w:val="000000"/>
          <w:spacing w:val="-2"/>
        </w:rPr>
        <w:t>prosinci</w:t>
      </w:r>
      <w:r w:rsidRPr="003E1DC4">
        <w:rPr>
          <w:rFonts w:cs="Arial"/>
          <w:color w:val="000000"/>
          <w:spacing w:val="-2"/>
        </w:rPr>
        <w:t xml:space="preserve"> 2011 ve výkazu </w:t>
      </w:r>
      <w:r w:rsidR="00524DB0">
        <w:rPr>
          <w:rFonts w:cs="Arial"/>
          <w:color w:val="000000"/>
          <w:spacing w:val="-2"/>
        </w:rPr>
        <w:t>r</w:t>
      </w:r>
      <w:r w:rsidRPr="003E1DC4">
        <w:rPr>
          <w:rFonts w:cs="Arial"/>
          <w:color w:val="000000"/>
          <w:spacing w:val="-2"/>
        </w:rPr>
        <w:t>ozvaha:</w:t>
      </w:r>
    </w:p>
    <w:p w:rsidR="001A1086" w:rsidRDefault="00AC4B8B" w:rsidP="00B638CB">
      <w:pPr>
        <w:numPr>
          <w:ilvl w:val="0"/>
          <w:numId w:val="11"/>
        </w:numPr>
        <w:ind w:left="284" w:hanging="284"/>
        <w:rPr>
          <w:rFonts w:cs="Arial"/>
          <w:color w:val="000000"/>
          <w:spacing w:val="-2"/>
        </w:rPr>
      </w:pPr>
      <w:r w:rsidRPr="003E1DC4">
        <w:rPr>
          <w:rFonts w:cs="Arial"/>
          <w:color w:val="000000"/>
          <w:spacing w:val="-2"/>
        </w:rPr>
        <w:tab/>
      </w:r>
      <w:r w:rsidRPr="00741F1B">
        <w:rPr>
          <w:rFonts w:cs="Arial"/>
          <w:color w:val="000000"/>
          <w:spacing w:val="-2"/>
        </w:rPr>
        <w:t>nadhodnotila</w:t>
      </w:r>
      <w:r w:rsidRPr="003E1DC4">
        <w:rPr>
          <w:rFonts w:cs="Arial"/>
          <w:color w:val="000000"/>
          <w:spacing w:val="-2"/>
        </w:rPr>
        <w:t xml:space="preserve"> účet 318 – </w:t>
      </w:r>
      <w:r w:rsidR="00D54265" w:rsidRPr="00B638CB">
        <w:rPr>
          <w:rFonts w:cs="Arial"/>
          <w:i/>
          <w:color w:val="000000"/>
          <w:spacing w:val="-2"/>
        </w:rPr>
        <w:t>Pohledávky z titulu daní a obdobných dávek</w:t>
      </w:r>
      <w:r w:rsidRPr="003E1DC4">
        <w:rPr>
          <w:rFonts w:cs="Arial"/>
          <w:color w:val="000000"/>
          <w:spacing w:val="-2"/>
        </w:rPr>
        <w:t xml:space="preserve"> o částku </w:t>
      </w:r>
      <w:r w:rsidRPr="00C41BEA">
        <w:rPr>
          <w:rFonts w:cs="Arial"/>
          <w:b/>
          <w:color w:val="000000"/>
          <w:spacing w:val="-2"/>
        </w:rPr>
        <w:t>118</w:t>
      </w:r>
      <w:r w:rsidR="00C41BEA" w:rsidRPr="00C41BEA">
        <w:rPr>
          <w:rFonts w:cs="Arial"/>
          <w:b/>
          <w:color w:val="000000"/>
          <w:spacing w:val="-2"/>
        </w:rPr>
        <w:t> </w:t>
      </w:r>
      <w:r w:rsidRPr="00C41BEA">
        <w:rPr>
          <w:rFonts w:cs="Arial"/>
          <w:b/>
          <w:color w:val="000000"/>
          <w:spacing w:val="-2"/>
        </w:rPr>
        <w:t>808</w:t>
      </w:r>
      <w:r w:rsidR="00C41BEA" w:rsidRPr="00C41BEA">
        <w:rPr>
          <w:rFonts w:cs="Arial"/>
          <w:b/>
          <w:color w:val="000000"/>
          <w:spacing w:val="-2"/>
        </w:rPr>
        <w:t> </w:t>
      </w:r>
      <w:r w:rsidRPr="00C41BEA">
        <w:rPr>
          <w:rFonts w:cs="Arial"/>
          <w:b/>
          <w:color w:val="000000"/>
          <w:spacing w:val="-2"/>
        </w:rPr>
        <w:t>539,20 Kč</w:t>
      </w:r>
      <w:r>
        <w:rPr>
          <w:rFonts w:cs="Arial"/>
          <w:color w:val="000000"/>
          <w:spacing w:val="-2"/>
        </w:rPr>
        <w:t xml:space="preserve"> a o stejnou částku</w:t>
      </w:r>
      <w:r w:rsidRPr="003E1DC4">
        <w:rPr>
          <w:rFonts w:cs="Arial"/>
          <w:color w:val="000000"/>
          <w:spacing w:val="-2"/>
        </w:rPr>
        <w:t xml:space="preserve"> </w:t>
      </w:r>
      <w:r w:rsidRPr="0076439D">
        <w:rPr>
          <w:rFonts w:cs="Arial"/>
          <w:color w:val="000000"/>
          <w:spacing w:val="-2"/>
        </w:rPr>
        <w:t xml:space="preserve">nadhodnotila účet 493 – </w:t>
      </w:r>
      <w:r w:rsidR="00D54265" w:rsidRPr="00B638CB">
        <w:rPr>
          <w:rFonts w:cs="Arial"/>
          <w:i/>
          <w:color w:val="000000"/>
          <w:spacing w:val="-2"/>
        </w:rPr>
        <w:t>Výsledek hospodaření běžného účetního období</w:t>
      </w:r>
    </w:p>
    <w:p w:rsidR="00AC4B8B" w:rsidRPr="003353F3" w:rsidRDefault="00AC4B8B" w:rsidP="006B4F11">
      <w:pPr>
        <w:ind w:firstLine="0"/>
        <w:rPr>
          <w:rFonts w:cs="Arial"/>
          <w:color w:val="000000"/>
          <w:spacing w:val="-2"/>
        </w:rPr>
      </w:pPr>
      <w:r w:rsidRPr="003353F3">
        <w:rPr>
          <w:rFonts w:cs="Arial"/>
          <w:color w:val="000000"/>
          <w:spacing w:val="-2"/>
        </w:rPr>
        <w:t xml:space="preserve">a zároveň ve své ÚZ </w:t>
      </w:r>
      <w:r w:rsidR="00F33867">
        <w:rPr>
          <w:rFonts w:cs="Arial"/>
          <w:color w:val="000000"/>
          <w:spacing w:val="-2"/>
        </w:rPr>
        <w:t>k </w:t>
      </w:r>
      <w:r w:rsidRPr="003353F3">
        <w:rPr>
          <w:rFonts w:cs="Arial"/>
          <w:color w:val="000000"/>
          <w:spacing w:val="-2"/>
        </w:rPr>
        <w:t xml:space="preserve">31. </w:t>
      </w:r>
      <w:r w:rsidR="005873B9">
        <w:rPr>
          <w:rFonts w:cs="Arial"/>
          <w:color w:val="000000"/>
          <w:spacing w:val="-2"/>
        </w:rPr>
        <w:t>prosinci</w:t>
      </w:r>
      <w:r w:rsidRPr="003353F3">
        <w:rPr>
          <w:rFonts w:cs="Arial"/>
          <w:color w:val="000000"/>
          <w:spacing w:val="-2"/>
        </w:rPr>
        <w:t xml:space="preserve"> 2011 </w:t>
      </w:r>
      <w:r w:rsidR="00524DB0" w:rsidRPr="003353F3">
        <w:rPr>
          <w:rFonts w:cs="Arial"/>
          <w:color w:val="000000"/>
          <w:spacing w:val="-2"/>
        </w:rPr>
        <w:t xml:space="preserve">ve </w:t>
      </w:r>
      <w:r w:rsidR="00524DB0">
        <w:rPr>
          <w:rFonts w:cs="Arial"/>
          <w:color w:val="000000"/>
          <w:spacing w:val="-2"/>
        </w:rPr>
        <w:t>v</w:t>
      </w:r>
      <w:r w:rsidR="00524DB0" w:rsidRPr="003353F3">
        <w:rPr>
          <w:rFonts w:cs="Arial"/>
          <w:color w:val="000000"/>
          <w:spacing w:val="-2"/>
        </w:rPr>
        <w:t xml:space="preserve">ýkazu zisku a </w:t>
      </w:r>
      <w:r w:rsidR="00524DB0" w:rsidRPr="006B4F11">
        <w:rPr>
          <w:rFonts w:cs="Arial"/>
          <w:color w:val="000000"/>
          <w:spacing w:val="-2"/>
        </w:rPr>
        <w:t xml:space="preserve">ztráty </w:t>
      </w:r>
      <w:r w:rsidR="003353F3" w:rsidRPr="003353F3">
        <w:rPr>
          <w:rFonts w:cs="Arial"/>
          <w:color w:val="000000"/>
          <w:spacing w:val="-2"/>
        </w:rPr>
        <w:t xml:space="preserve">ovlivnila zůstatek účtu </w:t>
      </w:r>
      <w:r w:rsidR="003C6BC2">
        <w:rPr>
          <w:rFonts w:cs="Arial"/>
          <w:color w:val="000000"/>
          <w:spacing w:val="-2"/>
        </w:rPr>
        <w:br/>
      </w:r>
      <w:r w:rsidR="003353F3" w:rsidRPr="003353F3">
        <w:rPr>
          <w:rFonts w:cs="Arial"/>
          <w:color w:val="000000"/>
          <w:spacing w:val="-2"/>
        </w:rPr>
        <w:t xml:space="preserve">633 – </w:t>
      </w:r>
      <w:r w:rsidR="00D54265" w:rsidRPr="002537D4">
        <w:rPr>
          <w:rFonts w:cs="Arial"/>
          <w:i/>
          <w:color w:val="000000"/>
          <w:spacing w:val="-2"/>
        </w:rPr>
        <w:t>Výnosy ze sociálního pojištění</w:t>
      </w:r>
      <w:r w:rsidR="003353F3" w:rsidRPr="003353F3">
        <w:rPr>
          <w:rFonts w:cs="Arial"/>
          <w:color w:val="000000"/>
          <w:spacing w:val="-2"/>
        </w:rPr>
        <w:t xml:space="preserve"> </w:t>
      </w:r>
      <w:r w:rsidR="003353F3" w:rsidRPr="006B4F11">
        <w:rPr>
          <w:rFonts w:cs="Arial"/>
          <w:color w:val="000000"/>
          <w:spacing w:val="-2"/>
        </w:rPr>
        <w:t>(viz kapitola</w:t>
      </w:r>
      <w:r w:rsidR="00A935D0">
        <w:rPr>
          <w:rFonts w:cs="Arial"/>
          <w:color w:val="000000"/>
          <w:spacing w:val="-2"/>
        </w:rPr>
        <w:t xml:space="preserve"> tohoto kontrolního závěru</w:t>
      </w:r>
      <w:r w:rsidR="003353F3" w:rsidRPr="006B4F11">
        <w:rPr>
          <w:rFonts w:cs="Arial"/>
          <w:color w:val="000000"/>
          <w:spacing w:val="-2"/>
        </w:rPr>
        <w:t xml:space="preserve"> </w:t>
      </w:r>
      <w:r w:rsidR="006B4F11" w:rsidRPr="006B4F11">
        <w:rPr>
          <w:rFonts w:cs="Arial"/>
          <w:color w:val="000000"/>
          <w:spacing w:val="-2"/>
        </w:rPr>
        <w:t xml:space="preserve">1.2.1.2 </w:t>
      </w:r>
      <w:r w:rsidR="00D54265" w:rsidRPr="002537D4">
        <w:rPr>
          <w:rFonts w:cs="Arial"/>
          <w:i/>
          <w:color w:val="000000"/>
          <w:spacing w:val="-2"/>
        </w:rPr>
        <w:t>Výkaz zisku a ztráty</w:t>
      </w:r>
      <w:r w:rsidR="003353F3" w:rsidRPr="006B4F11">
        <w:rPr>
          <w:rFonts w:cs="Arial"/>
          <w:color w:val="000000"/>
          <w:spacing w:val="-2"/>
        </w:rPr>
        <w:t>)</w:t>
      </w:r>
      <w:r w:rsidR="003353F3" w:rsidRPr="003353F3">
        <w:rPr>
          <w:rFonts w:cs="Arial"/>
          <w:color w:val="000000"/>
          <w:spacing w:val="-2"/>
        </w:rPr>
        <w:t xml:space="preserve"> a </w:t>
      </w:r>
      <w:r w:rsidR="00F33867">
        <w:rPr>
          <w:rFonts w:cs="Arial"/>
          <w:color w:val="000000"/>
          <w:spacing w:val="-2"/>
        </w:rPr>
        <w:t>v </w:t>
      </w:r>
      <w:r w:rsidR="00524DB0">
        <w:rPr>
          <w:rFonts w:cs="Arial"/>
          <w:color w:val="000000"/>
          <w:spacing w:val="-2"/>
        </w:rPr>
        <w:t>p</w:t>
      </w:r>
      <w:r w:rsidR="003353F3" w:rsidRPr="003353F3">
        <w:rPr>
          <w:rFonts w:cs="Arial"/>
          <w:color w:val="000000"/>
          <w:spacing w:val="-2"/>
        </w:rPr>
        <w:t xml:space="preserve">říloze ÚZ </w:t>
      </w:r>
      <w:r w:rsidR="00F33867">
        <w:rPr>
          <w:rFonts w:cs="Arial"/>
          <w:color w:val="000000"/>
          <w:spacing w:val="-2"/>
        </w:rPr>
        <w:t>v </w:t>
      </w:r>
      <w:r w:rsidR="003353F3" w:rsidRPr="003353F3">
        <w:rPr>
          <w:rFonts w:cs="Arial"/>
          <w:color w:val="000000"/>
          <w:spacing w:val="-2"/>
        </w:rPr>
        <w:t xml:space="preserve">části A.4 </w:t>
      </w:r>
      <w:r w:rsidR="00524DB0">
        <w:rPr>
          <w:rFonts w:cs="Arial"/>
          <w:color w:val="000000"/>
          <w:spacing w:val="-2"/>
        </w:rPr>
        <w:t>–</w:t>
      </w:r>
      <w:r w:rsidR="003353F3" w:rsidRPr="003353F3">
        <w:rPr>
          <w:rFonts w:cs="Arial"/>
          <w:color w:val="000000"/>
          <w:spacing w:val="-2"/>
        </w:rPr>
        <w:t xml:space="preserve"> </w:t>
      </w:r>
      <w:r w:rsidR="00D54265" w:rsidRPr="002537D4">
        <w:rPr>
          <w:rFonts w:cs="Arial"/>
          <w:i/>
          <w:color w:val="000000"/>
          <w:spacing w:val="-2"/>
        </w:rPr>
        <w:t>Informace podle § 7 odst. 5 zákona o stavu účtů v knize podrozvahových účtů</w:t>
      </w:r>
      <w:r w:rsidR="003353F3" w:rsidRPr="003353F3">
        <w:rPr>
          <w:rFonts w:cs="Arial"/>
          <w:color w:val="000000"/>
          <w:spacing w:val="-2"/>
        </w:rPr>
        <w:t xml:space="preserve"> ovlivnila zůstatek účtu 951 – </w:t>
      </w:r>
      <w:r w:rsidR="00D54265" w:rsidRPr="002537D4">
        <w:rPr>
          <w:rFonts w:cs="Arial"/>
          <w:i/>
          <w:color w:val="000000"/>
          <w:spacing w:val="-2"/>
        </w:rPr>
        <w:t>Ostatní dlouhodobá podmíněná aktiva</w:t>
      </w:r>
      <w:r w:rsidR="003353F3" w:rsidRPr="003353F3">
        <w:rPr>
          <w:rFonts w:cs="Arial"/>
          <w:color w:val="000000"/>
          <w:spacing w:val="-2"/>
        </w:rPr>
        <w:t xml:space="preserve"> </w:t>
      </w:r>
      <w:r w:rsidR="003353F3" w:rsidRPr="006B4F11">
        <w:rPr>
          <w:rFonts w:cs="Arial"/>
          <w:color w:val="000000"/>
          <w:spacing w:val="-2"/>
        </w:rPr>
        <w:t xml:space="preserve">(viz kapitola </w:t>
      </w:r>
      <w:r w:rsidR="00A935D0">
        <w:rPr>
          <w:rFonts w:cs="Arial"/>
          <w:color w:val="000000"/>
          <w:spacing w:val="-2"/>
        </w:rPr>
        <w:t xml:space="preserve">tohoto kontrolního závěru </w:t>
      </w:r>
      <w:r w:rsidR="006B4F11" w:rsidRPr="006B4F11">
        <w:rPr>
          <w:rFonts w:cs="Arial"/>
          <w:color w:val="000000"/>
          <w:spacing w:val="-2"/>
        </w:rPr>
        <w:t>1.2.1.3</w:t>
      </w:r>
      <w:r w:rsidR="00DE063A">
        <w:rPr>
          <w:rFonts w:cs="Arial"/>
          <w:color w:val="000000"/>
          <w:spacing w:val="-2"/>
        </w:rPr>
        <w:t xml:space="preserve"> </w:t>
      </w:r>
      <w:r w:rsidR="00D54265" w:rsidRPr="002537D4">
        <w:rPr>
          <w:rFonts w:cs="Arial"/>
          <w:i/>
          <w:color w:val="000000"/>
          <w:spacing w:val="-2"/>
        </w:rPr>
        <w:t>Příloha ÚZ</w:t>
      </w:r>
      <w:r w:rsidR="003353F3" w:rsidRPr="006B4F11">
        <w:rPr>
          <w:rFonts w:cs="Arial"/>
          <w:color w:val="000000"/>
          <w:spacing w:val="-2"/>
        </w:rPr>
        <w:t>)</w:t>
      </w:r>
      <w:r w:rsidR="00FB557F" w:rsidRPr="006B4F11">
        <w:rPr>
          <w:rFonts w:cs="Arial"/>
          <w:color w:val="000000"/>
          <w:spacing w:val="-2"/>
        </w:rPr>
        <w:t>.</w:t>
      </w:r>
    </w:p>
    <w:p w:rsidR="00DC1A85" w:rsidRPr="00FB557F" w:rsidRDefault="00AC4B8B" w:rsidP="00FB557F">
      <w:pPr>
        <w:ind w:left="357" w:firstLine="0"/>
        <w:rPr>
          <w:rFonts w:cs="Arial"/>
          <w:color w:val="000000"/>
          <w:spacing w:val="-2"/>
        </w:rPr>
      </w:pPr>
      <w:r w:rsidRPr="00FB557F">
        <w:rPr>
          <w:rFonts w:cs="Arial"/>
          <w:color w:val="000000"/>
          <w:spacing w:val="-2"/>
          <w:highlight w:val="yellow"/>
        </w:rPr>
        <w:tab/>
      </w:r>
    </w:p>
    <w:p w:rsidR="001A1086" w:rsidRDefault="00DC1A85" w:rsidP="002B1EF7">
      <w:pPr>
        <w:ind w:firstLine="0"/>
        <w:rPr>
          <w:rFonts w:cs="Arial"/>
          <w:color w:val="000000"/>
          <w:spacing w:val="-2"/>
        </w:rPr>
      </w:pPr>
      <w:r w:rsidRPr="005861F7">
        <w:rPr>
          <w:rFonts w:cs="Arial"/>
          <w:color w:val="000000"/>
          <w:spacing w:val="-2"/>
        </w:rPr>
        <w:t xml:space="preserve">ČSSZ </w:t>
      </w:r>
      <w:r w:rsidR="00F33867">
        <w:rPr>
          <w:rFonts w:cs="Arial"/>
          <w:color w:val="000000"/>
          <w:spacing w:val="-2"/>
        </w:rPr>
        <w:t>v </w:t>
      </w:r>
      <w:r w:rsidRPr="005861F7">
        <w:rPr>
          <w:rFonts w:cs="Arial"/>
          <w:color w:val="000000"/>
          <w:spacing w:val="-2"/>
        </w:rPr>
        <w:t xml:space="preserve">roce 2011 </w:t>
      </w:r>
      <w:r w:rsidR="00F33867">
        <w:rPr>
          <w:rFonts w:cs="Arial"/>
          <w:color w:val="000000"/>
          <w:spacing w:val="-2"/>
        </w:rPr>
        <w:t>v </w:t>
      </w:r>
      <w:r w:rsidRPr="005861F7">
        <w:rPr>
          <w:rFonts w:cs="Arial"/>
          <w:color w:val="000000"/>
          <w:spacing w:val="-2"/>
        </w:rPr>
        <w:t xml:space="preserve">souvislosti se zahájením účetní </w:t>
      </w:r>
      <w:r w:rsidR="005873B9">
        <w:rPr>
          <w:rFonts w:cs="Arial"/>
          <w:color w:val="000000"/>
          <w:spacing w:val="-2"/>
        </w:rPr>
        <w:t>metody odpisování přistoupila k </w:t>
      </w:r>
      <w:r w:rsidRPr="005861F7">
        <w:rPr>
          <w:rFonts w:cs="Arial"/>
          <w:color w:val="000000"/>
          <w:spacing w:val="-2"/>
        </w:rPr>
        <w:t>přetřiďování majetku, který byl pořízen</w:t>
      </w:r>
      <w:r w:rsidR="00F07B3A">
        <w:rPr>
          <w:rFonts w:cs="Arial"/>
          <w:color w:val="000000"/>
          <w:spacing w:val="-2"/>
        </w:rPr>
        <w:t xml:space="preserve"> a </w:t>
      </w:r>
      <w:r w:rsidR="00F07B3A" w:rsidRPr="00127BDC">
        <w:rPr>
          <w:rFonts w:cs="Arial"/>
          <w:color w:val="000000"/>
          <w:spacing w:val="-2"/>
        </w:rPr>
        <w:t>zařazen do účetnictví</w:t>
      </w:r>
      <w:r w:rsidRPr="005861F7">
        <w:rPr>
          <w:rFonts w:cs="Arial"/>
          <w:color w:val="000000"/>
          <w:spacing w:val="-2"/>
        </w:rPr>
        <w:t xml:space="preserve"> podle </w:t>
      </w:r>
      <w:r w:rsidR="00F33867">
        <w:rPr>
          <w:rFonts w:cs="Arial"/>
          <w:color w:val="000000"/>
          <w:spacing w:val="-2"/>
        </w:rPr>
        <w:t>v </w:t>
      </w:r>
      <w:r w:rsidRPr="005861F7">
        <w:rPr>
          <w:rFonts w:cs="Arial"/>
          <w:color w:val="000000"/>
          <w:spacing w:val="-2"/>
        </w:rPr>
        <w:t xml:space="preserve">minulosti platných právních předpisů </w:t>
      </w:r>
      <w:r w:rsidR="00F33867">
        <w:rPr>
          <w:rFonts w:cs="Arial"/>
          <w:color w:val="000000"/>
          <w:spacing w:val="-2"/>
        </w:rPr>
        <w:t>v </w:t>
      </w:r>
      <w:r w:rsidRPr="005861F7">
        <w:rPr>
          <w:rFonts w:cs="Arial"/>
          <w:color w:val="000000"/>
          <w:spacing w:val="-2"/>
        </w:rPr>
        <w:t xml:space="preserve">oblasti účetnictví a </w:t>
      </w:r>
      <w:r w:rsidR="00F33867">
        <w:rPr>
          <w:rFonts w:cs="Arial"/>
          <w:color w:val="000000"/>
          <w:spacing w:val="-2"/>
        </w:rPr>
        <w:t>v </w:t>
      </w:r>
      <w:r w:rsidRPr="005861F7">
        <w:rPr>
          <w:rFonts w:cs="Arial"/>
          <w:color w:val="000000"/>
          <w:spacing w:val="-2"/>
        </w:rPr>
        <w:t xml:space="preserve">současné době nesplňoval podmínky stanovené obsahovým vymezením položek dlouhodobého majetku </w:t>
      </w:r>
      <w:r w:rsidR="00F33867">
        <w:rPr>
          <w:rFonts w:cs="Arial"/>
          <w:color w:val="000000"/>
          <w:spacing w:val="-2"/>
        </w:rPr>
        <w:t>v </w:t>
      </w:r>
      <w:r w:rsidRPr="005861F7">
        <w:rPr>
          <w:rFonts w:cs="Arial"/>
          <w:color w:val="000000"/>
          <w:spacing w:val="-2"/>
        </w:rPr>
        <w:t>platném prováděcím právním předpisu.</w:t>
      </w:r>
      <w:r w:rsidR="00A61215">
        <w:rPr>
          <w:rFonts w:cs="Arial"/>
          <w:color w:val="000000"/>
          <w:spacing w:val="-2"/>
        </w:rPr>
        <w:t xml:space="preserve"> </w:t>
      </w:r>
      <w:r w:rsidRPr="00B0748B">
        <w:rPr>
          <w:rFonts w:cs="Arial"/>
          <w:color w:val="000000"/>
          <w:spacing w:val="-2"/>
        </w:rPr>
        <w:t xml:space="preserve">ČSSZ </w:t>
      </w:r>
      <w:r>
        <w:rPr>
          <w:rFonts w:cs="Arial"/>
          <w:color w:val="000000"/>
          <w:spacing w:val="-2"/>
        </w:rPr>
        <w:t xml:space="preserve">postupovala chybně, </w:t>
      </w:r>
      <w:r w:rsidRPr="00B0748B">
        <w:rPr>
          <w:rFonts w:cs="Arial"/>
          <w:color w:val="000000"/>
          <w:spacing w:val="-2"/>
        </w:rPr>
        <w:t xml:space="preserve">když </w:t>
      </w:r>
      <w:r w:rsidR="00F33867">
        <w:rPr>
          <w:rFonts w:cs="Arial"/>
          <w:color w:val="000000"/>
          <w:spacing w:val="-2"/>
        </w:rPr>
        <w:t>v </w:t>
      </w:r>
      <w:r w:rsidRPr="00B0748B">
        <w:rPr>
          <w:rFonts w:cs="Arial"/>
          <w:color w:val="000000"/>
          <w:spacing w:val="-2"/>
        </w:rPr>
        <w:t xml:space="preserve">průběhu roku 2011 účtovala o jednorázovém odpisu přetříděného majetku prostřednictvím účtu 401 – </w:t>
      </w:r>
      <w:r w:rsidR="00D54265" w:rsidRPr="002B1EF7">
        <w:rPr>
          <w:rFonts w:cs="Arial"/>
          <w:i/>
          <w:color w:val="000000"/>
          <w:spacing w:val="-2"/>
        </w:rPr>
        <w:t>Jmění účetní jednotky</w:t>
      </w:r>
      <w:r w:rsidRPr="00B0748B">
        <w:rPr>
          <w:rFonts w:cs="Arial"/>
          <w:color w:val="000000"/>
          <w:spacing w:val="-2"/>
        </w:rPr>
        <w:t>, ačkoli</w:t>
      </w:r>
      <w:r w:rsidR="00F33867">
        <w:rPr>
          <w:rFonts w:cs="Arial"/>
          <w:color w:val="000000"/>
          <w:spacing w:val="-2"/>
        </w:rPr>
        <w:t xml:space="preserve">v </w:t>
      </w:r>
      <w:r w:rsidRPr="00B0748B">
        <w:rPr>
          <w:rFonts w:cs="Arial"/>
          <w:color w:val="000000"/>
          <w:spacing w:val="-2"/>
        </w:rPr>
        <w:t>obsahové vymezení tohoto účtu neodpovídá povaz</w:t>
      </w:r>
      <w:r w:rsidR="001A00C8">
        <w:rPr>
          <w:rFonts w:cs="Arial"/>
          <w:color w:val="000000"/>
          <w:spacing w:val="-2"/>
        </w:rPr>
        <w:t xml:space="preserve">e vykázaného účetního případu. </w:t>
      </w:r>
      <w:r w:rsidR="00F33867">
        <w:rPr>
          <w:rFonts w:cs="Arial"/>
          <w:color w:val="000000"/>
          <w:spacing w:val="-2"/>
        </w:rPr>
        <w:t>V </w:t>
      </w:r>
      <w:r w:rsidRPr="00B0748B">
        <w:rPr>
          <w:rFonts w:cs="Arial"/>
          <w:color w:val="000000"/>
          <w:spacing w:val="-2"/>
        </w:rPr>
        <w:t xml:space="preserve">důsledku výše uvedených skutečností ČSSZ ve své ÚZ </w:t>
      </w:r>
      <w:r w:rsidR="00F33867">
        <w:rPr>
          <w:rFonts w:cs="Arial"/>
          <w:color w:val="000000"/>
          <w:spacing w:val="-2"/>
        </w:rPr>
        <w:t>k </w:t>
      </w:r>
      <w:r w:rsidRPr="00B0748B">
        <w:rPr>
          <w:rFonts w:cs="Arial"/>
          <w:color w:val="000000"/>
          <w:spacing w:val="-2"/>
        </w:rPr>
        <w:t xml:space="preserve">31. </w:t>
      </w:r>
      <w:r w:rsidR="005873B9">
        <w:rPr>
          <w:rFonts w:cs="Arial"/>
          <w:color w:val="000000"/>
          <w:spacing w:val="-2"/>
        </w:rPr>
        <w:t>prosinci</w:t>
      </w:r>
      <w:r w:rsidRPr="00B0748B">
        <w:rPr>
          <w:rFonts w:cs="Arial"/>
          <w:color w:val="000000"/>
          <w:spacing w:val="-2"/>
        </w:rPr>
        <w:t xml:space="preserve"> 2011 ve výkazu </w:t>
      </w:r>
      <w:r w:rsidR="00A61215">
        <w:rPr>
          <w:rFonts w:cs="Arial"/>
          <w:color w:val="000000"/>
          <w:spacing w:val="-2"/>
        </w:rPr>
        <w:t>r</w:t>
      </w:r>
      <w:r w:rsidRPr="00B0748B">
        <w:rPr>
          <w:rFonts w:cs="Arial"/>
          <w:color w:val="000000"/>
          <w:spacing w:val="-2"/>
        </w:rPr>
        <w:t>ozvaha</w:t>
      </w:r>
      <w:r>
        <w:rPr>
          <w:rFonts w:cs="Arial"/>
          <w:color w:val="000000"/>
          <w:spacing w:val="-2"/>
        </w:rPr>
        <w:t>:</w:t>
      </w:r>
      <w:r w:rsidRPr="00B0748B">
        <w:rPr>
          <w:rFonts w:cs="Arial"/>
          <w:color w:val="000000"/>
          <w:spacing w:val="-2"/>
        </w:rPr>
        <w:t xml:space="preserve"> </w:t>
      </w:r>
    </w:p>
    <w:p w:rsidR="001A1086" w:rsidRDefault="00DC1A85" w:rsidP="002B1EF7">
      <w:pPr>
        <w:numPr>
          <w:ilvl w:val="0"/>
          <w:numId w:val="11"/>
        </w:numPr>
        <w:ind w:left="284" w:hanging="284"/>
        <w:rPr>
          <w:rFonts w:cs="Arial"/>
          <w:color w:val="000000"/>
          <w:spacing w:val="-2"/>
        </w:rPr>
      </w:pPr>
      <w:r w:rsidRPr="00B0748B">
        <w:rPr>
          <w:rFonts w:cs="Arial"/>
          <w:color w:val="000000"/>
          <w:spacing w:val="-2"/>
        </w:rPr>
        <w:t xml:space="preserve">podhodnotila účet 401 – </w:t>
      </w:r>
      <w:r w:rsidR="00D54265" w:rsidRPr="002B1EF7">
        <w:rPr>
          <w:rFonts w:cs="Arial"/>
          <w:i/>
          <w:color w:val="000000"/>
          <w:spacing w:val="-2"/>
        </w:rPr>
        <w:t>Jmění účetní jednotky</w:t>
      </w:r>
      <w:r w:rsidRPr="00B0748B">
        <w:rPr>
          <w:rFonts w:cs="Arial"/>
          <w:color w:val="000000"/>
          <w:spacing w:val="-2"/>
        </w:rPr>
        <w:t xml:space="preserve"> o částku </w:t>
      </w:r>
      <w:r w:rsidRPr="005861F7">
        <w:rPr>
          <w:rFonts w:cs="Arial"/>
          <w:b/>
          <w:color w:val="000000"/>
          <w:spacing w:val="-2"/>
        </w:rPr>
        <w:t>12 412 621 Kč</w:t>
      </w:r>
      <w:r w:rsidRPr="00B0748B">
        <w:rPr>
          <w:rFonts w:cs="Arial"/>
          <w:color w:val="000000"/>
          <w:spacing w:val="-2"/>
        </w:rPr>
        <w:t xml:space="preserve"> a o stejnou částku</w:t>
      </w:r>
      <w:r>
        <w:rPr>
          <w:rFonts w:cs="Arial"/>
          <w:color w:val="000000"/>
          <w:spacing w:val="-2"/>
        </w:rPr>
        <w:t xml:space="preserve"> </w:t>
      </w:r>
      <w:r w:rsidRPr="005861F7">
        <w:rPr>
          <w:rFonts w:cs="Arial"/>
          <w:color w:val="000000"/>
          <w:spacing w:val="-2"/>
        </w:rPr>
        <w:t xml:space="preserve">nadhodnotila účet 406 – </w:t>
      </w:r>
      <w:r w:rsidR="00D54265" w:rsidRPr="002B1EF7">
        <w:rPr>
          <w:rFonts w:cs="Arial"/>
          <w:i/>
          <w:color w:val="000000"/>
          <w:spacing w:val="-2"/>
        </w:rPr>
        <w:t>Oceňovací rozdíly při změně metody</w:t>
      </w:r>
      <w:r w:rsidRPr="005861F7">
        <w:rPr>
          <w:rFonts w:cs="Arial"/>
          <w:color w:val="000000"/>
          <w:spacing w:val="-2"/>
        </w:rPr>
        <w:t>.</w:t>
      </w:r>
    </w:p>
    <w:p w:rsidR="00DC1A85" w:rsidRDefault="00DC1A85" w:rsidP="006B516B">
      <w:pPr>
        <w:rPr>
          <w:rFonts w:cs="Arial"/>
          <w:color w:val="000000"/>
          <w:spacing w:val="-2"/>
        </w:rPr>
      </w:pPr>
    </w:p>
    <w:p w:rsidR="00AC4B8B" w:rsidRPr="00143028" w:rsidRDefault="00AC4B8B" w:rsidP="001A00C8">
      <w:pPr>
        <w:ind w:firstLine="0"/>
        <w:rPr>
          <w:rFonts w:cs="Arial"/>
          <w:color w:val="000000"/>
          <w:spacing w:val="-2"/>
        </w:rPr>
      </w:pPr>
      <w:r w:rsidRPr="00143028">
        <w:rPr>
          <w:rFonts w:cs="Arial"/>
          <w:color w:val="000000"/>
          <w:spacing w:val="-2"/>
        </w:rPr>
        <w:t xml:space="preserve">ČSSZ </w:t>
      </w:r>
      <w:r w:rsidR="00F33867">
        <w:rPr>
          <w:rFonts w:cs="Arial"/>
          <w:color w:val="000000"/>
          <w:spacing w:val="-2"/>
        </w:rPr>
        <w:t>k </w:t>
      </w:r>
      <w:r w:rsidRPr="00143028">
        <w:rPr>
          <w:rFonts w:cs="Arial"/>
          <w:color w:val="000000"/>
          <w:spacing w:val="-2"/>
        </w:rPr>
        <w:t xml:space="preserve">31. </w:t>
      </w:r>
      <w:r w:rsidR="005873B9">
        <w:rPr>
          <w:rFonts w:cs="Arial"/>
          <w:color w:val="000000"/>
          <w:spacing w:val="-2"/>
        </w:rPr>
        <w:t>prosinci</w:t>
      </w:r>
      <w:r w:rsidRPr="00143028">
        <w:rPr>
          <w:rFonts w:cs="Arial"/>
          <w:color w:val="000000"/>
          <w:spacing w:val="-2"/>
        </w:rPr>
        <w:t xml:space="preserve"> 2011 vykázala</w:t>
      </w:r>
      <w:r>
        <w:rPr>
          <w:rFonts w:cs="Arial"/>
          <w:color w:val="000000"/>
          <w:spacing w:val="-2"/>
        </w:rPr>
        <w:t xml:space="preserve"> chybně</w:t>
      </w:r>
      <w:r w:rsidRPr="00143028">
        <w:rPr>
          <w:rFonts w:cs="Arial"/>
          <w:color w:val="000000"/>
          <w:spacing w:val="-2"/>
        </w:rPr>
        <w:t xml:space="preserve"> úhradu příspěvku zaměstnance na stravenky na straně </w:t>
      </w:r>
      <w:r w:rsidR="0004557A">
        <w:rPr>
          <w:rFonts w:cs="Arial"/>
          <w:color w:val="000000"/>
          <w:spacing w:val="-2"/>
        </w:rPr>
        <w:t>„dal“</w:t>
      </w:r>
      <w:r w:rsidRPr="00143028">
        <w:rPr>
          <w:rFonts w:cs="Arial"/>
          <w:color w:val="000000"/>
          <w:spacing w:val="-2"/>
        </w:rPr>
        <w:t xml:space="preserve"> závazkového účtu 333 – </w:t>
      </w:r>
      <w:r w:rsidR="00D54265" w:rsidRPr="002B1EF7">
        <w:rPr>
          <w:rFonts w:cs="Arial"/>
          <w:i/>
          <w:color w:val="000000"/>
          <w:spacing w:val="-2"/>
        </w:rPr>
        <w:t>Jiné závazky za zaměstnanci</w:t>
      </w:r>
      <w:r w:rsidRPr="00143028">
        <w:rPr>
          <w:rFonts w:cs="Arial"/>
          <w:color w:val="000000"/>
          <w:spacing w:val="-2"/>
        </w:rPr>
        <w:t xml:space="preserve">, ačkoliv povaha účetní </w:t>
      </w:r>
      <w:r w:rsidRPr="00D3725E">
        <w:rPr>
          <w:rFonts w:cs="Arial"/>
          <w:color w:val="000000"/>
        </w:rPr>
        <w:t>operace neodpovídala obsahovému vymezení</w:t>
      </w:r>
      <w:r w:rsidR="007E26C6" w:rsidRPr="00D3725E">
        <w:rPr>
          <w:rFonts w:cs="Arial"/>
          <w:color w:val="000000"/>
        </w:rPr>
        <w:t xml:space="preserve"> p</w:t>
      </w:r>
      <w:r w:rsidRPr="00D3725E">
        <w:rPr>
          <w:rFonts w:cs="Arial"/>
          <w:color w:val="000000"/>
        </w:rPr>
        <w:t>oložky</w:t>
      </w:r>
      <w:r w:rsidR="00D3725E" w:rsidRPr="00D3725E">
        <w:rPr>
          <w:rFonts w:cs="Arial"/>
          <w:color w:val="000000"/>
        </w:rPr>
        <w:t xml:space="preserve"> </w:t>
      </w:r>
      <w:r w:rsidRPr="00D3725E">
        <w:rPr>
          <w:rFonts w:cs="Arial"/>
          <w:color w:val="000000"/>
        </w:rPr>
        <w:t xml:space="preserve">D.IV.15. </w:t>
      </w:r>
      <w:r w:rsidR="00D54265" w:rsidRPr="00D3725E">
        <w:rPr>
          <w:rFonts w:cs="Arial"/>
          <w:i/>
          <w:color w:val="000000"/>
        </w:rPr>
        <w:t>Jiné závazky vůči zaměstnancům</w:t>
      </w:r>
      <w:r w:rsidRPr="00143028">
        <w:rPr>
          <w:rFonts w:cs="Arial"/>
          <w:color w:val="000000"/>
          <w:spacing w:val="-2"/>
        </w:rPr>
        <w:t xml:space="preserve"> ve výkazu </w:t>
      </w:r>
      <w:r w:rsidR="0004557A">
        <w:rPr>
          <w:rFonts w:cs="Arial"/>
          <w:color w:val="000000"/>
          <w:spacing w:val="-2"/>
        </w:rPr>
        <w:t>r</w:t>
      </w:r>
      <w:r w:rsidRPr="00143028">
        <w:rPr>
          <w:rFonts w:cs="Arial"/>
          <w:color w:val="000000"/>
          <w:spacing w:val="-2"/>
        </w:rPr>
        <w:t>ozvaha</w:t>
      </w:r>
      <w:r w:rsidR="006B516B">
        <w:rPr>
          <w:rFonts w:cs="Arial"/>
          <w:color w:val="000000"/>
          <w:spacing w:val="-2"/>
        </w:rPr>
        <w:t xml:space="preserve">. </w:t>
      </w:r>
      <w:r w:rsidR="00F33867">
        <w:rPr>
          <w:rFonts w:cs="Arial"/>
          <w:color w:val="000000"/>
          <w:spacing w:val="-2"/>
        </w:rPr>
        <w:t>V </w:t>
      </w:r>
      <w:r w:rsidRPr="00143028">
        <w:rPr>
          <w:rFonts w:cs="Arial"/>
          <w:color w:val="000000"/>
          <w:spacing w:val="-2"/>
        </w:rPr>
        <w:t xml:space="preserve">důsledku </w:t>
      </w:r>
      <w:r w:rsidR="006B516B">
        <w:rPr>
          <w:rFonts w:cs="Arial"/>
          <w:color w:val="000000"/>
          <w:spacing w:val="-2"/>
        </w:rPr>
        <w:t>této</w:t>
      </w:r>
      <w:r w:rsidRPr="00143028">
        <w:rPr>
          <w:rFonts w:cs="Arial"/>
          <w:color w:val="000000"/>
          <w:spacing w:val="-2"/>
        </w:rPr>
        <w:t xml:space="preserve"> skutečnosti ČSSZ ve své ÚZ </w:t>
      </w:r>
      <w:r w:rsidR="00F33867">
        <w:rPr>
          <w:rFonts w:cs="Arial"/>
          <w:color w:val="000000"/>
          <w:spacing w:val="-2"/>
        </w:rPr>
        <w:t>k </w:t>
      </w:r>
      <w:r w:rsidRPr="00143028">
        <w:rPr>
          <w:rFonts w:cs="Arial"/>
          <w:color w:val="000000"/>
          <w:spacing w:val="-2"/>
        </w:rPr>
        <w:t>31.</w:t>
      </w:r>
      <w:r w:rsidR="006B516B">
        <w:rPr>
          <w:rFonts w:cs="Arial"/>
          <w:color w:val="000000"/>
          <w:spacing w:val="-2"/>
        </w:rPr>
        <w:t> </w:t>
      </w:r>
      <w:r w:rsidR="005873B9">
        <w:rPr>
          <w:rFonts w:cs="Arial"/>
          <w:color w:val="000000"/>
          <w:spacing w:val="-2"/>
        </w:rPr>
        <w:t>prosinci</w:t>
      </w:r>
      <w:r w:rsidR="006B516B">
        <w:rPr>
          <w:rFonts w:cs="Arial"/>
          <w:color w:val="000000"/>
          <w:spacing w:val="-2"/>
        </w:rPr>
        <w:t> </w:t>
      </w:r>
      <w:r w:rsidRPr="00143028">
        <w:rPr>
          <w:rFonts w:cs="Arial"/>
          <w:color w:val="000000"/>
          <w:spacing w:val="-2"/>
        </w:rPr>
        <w:t xml:space="preserve">2011 ve výkazu </w:t>
      </w:r>
      <w:r w:rsidR="0004557A">
        <w:rPr>
          <w:rFonts w:cs="Arial"/>
          <w:color w:val="000000"/>
          <w:spacing w:val="-2"/>
        </w:rPr>
        <w:t>r</w:t>
      </w:r>
      <w:r w:rsidRPr="00143028">
        <w:rPr>
          <w:rFonts w:cs="Arial"/>
          <w:color w:val="000000"/>
          <w:spacing w:val="-2"/>
        </w:rPr>
        <w:t>ozvaha:</w:t>
      </w:r>
    </w:p>
    <w:p w:rsidR="001A1086" w:rsidRDefault="00AC4B8B" w:rsidP="002B1EF7">
      <w:pPr>
        <w:numPr>
          <w:ilvl w:val="0"/>
          <w:numId w:val="11"/>
        </w:numPr>
        <w:ind w:left="284" w:hanging="284"/>
        <w:rPr>
          <w:rFonts w:cs="Arial"/>
          <w:color w:val="000000"/>
          <w:spacing w:val="-2"/>
        </w:rPr>
      </w:pPr>
      <w:r w:rsidRPr="00143028">
        <w:rPr>
          <w:rFonts w:cs="Arial"/>
          <w:color w:val="000000"/>
          <w:spacing w:val="-2"/>
        </w:rPr>
        <w:tab/>
        <w:t xml:space="preserve">nadhodnotila účet 333 – </w:t>
      </w:r>
      <w:r w:rsidR="00D54265" w:rsidRPr="002B1EF7">
        <w:rPr>
          <w:rFonts w:cs="Arial"/>
          <w:i/>
          <w:color w:val="000000"/>
          <w:spacing w:val="-2"/>
        </w:rPr>
        <w:t>Jiné závazky vůči zaměstnancům</w:t>
      </w:r>
      <w:r w:rsidRPr="00143028">
        <w:rPr>
          <w:rFonts w:cs="Arial"/>
          <w:color w:val="000000"/>
          <w:spacing w:val="-2"/>
        </w:rPr>
        <w:t xml:space="preserve"> o částku </w:t>
      </w:r>
      <w:r w:rsidRPr="005A36ED">
        <w:rPr>
          <w:rFonts w:cs="Arial"/>
          <w:b/>
          <w:color w:val="000000"/>
          <w:spacing w:val="-2"/>
        </w:rPr>
        <w:t>2 663 480 Kč</w:t>
      </w:r>
      <w:r w:rsidR="005873B9">
        <w:rPr>
          <w:rFonts w:cs="Arial"/>
          <w:color w:val="000000"/>
          <w:spacing w:val="-2"/>
        </w:rPr>
        <w:t xml:space="preserve"> a o </w:t>
      </w:r>
      <w:r>
        <w:rPr>
          <w:rFonts w:cs="Arial"/>
          <w:color w:val="000000"/>
          <w:spacing w:val="-2"/>
        </w:rPr>
        <w:t xml:space="preserve">stejnou částku </w:t>
      </w:r>
      <w:r w:rsidRPr="00143028">
        <w:rPr>
          <w:rFonts w:cs="Arial"/>
          <w:color w:val="000000"/>
          <w:spacing w:val="-2"/>
        </w:rPr>
        <w:t xml:space="preserve">podhodnotila účet 331 – </w:t>
      </w:r>
      <w:r w:rsidR="00D54265" w:rsidRPr="002B1EF7">
        <w:rPr>
          <w:rFonts w:cs="Arial"/>
          <w:i/>
          <w:color w:val="000000"/>
          <w:spacing w:val="-2"/>
        </w:rPr>
        <w:t>Zaměstnanci</w:t>
      </w:r>
      <w:r w:rsidRPr="00143028">
        <w:rPr>
          <w:rFonts w:cs="Arial"/>
          <w:color w:val="000000"/>
          <w:spacing w:val="-2"/>
        </w:rPr>
        <w:t>.</w:t>
      </w:r>
    </w:p>
    <w:p w:rsidR="00DC1A85" w:rsidRDefault="00DC1A85" w:rsidP="00304D66">
      <w:pPr>
        <w:rPr>
          <w:rFonts w:cs="Arial"/>
          <w:color w:val="000000"/>
          <w:spacing w:val="-2"/>
        </w:rPr>
      </w:pPr>
    </w:p>
    <w:p w:rsidR="00AC4B8B" w:rsidRDefault="00AC4B8B" w:rsidP="007E26C6">
      <w:pPr>
        <w:ind w:firstLine="0"/>
      </w:pPr>
      <w:r w:rsidRPr="00645736">
        <w:t xml:space="preserve">ČSSZ neúčtovala na účtu 263 – </w:t>
      </w:r>
      <w:r w:rsidR="00D54265" w:rsidRPr="002B1EF7">
        <w:rPr>
          <w:i/>
        </w:rPr>
        <w:t>Ceniny</w:t>
      </w:r>
      <w:r w:rsidRPr="00645736">
        <w:t xml:space="preserve"> o pořízených stravenkách </w:t>
      </w:r>
      <w:r w:rsidR="00F33867">
        <w:t>v </w:t>
      </w:r>
      <w:r w:rsidRPr="00645736">
        <w:t xml:space="preserve">jejich jmenovité hodnotě a zároveň neúčtovala na stranu </w:t>
      </w:r>
      <w:r w:rsidR="0004557A">
        <w:t>„dal“</w:t>
      </w:r>
      <w:r w:rsidRPr="00645736">
        <w:t xml:space="preserve"> účtu 389 – </w:t>
      </w:r>
      <w:r w:rsidR="00D54265" w:rsidRPr="002B1EF7">
        <w:rPr>
          <w:i/>
        </w:rPr>
        <w:t>Dohadné účty pasivní</w:t>
      </w:r>
      <w:r w:rsidR="00220523">
        <w:t xml:space="preserve"> </w:t>
      </w:r>
      <w:r w:rsidR="00F33867">
        <w:t>v </w:t>
      </w:r>
      <w:r w:rsidR="00220523">
        <w:t>průběhu účetního období</w:t>
      </w:r>
      <w:r w:rsidRPr="00645736">
        <w:t xml:space="preserve"> </w:t>
      </w:r>
      <w:r w:rsidR="00F33867">
        <w:t>v </w:t>
      </w:r>
      <w:r w:rsidRPr="00645736">
        <w:t xml:space="preserve">okamžiku přijetí stravenek, </w:t>
      </w:r>
      <w:r w:rsidR="0004557A">
        <w:t>neboť</w:t>
      </w:r>
      <w:r w:rsidRPr="00645736">
        <w:t xml:space="preserve"> neměla </w:t>
      </w:r>
      <w:r w:rsidR="00F33867">
        <w:t>k </w:t>
      </w:r>
      <w:r w:rsidRPr="00645736">
        <w:t>dispozici fakturu od dodavatele, a</w:t>
      </w:r>
      <w:r w:rsidR="001A1086">
        <w:t> </w:t>
      </w:r>
      <w:r w:rsidRPr="00645736">
        <w:t>nebylo</w:t>
      </w:r>
      <w:r w:rsidR="0004557A">
        <w:t xml:space="preserve"> tedy</w:t>
      </w:r>
      <w:r w:rsidRPr="00645736">
        <w:t xml:space="preserve"> možné zaúčtovat skutečnou výši závazku vůči dodavateli</w:t>
      </w:r>
      <w:r>
        <w:t>.</w:t>
      </w:r>
      <w:r w:rsidRPr="00645736">
        <w:t xml:space="preserve"> </w:t>
      </w:r>
      <w:r w:rsidR="0004557A">
        <w:t>Tyto skutečnosti</w:t>
      </w:r>
      <w:r w:rsidRPr="004E5BA6">
        <w:t xml:space="preserve"> nem</w:t>
      </w:r>
      <w:r w:rsidR="0004557A">
        <w:t>ěly</w:t>
      </w:r>
      <w:r w:rsidRPr="004E5BA6">
        <w:t xml:space="preserve"> vliv na konečný zůstatek účtu 263 </w:t>
      </w:r>
      <w:r>
        <w:t>–</w:t>
      </w:r>
      <w:r w:rsidRPr="004E5BA6">
        <w:t xml:space="preserve"> </w:t>
      </w:r>
      <w:r w:rsidR="00D54265" w:rsidRPr="002B1EF7">
        <w:rPr>
          <w:i/>
        </w:rPr>
        <w:t>Ceniny</w:t>
      </w:r>
      <w:r>
        <w:t xml:space="preserve"> </w:t>
      </w:r>
      <w:r w:rsidR="00F33867">
        <w:t>k </w:t>
      </w:r>
      <w:r>
        <w:t xml:space="preserve">31. </w:t>
      </w:r>
      <w:r w:rsidR="005873B9">
        <w:t>prosinci</w:t>
      </w:r>
      <w:r>
        <w:t xml:space="preserve"> 2011</w:t>
      </w:r>
      <w:r w:rsidR="006B516B">
        <w:t>.</w:t>
      </w:r>
    </w:p>
    <w:p w:rsidR="00AC4B8B" w:rsidRDefault="00AC4B8B" w:rsidP="00AC4B8B"/>
    <w:p w:rsidR="00AC4B8B" w:rsidRDefault="00AC4B8B" w:rsidP="007E26C6">
      <w:pPr>
        <w:ind w:firstLine="0"/>
      </w:pPr>
      <w:r>
        <w:lastRenderedPageBreak/>
        <w:t xml:space="preserve">ČSSZ </w:t>
      </w:r>
      <w:r w:rsidR="00F33867">
        <w:t>v </w:t>
      </w:r>
      <w:r>
        <w:t>roce 2011 účtovala o stravenkách,</w:t>
      </w:r>
      <w:r w:rsidR="000658FF">
        <w:t xml:space="preserve"> aniž </w:t>
      </w:r>
      <w:r w:rsidR="00F33867">
        <w:t>v </w:t>
      </w:r>
      <w:r w:rsidR="000658FF">
        <w:t>účetnictví</w:t>
      </w:r>
      <w:r>
        <w:t xml:space="preserve"> </w:t>
      </w:r>
      <w:r w:rsidR="00F33867">
        <w:t>k </w:t>
      </w:r>
      <w:r>
        <w:t xml:space="preserve">31. </w:t>
      </w:r>
      <w:r w:rsidR="00637435">
        <w:t>prosinci</w:t>
      </w:r>
      <w:r>
        <w:t xml:space="preserve"> 2011</w:t>
      </w:r>
      <w:r w:rsidR="000658FF">
        <w:t xml:space="preserve"> zobrazila</w:t>
      </w:r>
      <w:r>
        <w:t xml:space="preserve"> částky odpovídající:</w:t>
      </w:r>
    </w:p>
    <w:p w:rsidR="001A1086" w:rsidRDefault="00AC4B8B" w:rsidP="00D63637">
      <w:pPr>
        <w:numPr>
          <w:ilvl w:val="0"/>
          <w:numId w:val="33"/>
        </w:numPr>
        <w:ind w:left="284" w:hanging="284"/>
      </w:pPr>
      <w:r>
        <w:t xml:space="preserve">příspěvku zaměstnavatele na stravenky za měsíc prosinec 2011 na straně </w:t>
      </w:r>
      <w:r w:rsidR="0004557A">
        <w:t>„m</w:t>
      </w:r>
      <w:r>
        <w:t>á dáti</w:t>
      </w:r>
      <w:r w:rsidR="0004557A">
        <w:t>“</w:t>
      </w:r>
      <w:r>
        <w:t xml:space="preserve"> účtu 527 – </w:t>
      </w:r>
      <w:r w:rsidR="00D54265" w:rsidRPr="00D63637">
        <w:rPr>
          <w:i/>
        </w:rPr>
        <w:t>Zákonné sociální náklady</w:t>
      </w:r>
      <w:r>
        <w:t xml:space="preserve">, </w:t>
      </w:r>
    </w:p>
    <w:p w:rsidR="001A1086" w:rsidRDefault="00AC4B8B" w:rsidP="00D63637">
      <w:pPr>
        <w:numPr>
          <w:ilvl w:val="0"/>
          <w:numId w:val="33"/>
        </w:numPr>
        <w:ind w:left="284" w:hanging="284"/>
      </w:pPr>
      <w:r>
        <w:tab/>
        <w:t>pohledá</w:t>
      </w:r>
      <w:r w:rsidR="003B457E">
        <w:t>vce</w:t>
      </w:r>
      <w:r>
        <w:t xml:space="preserve"> za zaměstnanci plynoucí </w:t>
      </w:r>
      <w:r w:rsidR="00F33867">
        <w:t>z </w:t>
      </w:r>
      <w:r>
        <w:t xml:space="preserve">jejich příspěvku na stravenky za měsíc prosinec 2011 na straně </w:t>
      </w:r>
      <w:r w:rsidR="0004557A">
        <w:t>„m</w:t>
      </w:r>
      <w:r>
        <w:t>á dáti</w:t>
      </w:r>
      <w:r w:rsidR="0004557A">
        <w:t>“</w:t>
      </w:r>
      <w:r>
        <w:t xml:space="preserve"> účtu 335 – </w:t>
      </w:r>
      <w:r w:rsidR="00D54265" w:rsidRPr="00D63637">
        <w:rPr>
          <w:i/>
        </w:rPr>
        <w:t>Pohledávky za zaměstnanci</w:t>
      </w:r>
      <w:r>
        <w:t xml:space="preserve">, </w:t>
      </w:r>
    </w:p>
    <w:p w:rsidR="001A1086" w:rsidRDefault="00AC4B8B" w:rsidP="00D63637">
      <w:pPr>
        <w:numPr>
          <w:ilvl w:val="0"/>
          <w:numId w:val="33"/>
        </w:numPr>
        <w:ind w:left="284" w:hanging="284"/>
      </w:pPr>
      <w:r>
        <w:tab/>
        <w:t>příspěvk</w:t>
      </w:r>
      <w:r w:rsidR="003B457E">
        <w:t>u</w:t>
      </w:r>
      <w:r>
        <w:t xml:space="preserve"> </w:t>
      </w:r>
      <w:r w:rsidR="00F33867">
        <w:t>z </w:t>
      </w:r>
      <w:r>
        <w:t>FKSP</w:t>
      </w:r>
      <w:r w:rsidR="0004557A">
        <w:rPr>
          <w:rStyle w:val="Znakapoznpodarou"/>
        </w:rPr>
        <w:footnoteReference w:id="3"/>
      </w:r>
      <w:r>
        <w:t xml:space="preserve"> za měsíc prosinec 2011 na straně </w:t>
      </w:r>
      <w:r w:rsidR="0004557A">
        <w:t>„m</w:t>
      </w:r>
      <w:r>
        <w:t>á dáti</w:t>
      </w:r>
      <w:r w:rsidR="0004557A">
        <w:t>“</w:t>
      </w:r>
      <w:r>
        <w:t xml:space="preserve"> účtu 412 – </w:t>
      </w:r>
      <w:r w:rsidR="00D54265" w:rsidRPr="00D63637">
        <w:rPr>
          <w:i/>
        </w:rPr>
        <w:t>Fond kulturních a sociálních potřeb</w:t>
      </w:r>
      <w:r>
        <w:t xml:space="preserve"> a </w:t>
      </w:r>
    </w:p>
    <w:p w:rsidR="001A1086" w:rsidRDefault="00AC4B8B" w:rsidP="00D63637">
      <w:pPr>
        <w:numPr>
          <w:ilvl w:val="0"/>
          <w:numId w:val="33"/>
        </w:numPr>
        <w:ind w:left="284" w:hanging="284"/>
      </w:pPr>
      <w:r>
        <w:tab/>
        <w:t>celkov</w:t>
      </w:r>
      <w:r w:rsidR="003B457E">
        <w:t>ému</w:t>
      </w:r>
      <w:r>
        <w:t xml:space="preserve"> závazk</w:t>
      </w:r>
      <w:r w:rsidR="003B457E">
        <w:t>u</w:t>
      </w:r>
      <w:r>
        <w:t xml:space="preserve"> vůči dodavateli stravenek za měsíc prosinec 2011 na straně </w:t>
      </w:r>
      <w:r w:rsidR="0004557A">
        <w:t>„d</w:t>
      </w:r>
      <w:r>
        <w:t>al</w:t>
      </w:r>
      <w:r w:rsidR="0004557A">
        <w:t>“</w:t>
      </w:r>
      <w:r>
        <w:t xml:space="preserve"> účtu 389 – </w:t>
      </w:r>
      <w:r w:rsidR="00D54265" w:rsidRPr="00D63637">
        <w:rPr>
          <w:i/>
        </w:rPr>
        <w:t>Dohadné účty pasivní</w:t>
      </w:r>
      <w:r>
        <w:t xml:space="preserve">. </w:t>
      </w:r>
    </w:p>
    <w:p w:rsidR="00AC4B8B" w:rsidRDefault="00AC4B8B" w:rsidP="00B87E1C">
      <w:pPr>
        <w:ind w:left="284" w:hanging="284"/>
      </w:pPr>
    </w:p>
    <w:p w:rsidR="00AC4B8B" w:rsidRPr="009536DB" w:rsidRDefault="00AC4B8B" w:rsidP="00741F1B">
      <w:pPr>
        <w:ind w:firstLine="0"/>
        <w:rPr>
          <w:b/>
        </w:rPr>
      </w:pPr>
      <w:r>
        <w:t>Všechny výše uvedené částky ČSSZ zobrazila ve svém účetnictví a</w:t>
      </w:r>
      <w:r w:rsidR="006B516B">
        <w:t xml:space="preserve">ž </w:t>
      </w:r>
      <w:r w:rsidR="00F33867">
        <w:t>v </w:t>
      </w:r>
      <w:r w:rsidR="006B516B">
        <w:t>lednu následujícího roku.</w:t>
      </w:r>
      <w:r w:rsidR="001632CB">
        <w:t xml:space="preserve"> </w:t>
      </w:r>
      <w:r w:rsidR="00F33867">
        <w:t>V </w:t>
      </w:r>
      <w:r>
        <w:t xml:space="preserve">důsledku toho ČSSZ ve své ÚZ </w:t>
      </w:r>
      <w:r w:rsidR="00F33867">
        <w:t>k </w:t>
      </w:r>
      <w:r>
        <w:t xml:space="preserve">31. </w:t>
      </w:r>
      <w:r w:rsidR="00637435">
        <w:t>prosinci</w:t>
      </w:r>
      <w:r>
        <w:t xml:space="preserve"> 2011 ve </w:t>
      </w:r>
      <w:r w:rsidR="008D2D3A">
        <w:t xml:space="preserve">výkazu </w:t>
      </w:r>
      <w:r w:rsidR="00170660">
        <w:t>r</w:t>
      </w:r>
      <w:r w:rsidR="008D2D3A">
        <w:t xml:space="preserve">ozvaha: </w:t>
      </w:r>
    </w:p>
    <w:p w:rsidR="00A52C8E" w:rsidRDefault="00AC4B8B" w:rsidP="00B87E1C">
      <w:pPr>
        <w:numPr>
          <w:ilvl w:val="0"/>
          <w:numId w:val="11"/>
        </w:numPr>
        <w:ind w:left="284" w:hanging="284"/>
      </w:pPr>
      <w:r>
        <w:tab/>
        <w:t xml:space="preserve">nadhodnotila účet 493 – </w:t>
      </w:r>
      <w:r w:rsidR="00D54265" w:rsidRPr="00D63637">
        <w:rPr>
          <w:i/>
        </w:rPr>
        <w:t>Výsledek hospodaření běžného účetního období</w:t>
      </w:r>
      <w:r>
        <w:t xml:space="preserve"> o částku </w:t>
      </w:r>
      <w:r w:rsidRPr="009536DB">
        <w:rPr>
          <w:b/>
        </w:rPr>
        <w:t>4</w:t>
      </w:r>
      <w:r w:rsidR="00B87E1C">
        <w:rPr>
          <w:b/>
        </w:rPr>
        <w:t> </w:t>
      </w:r>
      <w:r w:rsidRPr="009536DB">
        <w:rPr>
          <w:b/>
        </w:rPr>
        <w:t>661</w:t>
      </w:r>
      <w:r w:rsidR="00B87E1C">
        <w:rPr>
          <w:b/>
        </w:rPr>
        <w:t> </w:t>
      </w:r>
      <w:r w:rsidRPr="009536DB">
        <w:rPr>
          <w:b/>
        </w:rPr>
        <w:t>090 Kč</w:t>
      </w:r>
      <w:r w:rsidR="00D54265" w:rsidRPr="00D63637">
        <w:rPr>
          <w:b/>
        </w:rPr>
        <w:t xml:space="preserve">, </w:t>
      </w:r>
    </w:p>
    <w:p w:rsidR="00A52C8E" w:rsidRPr="00D63637" w:rsidRDefault="00AC4B8B" w:rsidP="00B87E1C">
      <w:pPr>
        <w:numPr>
          <w:ilvl w:val="0"/>
          <w:numId w:val="11"/>
        </w:numPr>
        <w:ind w:left="284" w:hanging="284"/>
        <w:rPr>
          <w:b/>
        </w:rPr>
      </w:pPr>
      <w:r>
        <w:t xml:space="preserve">podhodnotila účet 335 – </w:t>
      </w:r>
      <w:r w:rsidR="00D54265" w:rsidRPr="00D63637">
        <w:rPr>
          <w:i/>
        </w:rPr>
        <w:t>Pohledávky za zaměstnanci</w:t>
      </w:r>
      <w:r>
        <w:t xml:space="preserve"> o částku </w:t>
      </w:r>
      <w:r w:rsidRPr="009536DB">
        <w:rPr>
          <w:b/>
        </w:rPr>
        <w:t>2</w:t>
      </w:r>
      <w:r w:rsidR="005E5DF2">
        <w:rPr>
          <w:b/>
        </w:rPr>
        <w:t xml:space="preserve"> </w:t>
      </w:r>
      <w:r w:rsidRPr="009536DB">
        <w:rPr>
          <w:b/>
        </w:rPr>
        <w:t>663</w:t>
      </w:r>
      <w:r w:rsidR="005E5DF2">
        <w:rPr>
          <w:b/>
        </w:rPr>
        <w:t xml:space="preserve"> </w:t>
      </w:r>
      <w:r w:rsidRPr="009536DB">
        <w:rPr>
          <w:b/>
        </w:rPr>
        <w:t>480 Kč</w:t>
      </w:r>
      <w:r w:rsidR="00D54265" w:rsidRPr="00D63637">
        <w:rPr>
          <w:b/>
        </w:rPr>
        <w:t>,</w:t>
      </w:r>
    </w:p>
    <w:p w:rsidR="00A52C8E" w:rsidRDefault="00AC4B8B" w:rsidP="00B87E1C">
      <w:pPr>
        <w:numPr>
          <w:ilvl w:val="0"/>
          <w:numId w:val="11"/>
        </w:numPr>
        <w:ind w:left="284" w:hanging="284"/>
      </w:pPr>
      <w:r>
        <w:t xml:space="preserve">nadhodnotila účet 412 – </w:t>
      </w:r>
      <w:r w:rsidR="00D54265" w:rsidRPr="00D63637">
        <w:rPr>
          <w:i/>
        </w:rPr>
        <w:t>Fond kulturních a sociálních potřeb</w:t>
      </w:r>
      <w:r>
        <w:t xml:space="preserve"> o částku </w:t>
      </w:r>
      <w:r w:rsidRPr="009536DB">
        <w:rPr>
          <w:b/>
        </w:rPr>
        <w:t>1 997 610 Kč</w:t>
      </w:r>
      <w:r w:rsidR="00DE46E9">
        <w:rPr>
          <w:b/>
        </w:rPr>
        <w:t>,</w:t>
      </w:r>
      <w:r>
        <w:t xml:space="preserve"> </w:t>
      </w:r>
    </w:p>
    <w:p w:rsidR="00AC4B8B" w:rsidRDefault="00AC4B8B" w:rsidP="00B87E1C">
      <w:pPr>
        <w:numPr>
          <w:ilvl w:val="0"/>
          <w:numId w:val="11"/>
        </w:numPr>
        <w:ind w:left="284" w:hanging="284"/>
      </w:pPr>
      <w:r>
        <w:t xml:space="preserve">podhodnotila účet 389 – </w:t>
      </w:r>
      <w:r w:rsidR="00D54265" w:rsidRPr="00D63637">
        <w:rPr>
          <w:i/>
        </w:rPr>
        <w:t>Dohadné účty pasivní</w:t>
      </w:r>
      <w:r>
        <w:t xml:space="preserve"> o částku </w:t>
      </w:r>
      <w:r w:rsidRPr="009536DB">
        <w:rPr>
          <w:b/>
        </w:rPr>
        <w:t>9</w:t>
      </w:r>
      <w:r w:rsidR="005E5DF2">
        <w:rPr>
          <w:b/>
        </w:rPr>
        <w:t xml:space="preserve"> </w:t>
      </w:r>
      <w:r w:rsidRPr="009536DB">
        <w:rPr>
          <w:b/>
        </w:rPr>
        <w:t>322</w:t>
      </w:r>
      <w:r w:rsidR="005E5DF2">
        <w:rPr>
          <w:b/>
        </w:rPr>
        <w:t xml:space="preserve"> </w:t>
      </w:r>
      <w:r w:rsidRPr="009536DB">
        <w:rPr>
          <w:b/>
        </w:rPr>
        <w:t>180 Kč</w:t>
      </w:r>
    </w:p>
    <w:p w:rsidR="008D2D3A" w:rsidRPr="00FB557F" w:rsidRDefault="008D2D3A" w:rsidP="00170660">
      <w:pPr>
        <w:ind w:firstLine="0"/>
      </w:pPr>
      <w:r w:rsidRPr="00FB557F">
        <w:t xml:space="preserve">a zároveň ve své ÚZ </w:t>
      </w:r>
      <w:r w:rsidR="00F33867">
        <w:t>k </w:t>
      </w:r>
      <w:r w:rsidRPr="00FB557F">
        <w:t xml:space="preserve">31. </w:t>
      </w:r>
      <w:r w:rsidR="00637435">
        <w:t>prosinci</w:t>
      </w:r>
      <w:r w:rsidRPr="00FB557F">
        <w:t xml:space="preserve"> 2011 ve </w:t>
      </w:r>
      <w:r w:rsidR="00170660">
        <w:t>v</w:t>
      </w:r>
      <w:r w:rsidR="00F20666" w:rsidRPr="00FB557F">
        <w:t>ýkazu zisku a ztráty</w:t>
      </w:r>
      <w:r w:rsidR="00FB557F" w:rsidRPr="00FB557F">
        <w:t xml:space="preserve"> ovlivnila zůstatek účtu </w:t>
      </w:r>
      <w:r w:rsidR="00170660">
        <w:br/>
      </w:r>
      <w:r w:rsidR="00FB557F" w:rsidRPr="00FB557F">
        <w:t>527</w:t>
      </w:r>
      <w:r w:rsidR="005E5DF2">
        <w:t xml:space="preserve"> </w:t>
      </w:r>
      <w:r w:rsidR="00FB557F" w:rsidRPr="00FB557F">
        <w:t xml:space="preserve">– </w:t>
      </w:r>
      <w:r w:rsidR="00D54265" w:rsidRPr="00D63637">
        <w:rPr>
          <w:i/>
        </w:rPr>
        <w:t>Zákonné sociální náklady</w:t>
      </w:r>
      <w:r w:rsidR="00FB557F" w:rsidRPr="00FB557F">
        <w:t xml:space="preserve"> </w:t>
      </w:r>
      <w:r w:rsidR="00FB557F" w:rsidRPr="00FE5A60">
        <w:t xml:space="preserve">(viz kapitola </w:t>
      </w:r>
      <w:r w:rsidR="00A935D0">
        <w:t xml:space="preserve">tohoto kontrolního závěru </w:t>
      </w:r>
      <w:r w:rsidR="00FE5A60" w:rsidRPr="00FE5A60">
        <w:t>1.2.1.2</w:t>
      </w:r>
      <w:r w:rsidR="00FB557F" w:rsidRPr="00FE5A60">
        <w:t xml:space="preserve"> </w:t>
      </w:r>
      <w:r w:rsidR="00D54265" w:rsidRPr="00D63637">
        <w:rPr>
          <w:i/>
        </w:rPr>
        <w:t>Výkaz zisku a ztráty</w:t>
      </w:r>
      <w:r w:rsidR="00FB557F" w:rsidRPr="00FE5A60">
        <w:t>)</w:t>
      </w:r>
      <w:r w:rsidR="00FE5A60">
        <w:t>.</w:t>
      </w:r>
    </w:p>
    <w:p w:rsidR="00A52C8E" w:rsidRDefault="00A52C8E" w:rsidP="00AC4B8B"/>
    <w:p w:rsidR="00AC4B8B" w:rsidRPr="008C07E4" w:rsidRDefault="00AC4B8B" w:rsidP="00DE46E9">
      <w:pPr>
        <w:ind w:firstLine="0"/>
      </w:pPr>
      <w:r w:rsidRPr="008C07E4">
        <w:t xml:space="preserve">ČSSZ nevedla </w:t>
      </w:r>
      <w:r w:rsidR="00F33867">
        <w:t>v </w:t>
      </w:r>
      <w:r w:rsidRPr="008C07E4">
        <w:t>roce 2011 úplné účetnictví, neboť nezaúčtovala předpisy nevyplacených, tj. deponovaných</w:t>
      </w:r>
      <w:r w:rsidR="00170660">
        <w:t>,</w:t>
      </w:r>
      <w:r w:rsidRPr="008C07E4">
        <w:t xml:space="preserve"> exekučních srážek </w:t>
      </w:r>
      <w:r w:rsidR="00F33867">
        <w:t>z </w:t>
      </w:r>
      <w:r w:rsidRPr="008C07E4">
        <w:t>důchodů povinných os</w:t>
      </w:r>
      <w:r w:rsidR="00637435">
        <w:t xml:space="preserve">ob a tuto skutečnost neuvedla </w:t>
      </w:r>
      <w:r w:rsidR="00F33867">
        <w:t>v </w:t>
      </w:r>
      <w:r w:rsidR="00170660">
        <w:t>p</w:t>
      </w:r>
      <w:r w:rsidRPr="008C07E4">
        <w:t xml:space="preserve">říloze ÚZ </w:t>
      </w:r>
      <w:r w:rsidR="00F33867">
        <w:t>v </w:t>
      </w:r>
      <w:r w:rsidRPr="008C07E4">
        <w:t xml:space="preserve">části </w:t>
      </w:r>
      <w:r w:rsidRPr="00455AD5">
        <w:t xml:space="preserve">E.1. </w:t>
      </w:r>
      <w:r w:rsidR="00D54265" w:rsidRPr="00D63637">
        <w:rPr>
          <w:i/>
        </w:rPr>
        <w:t>Doplňující informace k položkám rozvahy</w:t>
      </w:r>
      <w:r w:rsidRPr="008C07E4">
        <w:t xml:space="preserve"> podle § 45 odst. 1 písm. e) bod 1 vyhlášky č. 410/2</w:t>
      </w:r>
      <w:r w:rsidR="006B516B">
        <w:t>009 Sb. Tato</w:t>
      </w:r>
      <w:r w:rsidRPr="008C07E4">
        <w:t xml:space="preserve"> skutečnost měla vliv na konečný zůstatek následujících účtů vykázaných </w:t>
      </w:r>
      <w:r w:rsidR="00F33867">
        <w:t>v </w:t>
      </w:r>
      <w:r w:rsidRPr="008C07E4">
        <w:t xml:space="preserve">ÚZ </w:t>
      </w:r>
      <w:r w:rsidR="00F33867">
        <w:t>k </w:t>
      </w:r>
      <w:r w:rsidRPr="008C07E4">
        <w:t xml:space="preserve">31. </w:t>
      </w:r>
      <w:r w:rsidR="00637435">
        <w:t>prosinci</w:t>
      </w:r>
      <w:r w:rsidRPr="008C07E4">
        <w:t xml:space="preserve"> 2011 ve výkazu </w:t>
      </w:r>
      <w:r w:rsidR="00170660">
        <w:t>r</w:t>
      </w:r>
      <w:r w:rsidRPr="008C07E4">
        <w:t xml:space="preserve">ozvaha: </w:t>
      </w:r>
    </w:p>
    <w:p w:rsidR="001A1086" w:rsidRDefault="00AC4B8B" w:rsidP="00D63637">
      <w:pPr>
        <w:numPr>
          <w:ilvl w:val="0"/>
          <w:numId w:val="11"/>
        </w:numPr>
        <w:ind w:left="284" w:hanging="284"/>
      </w:pPr>
      <w:r w:rsidRPr="008C07E4">
        <w:tab/>
        <w:t xml:space="preserve">účet 323 – </w:t>
      </w:r>
      <w:r w:rsidR="00D54265" w:rsidRPr="00D63637">
        <w:rPr>
          <w:i/>
        </w:rPr>
        <w:t>Závazky z dávek sociálního zabezpečení</w:t>
      </w:r>
      <w:r w:rsidR="00170660">
        <w:t>,</w:t>
      </w:r>
      <w:r w:rsidRPr="008C07E4">
        <w:t xml:space="preserve"> </w:t>
      </w:r>
    </w:p>
    <w:p w:rsidR="001A1086" w:rsidRDefault="00AC4B8B" w:rsidP="00D63637">
      <w:pPr>
        <w:numPr>
          <w:ilvl w:val="0"/>
          <w:numId w:val="11"/>
        </w:numPr>
        <w:ind w:left="284" w:hanging="284"/>
      </w:pPr>
      <w:r w:rsidRPr="008C07E4">
        <w:tab/>
        <w:t xml:space="preserve">účet 493 – </w:t>
      </w:r>
      <w:r w:rsidR="00D54265" w:rsidRPr="00D63637">
        <w:rPr>
          <w:i/>
        </w:rPr>
        <w:t>Výsledek hospodaření běžného účetního období</w:t>
      </w:r>
      <w:r w:rsidR="00170660">
        <w:t>,</w:t>
      </w:r>
    </w:p>
    <w:p w:rsidR="00AC4B8B" w:rsidRPr="00DE46E9" w:rsidRDefault="00AC4B8B" w:rsidP="00A82868">
      <w:pPr>
        <w:ind w:firstLine="0"/>
      </w:pPr>
      <w:r w:rsidRPr="00E222C7">
        <w:t xml:space="preserve">a zároveň tyto skutečnosti ovlivnily konečný zůstatek účtu </w:t>
      </w:r>
      <w:r w:rsidR="00E222C7" w:rsidRPr="00E222C7">
        <w:t xml:space="preserve">523 – </w:t>
      </w:r>
      <w:r w:rsidR="00D54265" w:rsidRPr="00D63637">
        <w:rPr>
          <w:i/>
        </w:rPr>
        <w:t>Náklady z dávek sociálního zabezpečení</w:t>
      </w:r>
      <w:r w:rsidR="00E222C7" w:rsidRPr="00E222C7">
        <w:t xml:space="preserve"> </w:t>
      </w:r>
      <w:r w:rsidRPr="00E222C7">
        <w:t xml:space="preserve">vykázaného </w:t>
      </w:r>
      <w:r w:rsidR="00F33867">
        <w:t>v </w:t>
      </w:r>
      <w:r w:rsidRPr="00E222C7">
        <w:t xml:space="preserve">ÚZ </w:t>
      </w:r>
      <w:r w:rsidR="00F33867">
        <w:t>k </w:t>
      </w:r>
      <w:r w:rsidRPr="00E222C7">
        <w:t xml:space="preserve">31. </w:t>
      </w:r>
      <w:r w:rsidR="00637435">
        <w:t>prosinci</w:t>
      </w:r>
      <w:r w:rsidRPr="00E222C7">
        <w:t xml:space="preserve"> 2011 ve </w:t>
      </w:r>
      <w:r w:rsidR="00170660">
        <w:t>v</w:t>
      </w:r>
      <w:r w:rsidRPr="00E222C7">
        <w:t>ýkazu zisku a ztráty</w:t>
      </w:r>
      <w:r w:rsidR="00E222C7" w:rsidRPr="00E222C7">
        <w:t xml:space="preserve"> </w:t>
      </w:r>
      <w:r w:rsidR="00E222C7" w:rsidRPr="00DE46E9">
        <w:t xml:space="preserve">(viz kapitola </w:t>
      </w:r>
      <w:r w:rsidR="00A935D0">
        <w:t xml:space="preserve">tohoto kontrolního závěru </w:t>
      </w:r>
      <w:r w:rsidR="00DE46E9" w:rsidRPr="00DE46E9">
        <w:t xml:space="preserve">1.2.1.2 </w:t>
      </w:r>
      <w:r w:rsidR="00D54265" w:rsidRPr="00D63637">
        <w:rPr>
          <w:i/>
        </w:rPr>
        <w:t>Výkaz zisku a ztráty</w:t>
      </w:r>
      <w:r w:rsidR="00E222C7" w:rsidRPr="00DE46E9">
        <w:t>).</w:t>
      </w:r>
    </w:p>
    <w:p w:rsidR="00A52C8E" w:rsidRPr="00F07B3A" w:rsidRDefault="00A52C8E" w:rsidP="00AC4B8B">
      <w:pPr>
        <w:rPr>
          <w:highlight w:val="yellow"/>
        </w:rPr>
      </w:pPr>
    </w:p>
    <w:p w:rsidR="00AC4B8B" w:rsidRPr="00017E0A" w:rsidRDefault="00AC4B8B" w:rsidP="00DE46E9">
      <w:pPr>
        <w:ind w:firstLine="0"/>
      </w:pPr>
      <w:r w:rsidRPr="00F20666">
        <w:t xml:space="preserve">I když ČSSZ </w:t>
      </w:r>
      <w:r w:rsidR="00F33867">
        <w:t>k </w:t>
      </w:r>
      <w:r w:rsidR="00F20666" w:rsidRPr="00F20666">
        <w:t xml:space="preserve">31. </w:t>
      </w:r>
      <w:r w:rsidR="00637435">
        <w:t>prosinci</w:t>
      </w:r>
      <w:r w:rsidR="00F20666" w:rsidRPr="00F20666">
        <w:t xml:space="preserve"> 2011 </w:t>
      </w:r>
      <w:r w:rsidRPr="00F20666">
        <w:t xml:space="preserve">nevyčíslila celkovou </w:t>
      </w:r>
      <w:r w:rsidR="00F20666" w:rsidRPr="00F20666">
        <w:t xml:space="preserve">nezaúčtovanou </w:t>
      </w:r>
      <w:r w:rsidRPr="00F20666">
        <w:t>částku deponovaných exekučních srážek,</w:t>
      </w:r>
      <w:r w:rsidR="00F20666" w:rsidRPr="00F20666">
        <w:t xml:space="preserve"> </w:t>
      </w:r>
      <w:r w:rsidRPr="00F20666">
        <w:t xml:space="preserve">lze na základě skutečnosti </w:t>
      </w:r>
      <w:r w:rsidR="00170660">
        <w:t>z</w:t>
      </w:r>
      <w:r w:rsidR="00F33867">
        <w:t> </w:t>
      </w:r>
      <w:r w:rsidRPr="00F20666">
        <w:t>let 2009 a 2010 usuzovat, že výše uvedené zůstatky účtů byly vlivem nezaúčtovaných nevyplacených, tj. deponovaných</w:t>
      </w:r>
      <w:r w:rsidR="00170660">
        <w:t>,</w:t>
      </w:r>
      <w:r w:rsidRPr="00F20666">
        <w:t xml:space="preserve"> exekučních srážek </w:t>
      </w:r>
      <w:r w:rsidR="00F33867">
        <w:t>k </w:t>
      </w:r>
      <w:r w:rsidRPr="00F20666">
        <w:t xml:space="preserve">rozvahovému dni podhodnoceny o 419 178 </w:t>
      </w:r>
      <w:r w:rsidRPr="00017E0A">
        <w:t xml:space="preserve">148 Kč. </w:t>
      </w:r>
    </w:p>
    <w:p w:rsidR="00AC4B8B" w:rsidRPr="00017E0A" w:rsidRDefault="00AC4B8B" w:rsidP="00AC4B8B"/>
    <w:p w:rsidR="00AC4B8B" w:rsidRDefault="00AC4B8B" w:rsidP="00DE46E9">
      <w:pPr>
        <w:ind w:firstLine="0"/>
      </w:pPr>
      <w:r w:rsidRPr="00017E0A">
        <w:t xml:space="preserve">Zároveň ČSSZ postupovala </w:t>
      </w:r>
      <w:r w:rsidR="00F33867">
        <w:t>v </w:t>
      </w:r>
      <w:r w:rsidRPr="00017E0A">
        <w:t xml:space="preserve">rozporu </w:t>
      </w:r>
      <w:r w:rsidR="00F33867">
        <w:t>s </w:t>
      </w:r>
      <w:r w:rsidRPr="00017E0A">
        <w:t>ustano</w:t>
      </w:r>
      <w:r w:rsidR="00637435" w:rsidRPr="00017E0A">
        <w:t>vením zákona č. 218/2000 Sb., o </w:t>
      </w:r>
      <w:r w:rsidRPr="00017E0A">
        <w:t>rozpočtových pravidlech a o změně některých souvisejících zákonů (rozpočtová pravidla), neboť nepřevedla nevyplacené, tj. deponované</w:t>
      </w:r>
      <w:r w:rsidR="00170660">
        <w:t>,</w:t>
      </w:r>
      <w:r w:rsidRPr="00017E0A">
        <w:t xml:space="preserve"> exekuční srážky na účet 2</w:t>
      </w:r>
      <w:r w:rsidRPr="008C07E4">
        <w:t xml:space="preserve">45 – </w:t>
      </w:r>
      <w:r w:rsidR="00D54265" w:rsidRPr="004259B1">
        <w:rPr>
          <w:i/>
        </w:rPr>
        <w:t>Jiné běžné účty</w:t>
      </w:r>
      <w:r w:rsidRPr="008C07E4">
        <w:t>.</w:t>
      </w:r>
    </w:p>
    <w:p w:rsidR="00DE46E9" w:rsidRPr="008C07E4" w:rsidRDefault="00DE46E9" w:rsidP="00DE46E9">
      <w:pPr>
        <w:ind w:firstLine="0"/>
      </w:pPr>
    </w:p>
    <w:p w:rsidR="001A1086" w:rsidRDefault="00B87E1C" w:rsidP="004259B1">
      <w:pPr>
        <w:pStyle w:val="Nadpis4"/>
        <w:numPr>
          <w:ilvl w:val="0"/>
          <w:numId w:val="0"/>
        </w:numPr>
        <w:spacing w:before="0"/>
        <w:rPr>
          <w:sz w:val="22"/>
          <w:szCs w:val="22"/>
        </w:rPr>
      </w:pPr>
      <w:r>
        <w:rPr>
          <w:sz w:val="22"/>
          <w:szCs w:val="22"/>
        </w:rPr>
        <w:t xml:space="preserve">1.2.1.2 </w:t>
      </w:r>
      <w:r w:rsidR="00FD2DFA" w:rsidRPr="00FD2DFA">
        <w:rPr>
          <w:sz w:val="22"/>
          <w:szCs w:val="22"/>
        </w:rPr>
        <w:t>Výkaz zisku a ztráty</w:t>
      </w:r>
    </w:p>
    <w:p w:rsidR="00AC4B8B" w:rsidRDefault="00AC4B8B" w:rsidP="00AC4B8B">
      <w:pPr>
        <w:rPr>
          <w:rFonts w:cs="Arial"/>
          <w:color w:val="000000"/>
          <w:spacing w:val="-2"/>
        </w:rPr>
      </w:pPr>
    </w:p>
    <w:p w:rsidR="00AC4B8B" w:rsidRPr="002B6ECA" w:rsidRDefault="00AC4B8B" w:rsidP="00EF0981">
      <w:pPr>
        <w:ind w:firstLine="0"/>
        <w:rPr>
          <w:rFonts w:cs="Arial"/>
          <w:color w:val="000000"/>
          <w:spacing w:val="-2"/>
        </w:rPr>
      </w:pPr>
      <w:r w:rsidRPr="002B6ECA">
        <w:rPr>
          <w:rFonts w:cs="Arial"/>
          <w:color w:val="000000"/>
          <w:spacing w:val="-2"/>
        </w:rPr>
        <w:t xml:space="preserve">ČSSZ </w:t>
      </w:r>
      <w:r w:rsidR="00F33867">
        <w:rPr>
          <w:rFonts w:cs="Arial"/>
          <w:color w:val="000000"/>
          <w:spacing w:val="-2"/>
        </w:rPr>
        <w:t>v </w:t>
      </w:r>
      <w:r w:rsidRPr="002B6ECA">
        <w:rPr>
          <w:rFonts w:cs="Arial"/>
          <w:color w:val="000000"/>
          <w:spacing w:val="-2"/>
        </w:rPr>
        <w:t xml:space="preserve">roce 2011 postupovala </w:t>
      </w:r>
      <w:r>
        <w:rPr>
          <w:rFonts w:cs="Arial"/>
          <w:color w:val="000000"/>
          <w:spacing w:val="-2"/>
        </w:rPr>
        <w:t>chybně</w:t>
      </w:r>
      <w:r w:rsidRPr="002B6ECA">
        <w:rPr>
          <w:rFonts w:cs="Arial"/>
          <w:color w:val="000000"/>
          <w:spacing w:val="-2"/>
        </w:rPr>
        <w:t xml:space="preserve">, když </w:t>
      </w:r>
      <w:r w:rsidR="00F33867">
        <w:rPr>
          <w:rFonts w:cs="Arial"/>
          <w:color w:val="000000"/>
          <w:spacing w:val="-2"/>
        </w:rPr>
        <w:t>k </w:t>
      </w:r>
      <w:r w:rsidRPr="002B6ECA">
        <w:rPr>
          <w:rFonts w:cs="Arial"/>
          <w:color w:val="000000"/>
          <w:spacing w:val="-2"/>
        </w:rPr>
        <w:t xml:space="preserve">31. </w:t>
      </w:r>
      <w:r w:rsidR="00637435">
        <w:rPr>
          <w:rFonts w:cs="Arial"/>
          <w:color w:val="000000"/>
          <w:spacing w:val="-2"/>
        </w:rPr>
        <w:t>prosinci</w:t>
      </w:r>
      <w:r w:rsidRPr="002B6ECA">
        <w:rPr>
          <w:rFonts w:cs="Arial"/>
          <w:color w:val="000000"/>
          <w:spacing w:val="-2"/>
        </w:rPr>
        <w:t xml:space="preserve"> 2011 vykázala náklady spojené se spotřebou lehkého topného oleje a pohonných hmot na účtu 502 – </w:t>
      </w:r>
      <w:r w:rsidR="00D54265" w:rsidRPr="004259B1">
        <w:rPr>
          <w:rFonts w:cs="Arial"/>
          <w:i/>
          <w:color w:val="000000"/>
          <w:spacing w:val="-2"/>
        </w:rPr>
        <w:t>Spotřeba energie</w:t>
      </w:r>
      <w:r w:rsidRPr="002B6ECA">
        <w:rPr>
          <w:rFonts w:cs="Arial"/>
          <w:color w:val="000000"/>
          <w:spacing w:val="-2"/>
        </w:rPr>
        <w:t xml:space="preserve">, ačkoliv název </w:t>
      </w:r>
      <w:r w:rsidR="00FD2DFA">
        <w:rPr>
          <w:rFonts w:cs="Arial"/>
          <w:color w:val="000000"/>
          <w:spacing w:val="-2"/>
        </w:rPr>
        <w:t>p</w:t>
      </w:r>
      <w:r w:rsidRPr="002B6ECA">
        <w:rPr>
          <w:rFonts w:cs="Arial"/>
          <w:color w:val="000000"/>
          <w:spacing w:val="-2"/>
        </w:rPr>
        <w:t>oložky A.I.2</w:t>
      </w:r>
      <w:r>
        <w:rPr>
          <w:rFonts w:cs="Arial"/>
          <w:color w:val="000000"/>
          <w:spacing w:val="-2"/>
        </w:rPr>
        <w:t xml:space="preserve">. </w:t>
      </w:r>
      <w:r w:rsidR="00D54265" w:rsidRPr="004259B1">
        <w:rPr>
          <w:rFonts w:cs="Arial"/>
          <w:i/>
          <w:color w:val="000000"/>
          <w:spacing w:val="-2"/>
        </w:rPr>
        <w:t>Spotřeba energie</w:t>
      </w:r>
      <w:r w:rsidRPr="002B6ECA">
        <w:rPr>
          <w:rFonts w:cs="Arial"/>
          <w:color w:val="000000"/>
          <w:spacing w:val="-2"/>
        </w:rPr>
        <w:t xml:space="preserve"> ve </w:t>
      </w:r>
      <w:r w:rsidR="00170660">
        <w:rPr>
          <w:rFonts w:cs="Arial"/>
          <w:color w:val="000000"/>
          <w:spacing w:val="-2"/>
        </w:rPr>
        <w:t>v</w:t>
      </w:r>
      <w:r w:rsidRPr="002B6ECA">
        <w:rPr>
          <w:rFonts w:cs="Arial"/>
          <w:color w:val="000000"/>
          <w:spacing w:val="-2"/>
        </w:rPr>
        <w:t xml:space="preserve">ýkazu </w:t>
      </w:r>
      <w:r>
        <w:rPr>
          <w:rFonts w:cs="Arial"/>
          <w:color w:val="000000"/>
          <w:spacing w:val="-2"/>
        </w:rPr>
        <w:t>zisku a ztráty</w:t>
      </w:r>
      <w:r w:rsidRPr="002B6ECA">
        <w:rPr>
          <w:rFonts w:cs="Arial"/>
          <w:color w:val="000000"/>
          <w:spacing w:val="-2"/>
        </w:rPr>
        <w:t xml:space="preserve"> neodpovídal povaze vykázaného účetního případu. </w:t>
      </w:r>
      <w:r w:rsidR="00F33867">
        <w:rPr>
          <w:rFonts w:cs="Arial"/>
          <w:color w:val="000000"/>
          <w:spacing w:val="-2"/>
        </w:rPr>
        <w:t>V </w:t>
      </w:r>
      <w:r w:rsidRPr="002B6ECA">
        <w:rPr>
          <w:rFonts w:cs="Arial"/>
          <w:color w:val="000000"/>
          <w:spacing w:val="-2"/>
        </w:rPr>
        <w:t xml:space="preserve">důsledku </w:t>
      </w:r>
      <w:r w:rsidR="000D53F4">
        <w:rPr>
          <w:rFonts w:cs="Arial"/>
          <w:color w:val="000000"/>
          <w:spacing w:val="-2"/>
        </w:rPr>
        <w:t>toho</w:t>
      </w:r>
      <w:r w:rsidR="00637435">
        <w:rPr>
          <w:rFonts w:cs="Arial"/>
          <w:color w:val="000000"/>
          <w:spacing w:val="-2"/>
        </w:rPr>
        <w:t xml:space="preserve"> ČSSZ ve své ÚZ k </w:t>
      </w:r>
      <w:r w:rsidRPr="002B6ECA">
        <w:rPr>
          <w:rFonts w:cs="Arial"/>
          <w:color w:val="000000"/>
          <w:spacing w:val="-2"/>
        </w:rPr>
        <w:t>31.</w:t>
      </w:r>
      <w:r w:rsidR="00EF0981">
        <w:rPr>
          <w:rFonts w:cs="Arial"/>
          <w:color w:val="000000"/>
          <w:spacing w:val="-2"/>
        </w:rPr>
        <w:t> </w:t>
      </w:r>
      <w:r w:rsidR="00637435">
        <w:rPr>
          <w:rFonts w:cs="Arial"/>
          <w:color w:val="000000"/>
          <w:spacing w:val="-2"/>
        </w:rPr>
        <w:t>prosinci</w:t>
      </w:r>
      <w:r w:rsidRPr="002B6ECA">
        <w:rPr>
          <w:rFonts w:cs="Arial"/>
          <w:color w:val="000000"/>
          <w:spacing w:val="-2"/>
        </w:rPr>
        <w:t xml:space="preserve"> 2011 ve </w:t>
      </w:r>
      <w:r w:rsidR="000D53F4">
        <w:rPr>
          <w:rFonts w:cs="Arial"/>
          <w:color w:val="000000"/>
          <w:spacing w:val="-2"/>
        </w:rPr>
        <w:t>v</w:t>
      </w:r>
      <w:r w:rsidRPr="002B6ECA">
        <w:rPr>
          <w:rFonts w:cs="Arial"/>
          <w:color w:val="000000"/>
          <w:spacing w:val="-2"/>
        </w:rPr>
        <w:t>ýkazu zisku a ztráty:</w:t>
      </w:r>
    </w:p>
    <w:p w:rsidR="001A1086" w:rsidRDefault="00AC4B8B" w:rsidP="004259B1">
      <w:pPr>
        <w:numPr>
          <w:ilvl w:val="0"/>
          <w:numId w:val="11"/>
        </w:numPr>
        <w:ind w:left="284" w:hanging="284"/>
        <w:rPr>
          <w:rFonts w:cs="Arial"/>
          <w:color w:val="000000"/>
          <w:spacing w:val="-2"/>
        </w:rPr>
      </w:pPr>
      <w:r w:rsidRPr="002B6ECA">
        <w:rPr>
          <w:rFonts w:cs="Arial"/>
          <w:color w:val="000000"/>
          <w:spacing w:val="-2"/>
        </w:rPr>
        <w:t xml:space="preserve">nadhodnotila účet 502 – </w:t>
      </w:r>
      <w:r w:rsidR="00D54265" w:rsidRPr="004259B1">
        <w:rPr>
          <w:rFonts w:cs="Arial"/>
          <w:i/>
          <w:color w:val="000000"/>
          <w:spacing w:val="-2"/>
        </w:rPr>
        <w:t>Spotřeba energie</w:t>
      </w:r>
      <w:r w:rsidRPr="002B6ECA">
        <w:rPr>
          <w:rFonts w:cs="Arial"/>
          <w:color w:val="000000"/>
          <w:spacing w:val="-2"/>
        </w:rPr>
        <w:t xml:space="preserve"> o částku </w:t>
      </w:r>
      <w:r w:rsidRPr="00846C70">
        <w:rPr>
          <w:rFonts w:cs="Arial"/>
          <w:b/>
          <w:color w:val="000000"/>
          <w:spacing w:val="-2"/>
        </w:rPr>
        <w:t>14 524 863,37 Kč</w:t>
      </w:r>
      <w:r w:rsidRPr="002B6ECA">
        <w:rPr>
          <w:rFonts w:cs="Arial"/>
          <w:color w:val="000000"/>
          <w:spacing w:val="-2"/>
        </w:rPr>
        <w:t xml:space="preserve"> a</w:t>
      </w:r>
      <w:r>
        <w:rPr>
          <w:rFonts w:cs="Arial"/>
          <w:color w:val="000000"/>
          <w:spacing w:val="-2"/>
        </w:rPr>
        <w:t xml:space="preserve"> o stejnou částku</w:t>
      </w:r>
    </w:p>
    <w:p w:rsidR="001A1086" w:rsidRDefault="00AC4B8B" w:rsidP="004259B1">
      <w:pPr>
        <w:ind w:firstLine="284"/>
        <w:rPr>
          <w:rFonts w:cs="Arial"/>
          <w:color w:val="000000"/>
          <w:spacing w:val="-2"/>
        </w:rPr>
      </w:pPr>
      <w:r w:rsidRPr="002B6ECA">
        <w:rPr>
          <w:rFonts w:cs="Arial"/>
          <w:color w:val="000000"/>
          <w:spacing w:val="-2"/>
        </w:rPr>
        <w:tab/>
      </w:r>
      <w:r>
        <w:rPr>
          <w:rFonts w:cs="Arial"/>
          <w:color w:val="000000"/>
          <w:spacing w:val="-2"/>
        </w:rPr>
        <w:tab/>
      </w:r>
      <w:r w:rsidRPr="002B6ECA">
        <w:rPr>
          <w:rFonts w:cs="Arial"/>
          <w:color w:val="000000"/>
          <w:spacing w:val="-2"/>
        </w:rPr>
        <w:t xml:space="preserve">podhodnotila účet 501 – </w:t>
      </w:r>
      <w:r w:rsidR="00D54265" w:rsidRPr="004259B1">
        <w:rPr>
          <w:rFonts w:cs="Arial"/>
          <w:i/>
          <w:color w:val="000000"/>
          <w:spacing w:val="-2"/>
        </w:rPr>
        <w:t>Spotřeba materiálu</w:t>
      </w:r>
      <w:r w:rsidRPr="002B6ECA">
        <w:rPr>
          <w:rFonts w:cs="Arial"/>
          <w:color w:val="000000"/>
          <w:spacing w:val="-2"/>
        </w:rPr>
        <w:t>.</w:t>
      </w:r>
    </w:p>
    <w:p w:rsidR="00AC4B8B" w:rsidRDefault="00AC4B8B" w:rsidP="00A82868">
      <w:pPr>
        <w:ind w:firstLine="0"/>
        <w:rPr>
          <w:rFonts w:cs="Arial"/>
          <w:color w:val="000000"/>
          <w:spacing w:val="-2"/>
        </w:rPr>
      </w:pPr>
      <w:r w:rsidRPr="002B6ECA">
        <w:rPr>
          <w:rFonts w:cs="Arial"/>
          <w:color w:val="000000"/>
          <w:spacing w:val="-2"/>
        </w:rPr>
        <w:lastRenderedPageBreak/>
        <w:t>Chybné účtování neovlivnilo výši hospodářského výsledku účetní jednotky.</w:t>
      </w:r>
    </w:p>
    <w:p w:rsidR="00AC4B8B" w:rsidRDefault="00AC4B8B" w:rsidP="00AC4B8B">
      <w:pPr>
        <w:rPr>
          <w:rFonts w:cs="Arial"/>
          <w:color w:val="000000"/>
          <w:spacing w:val="-2"/>
        </w:rPr>
      </w:pPr>
    </w:p>
    <w:p w:rsidR="00E222C7" w:rsidRDefault="00F33867" w:rsidP="00EF0981">
      <w:pPr>
        <w:ind w:firstLine="0"/>
      </w:pPr>
      <w:r>
        <w:t>V </w:t>
      </w:r>
      <w:r w:rsidR="00E222C7">
        <w:t>důsledku n</w:t>
      </w:r>
      <w:r w:rsidR="00E222C7" w:rsidRPr="008C07E4">
        <w:t>ezaúčtov</w:t>
      </w:r>
      <w:r w:rsidR="000D53F4">
        <w:t>ání</w:t>
      </w:r>
      <w:r w:rsidR="00E222C7" w:rsidRPr="008C07E4">
        <w:t xml:space="preserve"> předpis</w:t>
      </w:r>
      <w:r w:rsidR="00E222C7">
        <w:t>ů</w:t>
      </w:r>
      <w:r w:rsidR="00E222C7" w:rsidRPr="008C07E4">
        <w:t xml:space="preserve"> nevyplacených, tj. d</w:t>
      </w:r>
      <w:r w:rsidR="00637435">
        <w:t>eponovaných</w:t>
      </w:r>
      <w:r w:rsidR="000D53F4">
        <w:t>,</w:t>
      </w:r>
      <w:r w:rsidR="00637435">
        <w:t xml:space="preserve"> exekučních srážek z </w:t>
      </w:r>
      <w:r w:rsidR="00E222C7" w:rsidRPr="008C07E4">
        <w:t>důchodů povinných osob</w:t>
      </w:r>
      <w:r w:rsidR="00E222C7">
        <w:t xml:space="preserve"> </w:t>
      </w:r>
      <w:r w:rsidR="00E222C7" w:rsidRPr="00EF0981">
        <w:t xml:space="preserve">(viz kapitola </w:t>
      </w:r>
      <w:r w:rsidR="00A935D0">
        <w:t xml:space="preserve">tohoto kontrolního závěru </w:t>
      </w:r>
      <w:r w:rsidR="00EF0981" w:rsidRPr="00EF0981">
        <w:t>1.2.1.1</w:t>
      </w:r>
      <w:r w:rsidR="00E222C7" w:rsidRPr="00EF0981">
        <w:t xml:space="preserve"> </w:t>
      </w:r>
      <w:r w:rsidR="00D54265" w:rsidRPr="00783AE0">
        <w:rPr>
          <w:i/>
        </w:rPr>
        <w:t>Rozvaha</w:t>
      </w:r>
      <w:r w:rsidR="00E222C7" w:rsidRPr="00EF0981">
        <w:t>)</w:t>
      </w:r>
      <w:r w:rsidR="00E77B10">
        <w:t xml:space="preserve"> ČSSZ ve své ÚZ</w:t>
      </w:r>
      <w:r w:rsidR="00E222C7" w:rsidRPr="008C07E4">
        <w:t xml:space="preserve"> </w:t>
      </w:r>
      <w:r w:rsidR="00E77B10">
        <w:t>ovlivnila</w:t>
      </w:r>
      <w:r w:rsidR="00E222C7" w:rsidRPr="008C07E4">
        <w:t xml:space="preserve"> konečný zůstatek účt</w:t>
      </w:r>
      <w:r w:rsidR="00E77B10">
        <w:t>u</w:t>
      </w:r>
      <w:r w:rsidR="00E222C7" w:rsidRPr="008C07E4">
        <w:t xml:space="preserve"> vykázan</w:t>
      </w:r>
      <w:r w:rsidR="00E77B10">
        <w:t>ého</w:t>
      </w:r>
      <w:r w:rsidR="00E222C7" w:rsidRPr="008C07E4">
        <w:t xml:space="preserve"> </w:t>
      </w:r>
      <w:r>
        <w:t>k </w:t>
      </w:r>
      <w:r w:rsidR="00E222C7" w:rsidRPr="008C07E4">
        <w:t xml:space="preserve">31. </w:t>
      </w:r>
      <w:r w:rsidR="00637435">
        <w:t>prosinci</w:t>
      </w:r>
      <w:r w:rsidR="00E222C7" w:rsidRPr="008C07E4">
        <w:t xml:space="preserve"> 2011 ve </w:t>
      </w:r>
      <w:r w:rsidR="00444D20">
        <w:t>v</w:t>
      </w:r>
      <w:r w:rsidR="00E77B10" w:rsidRPr="00E222C7">
        <w:t>ýkazu zisku a</w:t>
      </w:r>
      <w:r w:rsidR="00A82868">
        <w:t> </w:t>
      </w:r>
      <w:r w:rsidR="00E77B10" w:rsidRPr="00E222C7">
        <w:t>ztráty</w:t>
      </w:r>
      <w:r w:rsidR="00E222C7" w:rsidRPr="008C07E4">
        <w:t xml:space="preserve">: </w:t>
      </w:r>
    </w:p>
    <w:p w:rsidR="001A1086" w:rsidRDefault="00E77B10" w:rsidP="00783AE0">
      <w:pPr>
        <w:numPr>
          <w:ilvl w:val="0"/>
          <w:numId w:val="11"/>
        </w:numPr>
        <w:ind w:left="284" w:hanging="284"/>
      </w:pPr>
      <w:r w:rsidRPr="00E77B10">
        <w:t xml:space="preserve">523 – </w:t>
      </w:r>
      <w:r w:rsidR="00D54265" w:rsidRPr="00783AE0">
        <w:rPr>
          <w:i/>
        </w:rPr>
        <w:t>Náklady z dávek sociálního zabezpečení</w:t>
      </w:r>
      <w:r w:rsidRPr="008C07E4">
        <w:t>.</w:t>
      </w:r>
    </w:p>
    <w:p w:rsidR="00E222C7" w:rsidRDefault="00E222C7" w:rsidP="00AC4B8B">
      <w:pPr>
        <w:rPr>
          <w:rFonts w:cs="Arial"/>
          <w:color w:val="000000"/>
          <w:spacing w:val="-2"/>
        </w:rPr>
      </w:pPr>
    </w:p>
    <w:p w:rsidR="00837EBA" w:rsidRPr="00FB557F" w:rsidRDefault="00F33867" w:rsidP="00EF0981">
      <w:pPr>
        <w:ind w:firstLine="0"/>
      </w:pPr>
      <w:r>
        <w:t>V </w:t>
      </w:r>
      <w:r w:rsidR="00837EBA" w:rsidRPr="00837EBA">
        <w:t xml:space="preserve">důsledku </w:t>
      </w:r>
      <w:r w:rsidR="00837EBA" w:rsidRPr="00795FF7">
        <w:t xml:space="preserve">nesprávného </w:t>
      </w:r>
      <w:r w:rsidR="00837EBA" w:rsidRPr="00837EBA">
        <w:t xml:space="preserve">účtování o stravenkách </w:t>
      </w:r>
      <w:r w:rsidR="00837EBA" w:rsidRPr="009876BB">
        <w:t xml:space="preserve">(viz kapitola </w:t>
      </w:r>
      <w:r w:rsidR="00A935D0">
        <w:t xml:space="preserve">tohoto kontrolního závěru </w:t>
      </w:r>
      <w:r w:rsidR="009876BB" w:rsidRPr="009876BB">
        <w:t>1.2.1.1</w:t>
      </w:r>
      <w:r w:rsidR="00837EBA" w:rsidRPr="009876BB">
        <w:t xml:space="preserve"> </w:t>
      </w:r>
      <w:r w:rsidR="00D54265" w:rsidRPr="00783AE0">
        <w:rPr>
          <w:i/>
        </w:rPr>
        <w:t>Rozvaha</w:t>
      </w:r>
      <w:r w:rsidR="00837EBA" w:rsidRPr="009876BB">
        <w:t>)</w:t>
      </w:r>
      <w:r w:rsidR="00837EBA" w:rsidRPr="00837EBA">
        <w:t xml:space="preserve"> ČSSZ ve své ÚZ </w:t>
      </w:r>
      <w:r>
        <w:t>k </w:t>
      </w:r>
      <w:r w:rsidR="00837EBA" w:rsidRPr="00837EBA">
        <w:t xml:space="preserve">31. </w:t>
      </w:r>
      <w:r w:rsidR="00637435">
        <w:t>prosinci</w:t>
      </w:r>
      <w:r w:rsidR="00837EBA" w:rsidRPr="00837EBA">
        <w:t xml:space="preserve"> 2011 ve </w:t>
      </w:r>
      <w:r w:rsidR="000D53F4">
        <w:t>v</w:t>
      </w:r>
      <w:r w:rsidR="00837EBA" w:rsidRPr="00837EBA">
        <w:t>ýkazu zisku a ztráty:</w:t>
      </w:r>
    </w:p>
    <w:p w:rsidR="00837EBA" w:rsidRPr="00837EBA" w:rsidRDefault="00837EBA" w:rsidP="001F5837">
      <w:pPr>
        <w:numPr>
          <w:ilvl w:val="0"/>
          <w:numId w:val="11"/>
        </w:numPr>
        <w:ind w:left="284" w:hanging="284"/>
      </w:pPr>
      <w:r w:rsidRPr="00837EBA">
        <w:t xml:space="preserve">podhodnotila účet 527 – </w:t>
      </w:r>
      <w:r w:rsidR="00D54265" w:rsidRPr="00783AE0">
        <w:rPr>
          <w:i/>
        </w:rPr>
        <w:t>Zákonné sociální náklady</w:t>
      </w:r>
      <w:r w:rsidRPr="00837EBA">
        <w:t xml:space="preserve"> o částku </w:t>
      </w:r>
      <w:r w:rsidRPr="00837EBA">
        <w:rPr>
          <w:b/>
        </w:rPr>
        <w:t>4 661 090 Kč</w:t>
      </w:r>
      <w:r>
        <w:rPr>
          <w:b/>
        </w:rPr>
        <w:t>.</w:t>
      </w:r>
      <w:r w:rsidR="001632CB">
        <w:rPr>
          <w:b/>
        </w:rPr>
        <w:t xml:space="preserve"> </w:t>
      </w:r>
    </w:p>
    <w:p w:rsidR="00837EBA" w:rsidRDefault="00837EBA" w:rsidP="00AC4B8B">
      <w:pPr>
        <w:rPr>
          <w:rFonts w:cs="Arial"/>
          <w:color w:val="000000"/>
          <w:spacing w:val="-2"/>
        </w:rPr>
      </w:pPr>
    </w:p>
    <w:p w:rsidR="00AC4B8B" w:rsidRPr="00DE0366" w:rsidRDefault="00AC4B8B" w:rsidP="009D7AF6">
      <w:pPr>
        <w:ind w:firstLine="0"/>
        <w:rPr>
          <w:rFonts w:cs="Arial"/>
          <w:color w:val="000000"/>
          <w:spacing w:val="-2"/>
        </w:rPr>
      </w:pPr>
      <w:r w:rsidRPr="00AA5BEA">
        <w:rPr>
          <w:rFonts w:cs="Arial"/>
          <w:color w:val="000000"/>
          <w:spacing w:val="-2"/>
        </w:rPr>
        <w:t xml:space="preserve">ČSSZ </w:t>
      </w:r>
      <w:r w:rsidR="00F33867">
        <w:rPr>
          <w:rFonts w:cs="Arial"/>
          <w:color w:val="000000"/>
          <w:spacing w:val="-2"/>
        </w:rPr>
        <w:t>k </w:t>
      </w:r>
      <w:r w:rsidRPr="00AA5BEA">
        <w:rPr>
          <w:rFonts w:cs="Arial"/>
          <w:color w:val="000000"/>
          <w:spacing w:val="-2"/>
        </w:rPr>
        <w:t xml:space="preserve">31. </w:t>
      </w:r>
      <w:r w:rsidR="00637435">
        <w:rPr>
          <w:rFonts w:cs="Arial"/>
          <w:color w:val="000000"/>
          <w:spacing w:val="-2"/>
        </w:rPr>
        <w:t>prosinci</w:t>
      </w:r>
      <w:r w:rsidRPr="00AA5BEA">
        <w:rPr>
          <w:rFonts w:cs="Arial"/>
          <w:color w:val="000000"/>
          <w:spacing w:val="-2"/>
        </w:rPr>
        <w:t xml:space="preserve"> 2011</w:t>
      </w:r>
      <w:r w:rsidRPr="00DE0366">
        <w:rPr>
          <w:rFonts w:cs="Arial"/>
          <w:color w:val="000000"/>
          <w:spacing w:val="-2"/>
        </w:rPr>
        <w:t xml:space="preserve"> </w:t>
      </w:r>
      <w:r>
        <w:rPr>
          <w:rFonts w:cs="Arial"/>
          <w:color w:val="000000"/>
          <w:spacing w:val="-2"/>
        </w:rPr>
        <w:t xml:space="preserve">chybně </w:t>
      </w:r>
      <w:r w:rsidRPr="00DE0366">
        <w:rPr>
          <w:rFonts w:cs="Arial"/>
          <w:color w:val="000000"/>
          <w:spacing w:val="-2"/>
        </w:rPr>
        <w:t xml:space="preserve">vykázala příspěvek zaměstnavatele (bez příspěvku FKSP) na stravenky na účtu 528 – </w:t>
      </w:r>
      <w:r w:rsidR="00D54265" w:rsidRPr="00783AE0">
        <w:rPr>
          <w:rFonts w:cs="Arial"/>
          <w:i/>
          <w:color w:val="000000"/>
          <w:spacing w:val="-2"/>
        </w:rPr>
        <w:t>Jiné sociální náklady</w:t>
      </w:r>
      <w:r w:rsidRPr="00DE0366">
        <w:rPr>
          <w:rFonts w:cs="Arial"/>
          <w:color w:val="000000"/>
          <w:spacing w:val="-2"/>
        </w:rPr>
        <w:t xml:space="preserve">, ačkoliv povaha účetní operace neodpovídala obsahovému vymezení </w:t>
      </w:r>
      <w:r w:rsidR="00FD2DFA">
        <w:rPr>
          <w:rFonts w:cs="Arial"/>
          <w:color w:val="000000"/>
          <w:spacing w:val="-2"/>
        </w:rPr>
        <w:t>p</w:t>
      </w:r>
      <w:r w:rsidRPr="00DE0366">
        <w:rPr>
          <w:rFonts w:cs="Arial"/>
          <w:color w:val="000000"/>
          <w:spacing w:val="-2"/>
        </w:rPr>
        <w:t xml:space="preserve">oložky A.I.14. </w:t>
      </w:r>
      <w:r w:rsidR="00D54265" w:rsidRPr="00783AE0">
        <w:rPr>
          <w:rFonts w:cs="Arial"/>
          <w:i/>
          <w:color w:val="000000"/>
          <w:spacing w:val="-2"/>
        </w:rPr>
        <w:t>Jiné sociální náklady</w:t>
      </w:r>
      <w:r w:rsidRPr="00DE0366">
        <w:rPr>
          <w:rFonts w:cs="Arial"/>
          <w:color w:val="000000"/>
          <w:spacing w:val="-2"/>
        </w:rPr>
        <w:t xml:space="preserve"> ve </w:t>
      </w:r>
      <w:r w:rsidR="000D53F4">
        <w:rPr>
          <w:rFonts w:cs="Arial"/>
          <w:color w:val="000000"/>
          <w:spacing w:val="-2"/>
        </w:rPr>
        <w:t>v</w:t>
      </w:r>
      <w:r w:rsidRPr="00DE0366">
        <w:rPr>
          <w:rFonts w:cs="Arial"/>
          <w:color w:val="000000"/>
          <w:spacing w:val="-2"/>
        </w:rPr>
        <w:t>ýkazu zisku a ztráty</w:t>
      </w:r>
      <w:r>
        <w:rPr>
          <w:rFonts w:cs="Arial"/>
          <w:color w:val="000000"/>
          <w:spacing w:val="-2"/>
        </w:rPr>
        <w:t>.</w:t>
      </w:r>
      <w:r w:rsidR="00637435">
        <w:rPr>
          <w:rFonts w:cs="Arial"/>
          <w:color w:val="000000"/>
          <w:spacing w:val="-2"/>
        </w:rPr>
        <w:t xml:space="preserve"> V </w:t>
      </w:r>
      <w:r w:rsidRPr="00DE0366">
        <w:rPr>
          <w:rFonts w:cs="Arial"/>
          <w:color w:val="000000"/>
          <w:spacing w:val="-2"/>
        </w:rPr>
        <w:t xml:space="preserve">důsledku výše uvedené skutečnosti ČSSZ ve své ÚZ </w:t>
      </w:r>
      <w:r w:rsidR="00F33867">
        <w:rPr>
          <w:rFonts w:cs="Arial"/>
          <w:color w:val="000000"/>
          <w:spacing w:val="-2"/>
        </w:rPr>
        <w:t>k </w:t>
      </w:r>
      <w:r w:rsidRPr="00DE0366">
        <w:rPr>
          <w:rFonts w:cs="Arial"/>
          <w:color w:val="000000"/>
          <w:spacing w:val="-2"/>
        </w:rPr>
        <w:t xml:space="preserve">31. </w:t>
      </w:r>
      <w:r w:rsidR="00637435">
        <w:rPr>
          <w:rFonts w:cs="Arial"/>
          <w:color w:val="000000"/>
          <w:spacing w:val="-2"/>
        </w:rPr>
        <w:t>prosinci</w:t>
      </w:r>
      <w:r w:rsidRPr="00DE0366">
        <w:rPr>
          <w:rFonts w:cs="Arial"/>
          <w:color w:val="000000"/>
          <w:spacing w:val="-2"/>
        </w:rPr>
        <w:t xml:space="preserve"> 2011 ve </w:t>
      </w:r>
      <w:r w:rsidR="000D53F4">
        <w:rPr>
          <w:rFonts w:cs="Arial"/>
          <w:color w:val="000000"/>
          <w:spacing w:val="-2"/>
        </w:rPr>
        <w:t>v</w:t>
      </w:r>
      <w:r w:rsidRPr="00DE0366">
        <w:rPr>
          <w:rFonts w:cs="Arial"/>
          <w:color w:val="000000"/>
          <w:spacing w:val="-2"/>
        </w:rPr>
        <w:t>ýkazu zis</w:t>
      </w:r>
      <w:r w:rsidR="00637435">
        <w:rPr>
          <w:rFonts w:cs="Arial"/>
          <w:color w:val="000000"/>
          <w:spacing w:val="-2"/>
        </w:rPr>
        <w:t>ku a </w:t>
      </w:r>
      <w:r w:rsidRPr="00DE0366">
        <w:rPr>
          <w:rFonts w:cs="Arial"/>
          <w:color w:val="000000"/>
          <w:spacing w:val="-2"/>
        </w:rPr>
        <w:t>ztráty</w:t>
      </w:r>
      <w:r>
        <w:rPr>
          <w:rFonts w:cs="Arial"/>
          <w:color w:val="000000"/>
          <w:spacing w:val="-2"/>
        </w:rPr>
        <w:t>:</w:t>
      </w:r>
      <w:r w:rsidRPr="00DE0366">
        <w:rPr>
          <w:rFonts w:cs="Arial"/>
          <w:color w:val="000000"/>
          <w:spacing w:val="-2"/>
        </w:rPr>
        <w:t xml:space="preserve"> </w:t>
      </w:r>
    </w:p>
    <w:p w:rsidR="001A1086" w:rsidRDefault="00AC4B8B" w:rsidP="00783AE0">
      <w:pPr>
        <w:numPr>
          <w:ilvl w:val="0"/>
          <w:numId w:val="11"/>
        </w:numPr>
        <w:ind w:left="284" w:hanging="284"/>
        <w:rPr>
          <w:rFonts w:cs="Arial"/>
          <w:color w:val="000000"/>
          <w:spacing w:val="-2"/>
        </w:rPr>
      </w:pPr>
      <w:r w:rsidRPr="00DE0366">
        <w:rPr>
          <w:rFonts w:cs="Arial"/>
          <w:color w:val="000000"/>
          <w:spacing w:val="-2"/>
        </w:rPr>
        <w:tab/>
        <w:t xml:space="preserve">nadhodnotila účet 528 – </w:t>
      </w:r>
      <w:r w:rsidR="00D54265" w:rsidRPr="00783AE0">
        <w:rPr>
          <w:rFonts w:cs="Arial"/>
          <w:i/>
          <w:color w:val="000000"/>
          <w:spacing w:val="-2"/>
        </w:rPr>
        <w:t>Jiné sociální náklady</w:t>
      </w:r>
      <w:r w:rsidRPr="00DE0366">
        <w:rPr>
          <w:rFonts w:cs="Arial"/>
          <w:color w:val="000000"/>
          <w:spacing w:val="-2"/>
        </w:rPr>
        <w:t xml:space="preserve"> o částku </w:t>
      </w:r>
      <w:r w:rsidRPr="00846C70">
        <w:rPr>
          <w:rFonts w:cs="Arial"/>
          <w:b/>
          <w:color w:val="000000"/>
          <w:spacing w:val="-2"/>
        </w:rPr>
        <w:t>63 089 425 Kč</w:t>
      </w:r>
      <w:r w:rsidRPr="00DE0366">
        <w:rPr>
          <w:rFonts w:cs="Arial"/>
          <w:color w:val="000000"/>
          <w:spacing w:val="-2"/>
        </w:rPr>
        <w:t xml:space="preserve"> a o stejnou částku podhodnotila účet 527 – </w:t>
      </w:r>
      <w:r w:rsidR="00D54265" w:rsidRPr="00783AE0">
        <w:rPr>
          <w:rFonts w:cs="Arial"/>
          <w:i/>
          <w:color w:val="000000"/>
          <w:spacing w:val="-2"/>
        </w:rPr>
        <w:t>Zákonné sociální náklady</w:t>
      </w:r>
      <w:r w:rsidRPr="00DE0366">
        <w:rPr>
          <w:rFonts w:cs="Arial"/>
          <w:color w:val="000000"/>
          <w:spacing w:val="-2"/>
        </w:rPr>
        <w:t>.</w:t>
      </w:r>
    </w:p>
    <w:p w:rsidR="00AC4B8B" w:rsidRDefault="00AC4B8B" w:rsidP="00AC4B8B">
      <w:pPr>
        <w:rPr>
          <w:rFonts w:cs="Arial"/>
          <w:color w:val="000000"/>
          <w:spacing w:val="-2"/>
        </w:rPr>
      </w:pPr>
    </w:p>
    <w:p w:rsidR="00AC4B8B" w:rsidRDefault="00AC4B8B" w:rsidP="00A82868">
      <w:pPr>
        <w:ind w:firstLine="0"/>
        <w:rPr>
          <w:rFonts w:cs="Arial"/>
          <w:color w:val="000000"/>
          <w:spacing w:val="-2"/>
        </w:rPr>
      </w:pPr>
      <w:r w:rsidRPr="00DE0366">
        <w:rPr>
          <w:rFonts w:cs="Arial"/>
          <w:color w:val="000000"/>
          <w:spacing w:val="-2"/>
        </w:rPr>
        <w:t>Chybné účtování neovlivnilo výši hospodářského výsledku účetní jednotky.</w:t>
      </w:r>
    </w:p>
    <w:p w:rsidR="00846C70" w:rsidRDefault="00846C70" w:rsidP="00AC4B8B">
      <w:pPr>
        <w:rPr>
          <w:rFonts w:cs="Arial"/>
          <w:color w:val="000000"/>
          <w:spacing w:val="-2"/>
        </w:rPr>
      </w:pPr>
    </w:p>
    <w:p w:rsidR="001A1086" w:rsidRDefault="00AC4B8B" w:rsidP="00783AE0">
      <w:pPr>
        <w:ind w:firstLine="0"/>
        <w:rPr>
          <w:rFonts w:cs="Arial"/>
          <w:color w:val="000000"/>
          <w:spacing w:val="-2"/>
        </w:rPr>
      </w:pPr>
      <w:r w:rsidRPr="00ED254D">
        <w:rPr>
          <w:rFonts w:cs="Arial"/>
          <w:color w:val="000000"/>
          <w:spacing w:val="-2"/>
        </w:rPr>
        <w:t xml:space="preserve">ČSSZ </w:t>
      </w:r>
      <w:r w:rsidR="00F33867">
        <w:rPr>
          <w:rFonts w:cs="Arial"/>
          <w:color w:val="000000"/>
          <w:spacing w:val="-2"/>
        </w:rPr>
        <w:t>v </w:t>
      </w:r>
      <w:r w:rsidRPr="00ED254D">
        <w:rPr>
          <w:rFonts w:cs="Arial"/>
          <w:color w:val="000000"/>
          <w:spacing w:val="-2"/>
        </w:rPr>
        <w:t xml:space="preserve">roce 2011 </w:t>
      </w:r>
      <w:r>
        <w:rPr>
          <w:rFonts w:cs="Arial"/>
          <w:color w:val="000000"/>
          <w:spacing w:val="-2"/>
        </w:rPr>
        <w:t xml:space="preserve">nesprávně </w:t>
      </w:r>
      <w:r w:rsidRPr="00ED254D">
        <w:rPr>
          <w:rFonts w:cs="Arial"/>
          <w:color w:val="000000"/>
          <w:spacing w:val="-2"/>
        </w:rPr>
        <w:t xml:space="preserve">účtovala o zůstatkové ceně prodaného pozemku na účtu </w:t>
      </w:r>
      <w:r w:rsidR="000D53F4">
        <w:rPr>
          <w:rFonts w:cs="Arial"/>
          <w:color w:val="000000"/>
          <w:spacing w:val="-2"/>
        </w:rPr>
        <w:br/>
      </w:r>
      <w:r w:rsidRPr="00ED254D">
        <w:rPr>
          <w:rFonts w:cs="Arial"/>
          <w:color w:val="000000"/>
          <w:spacing w:val="-2"/>
        </w:rPr>
        <w:t>553</w:t>
      </w:r>
      <w:r w:rsidR="005E5DF2">
        <w:rPr>
          <w:rFonts w:cs="Arial"/>
          <w:color w:val="000000"/>
          <w:spacing w:val="-2"/>
        </w:rPr>
        <w:t xml:space="preserve"> </w:t>
      </w:r>
      <w:r w:rsidRPr="00ED254D">
        <w:rPr>
          <w:rFonts w:cs="Arial"/>
          <w:color w:val="000000"/>
          <w:spacing w:val="-2"/>
        </w:rPr>
        <w:t>–</w:t>
      </w:r>
      <w:r w:rsidR="005E5DF2">
        <w:rPr>
          <w:rFonts w:cs="Arial"/>
          <w:color w:val="000000"/>
          <w:spacing w:val="-2"/>
        </w:rPr>
        <w:t xml:space="preserve"> </w:t>
      </w:r>
      <w:r w:rsidR="00D54265" w:rsidRPr="00783AE0">
        <w:rPr>
          <w:rFonts w:cs="Arial"/>
          <w:i/>
          <w:color w:val="000000"/>
          <w:spacing w:val="-2"/>
        </w:rPr>
        <w:t>Zůstatková cena prodaného dlouhodobého hmotného majetku</w:t>
      </w:r>
      <w:r w:rsidRPr="00ED254D">
        <w:rPr>
          <w:rFonts w:cs="Arial"/>
          <w:color w:val="000000"/>
          <w:spacing w:val="-2"/>
        </w:rPr>
        <w:t xml:space="preserve">, přestože obsahové vymezení tohoto účtu neodpovídá povaze vykázaného účetního případu. </w:t>
      </w:r>
      <w:r w:rsidR="00F33867">
        <w:rPr>
          <w:rFonts w:cs="Arial"/>
          <w:color w:val="000000"/>
          <w:spacing w:val="-2"/>
        </w:rPr>
        <w:t>V </w:t>
      </w:r>
      <w:r w:rsidRPr="00ED254D">
        <w:rPr>
          <w:rFonts w:cs="Arial"/>
          <w:color w:val="000000"/>
          <w:spacing w:val="-2"/>
        </w:rPr>
        <w:t xml:space="preserve">důsledku výše uvedených skutečností ČSSZ ve své ÚZ </w:t>
      </w:r>
      <w:r w:rsidR="00F33867">
        <w:rPr>
          <w:rFonts w:cs="Arial"/>
          <w:color w:val="000000"/>
          <w:spacing w:val="-2"/>
        </w:rPr>
        <w:t>k </w:t>
      </w:r>
      <w:r w:rsidRPr="00ED254D">
        <w:rPr>
          <w:rFonts w:cs="Arial"/>
          <w:color w:val="000000"/>
          <w:spacing w:val="-2"/>
        </w:rPr>
        <w:t xml:space="preserve">31. </w:t>
      </w:r>
      <w:r w:rsidR="00637435">
        <w:rPr>
          <w:rFonts w:cs="Arial"/>
          <w:color w:val="000000"/>
          <w:spacing w:val="-2"/>
        </w:rPr>
        <w:t>prosinci</w:t>
      </w:r>
      <w:r w:rsidRPr="00ED254D">
        <w:rPr>
          <w:rFonts w:cs="Arial"/>
          <w:color w:val="000000"/>
          <w:spacing w:val="-2"/>
        </w:rPr>
        <w:t xml:space="preserve"> 2011 ve </w:t>
      </w:r>
      <w:r w:rsidR="000D53F4">
        <w:rPr>
          <w:rFonts w:cs="Arial"/>
          <w:color w:val="000000"/>
          <w:spacing w:val="-2"/>
        </w:rPr>
        <w:t>v</w:t>
      </w:r>
      <w:r w:rsidRPr="00ED254D">
        <w:rPr>
          <w:rFonts w:cs="Arial"/>
          <w:color w:val="000000"/>
          <w:spacing w:val="-2"/>
        </w:rPr>
        <w:t>ýkazu zisku a ztráty:</w:t>
      </w:r>
    </w:p>
    <w:p w:rsidR="001A1086" w:rsidRDefault="00AC4B8B" w:rsidP="00783AE0">
      <w:pPr>
        <w:numPr>
          <w:ilvl w:val="0"/>
          <w:numId w:val="11"/>
        </w:numPr>
        <w:ind w:left="284" w:hanging="284"/>
        <w:rPr>
          <w:rFonts w:cs="Arial"/>
          <w:color w:val="000000"/>
          <w:spacing w:val="-2"/>
        </w:rPr>
      </w:pPr>
      <w:r w:rsidRPr="00ED254D">
        <w:rPr>
          <w:rFonts w:cs="Arial"/>
          <w:color w:val="000000"/>
          <w:spacing w:val="-2"/>
        </w:rPr>
        <w:t xml:space="preserve">nadhodnotila účet 553 </w:t>
      </w:r>
      <w:r w:rsidR="000D53F4">
        <w:rPr>
          <w:rFonts w:cs="Arial"/>
          <w:color w:val="000000"/>
          <w:spacing w:val="-2"/>
        </w:rPr>
        <w:t>–</w:t>
      </w:r>
      <w:r w:rsidRPr="00ED254D">
        <w:rPr>
          <w:rFonts w:cs="Arial"/>
          <w:color w:val="000000"/>
          <w:spacing w:val="-2"/>
        </w:rPr>
        <w:t xml:space="preserve"> </w:t>
      </w:r>
      <w:r w:rsidR="00D54265" w:rsidRPr="00783AE0">
        <w:rPr>
          <w:rFonts w:cs="Arial"/>
          <w:i/>
          <w:color w:val="000000"/>
          <w:spacing w:val="-2"/>
        </w:rPr>
        <w:t>Zůstatková cena prodaného dlouhodobého hmotného majetku</w:t>
      </w:r>
      <w:r w:rsidRPr="00ED254D">
        <w:rPr>
          <w:rFonts w:cs="Arial"/>
          <w:color w:val="000000"/>
          <w:spacing w:val="-2"/>
        </w:rPr>
        <w:t xml:space="preserve"> o</w:t>
      </w:r>
      <w:r w:rsidR="000D53F4">
        <w:rPr>
          <w:rFonts w:cs="Arial"/>
          <w:color w:val="000000"/>
          <w:spacing w:val="-2"/>
        </w:rPr>
        <w:t> </w:t>
      </w:r>
      <w:r w:rsidRPr="00ED254D">
        <w:rPr>
          <w:rFonts w:cs="Arial"/>
          <w:color w:val="000000"/>
          <w:spacing w:val="-2"/>
        </w:rPr>
        <w:t xml:space="preserve">částku </w:t>
      </w:r>
      <w:r w:rsidRPr="00846C70">
        <w:rPr>
          <w:rFonts w:cs="Arial"/>
          <w:b/>
          <w:color w:val="000000"/>
          <w:spacing w:val="-2"/>
        </w:rPr>
        <w:t>1</w:t>
      </w:r>
      <w:r w:rsidR="001F5837">
        <w:rPr>
          <w:rFonts w:cs="Arial"/>
          <w:b/>
          <w:color w:val="000000"/>
          <w:spacing w:val="-2"/>
        </w:rPr>
        <w:t> </w:t>
      </w:r>
      <w:r w:rsidRPr="00846C70">
        <w:rPr>
          <w:rFonts w:cs="Arial"/>
          <w:b/>
          <w:color w:val="000000"/>
          <w:spacing w:val="-2"/>
        </w:rPr>
        <w:t>320</w:t>
      </w:r>
      <w:r w:rsidR="001F5837">
        <w:rPr>
          <w:rFonts w:cs="Arial"/>
          <w:b/>
          <w:color w:val="000000"/>
          <w:spacing w:val="-2"/>
        </w:rPr>
        <w:t> </w:t>
      </w:r>
      <w:r w:rsidRPr="00846C70">
        <w:rPr>
          <w:rFonts w:cs="Arial"/>
          <w:b/>
          <w:color w:val="000000"/>
          <w:spacing w:val="-2"/>
        </w:rPr>
        <w:t>000 Kč</w:t>
      </w:r>
      <w:r w:rsidRPr="00ED254D">
        <w:rPr>
          <w:rFonts w:cs="Arial"/>
          <w:color w:val="000000"/>
          <w:spacing w:val="-2"/>
        </w:rPr>
        <w:t xml:space="preserve"> a</w:t>
      </w:r>
      <w:r>
        <w:rPr>
          <w:rFonts w:cs="Arial"/>
          <w:color w:val="000000"/>
          <w:spacing w:val="-2"/>
        </w:rPr>
        <w:t xml:space="preserve"> o stejnou částku </w:t>
      </w:r>
      <w:r w:rsidRPr="00ED254D">
        <w:rPr>
          <w:rFonts w:cs="Arial"/>
          <w:color w:val="000000"/>
          <w:spacing w:val="-2"/>
        </w:rPr>
        <w:t xml:space="preserve">podhodnotila účet 554 – </w:t>
      </w:r>
      <w:r w:rsidR="00D54265" w:rsidRPr="00783AE0">
        <w:rPr>
          <w:rFonts w:cs="Arial"/>
          <w:i/>
          <w:color w:val="000000"/>
          <w:spacing w:val="-2"/>
        </w:rPr>
        <w:t>Prodané pozemky</w:t>
      </w:r>
      <w:r w:rsidRPr="00ED254D">
        <w:rPr>
          <w:rFonts w:cs="Arial"/>
          <w:color w:val="000000"/>
          <w:spacing w:val="-2"/>
        </w:rPr>
        <w:t>.</w:t>
      </w:r>
    </w:p>
    <w:p w:rsidR="00AC4B8B" w:rsidRPr="00ED254D" w:rsidRDefault="00AC4B8B" w:rsidP="00AC4B8B">
      <w:pPr>
        <w:rPr>
          <w:rFonts w:cs="Arial"/>
          <w:color w:val="000000"/>
          <w:spacing w:val="-2"/>
        </w:rPr>
      </w:pPr>
    </w:p>
    <w:p w:rsidR="00AC4B8B" w:rsidRDefault="00AC4B8B" w:rsidP="009D7AF6">
      <w:pPr>
        <w:ind w:firstLine="0"/>
        <w:rPr>
          <w:rFonts w:cs="Arial"/>
          <w:color w:val="000000"/>
          <w:spacing w:val="-2"/>
        </w:rPr>
      </w:pPr>
      <w:r w:rsidRPr="00ED254D">
        <w:rPr>
          <w:rFonts w:cs="Arial"/>
          <w:color w:val="000000"/>
          <w:spacing w:val="-2"/>
        </w:rPr>
        <w:t xml:space="preserve">Přestože nebylo ze strany ČSSZ dodrženo obsahové vymezení </w:t>
      </w:r>
      <w:r w:rsidR="00FD2DFA">
        <w:rPr>
          <w:rFonts w:cs="Arial"/>
          <w:color w:val="000000"/>
          <w:spacing w:val="-2"/>
        </w:rPr>
        <w:t>p</w:t>
      </w:r>
      <w:r w:rsidRPr="00ED254D">
        <w:rPr>
          <w:rFonts w:cs="Arial"/>
          <w:color w:val="000000"/>
          <w:spacing w:val="-2"/>
        </w:rPr>
        <w:t xml:space="preserve">oložky A.I.27. </w:t>
      </w:r>
      <w:r w:rsidR="00D54265" w:rsidRPr="00783AE0">
        <w:rPr>
          <w:rFonts w:cs="Arial"/>
          <w:i/>
          <w:color w:val="000000"/>
          <w:spacing w:val="-2"/>
        </w:rPr>
        <w:t>Zůstatková cena prodaného dlouhodobého hmotného majetku</w:t>
      </w:r>
      <w:r w:rsidRPr="00ED254D">
        <w:rPr>
          <w:rFonts w:cs="Arial"/>
          <w:color w:val="000000"/>
          <w:spacing w:val="-2"/>
        </w:rPr>
        <w:t>, chybné účtování neovlivnilo výši hospodářského výsledku účetní jednotky.</w:t>
      </w:r>
    </w:p>
    <w:p w:rsidR="003B457E" w:rsidRDefault="003B457E" w:rsidP="00AC4B8B">
      <w:pPr>
        <w:rPr>
          <w:rFonts w:cs="Arial"/>
          <w:color w:val="000000"/>
          <w:spacing w:val="-2"/>
        </w:rPr>
      </w:pPr>
    </w:p>
    <w:p w:rsidR="003B457E" w:rsidRPr="00B53086" w:rsidRDefault="003B457E" w:rsidP="009D7AF6">
      <w:pPr>
        <w:ind w:firstLine="0"/>
        <w:rPr>
          <w:rFonts w:cs="Arial"/>
          <w:color w:val="000000"/>
          <w:spacing w:val="-2"/>
        </w:rPr>
      </w:pPr>
      <w:r w:rsidRPr="00B53086">
        <w:rPr>
          <w:rFonts w:cs="Arial"/>
          <w:color w:val="000000"/>
          <w:spacing w:val="-2"/>
        </w:rPr>
        <w:t xml:space="preserve">ČSSZ </w:t>
      </w:r>
      <w:r w:rsidR="00F33867">
        <w:rPr>
          <w:rFonts w:cs="Arial"/>
          <w:color w:val="000000"/>
          <w:spacing w:val="-2"/>
        </w:rPr>
        <w:t>v </w:t>
      </w:r>
      <w:r w:rsidRPr="00B53086">
        <w:rPr>
          <w:rFonts w:cs="Arial"/>
          <w:color w:val="000000"/>
          <w:spacing w:val="-2"/>
        </w:rPr>
        <w:t>roce 2011 účtovala</w:t>
      </w:r>
      <w:r>
        <w:rPr>
          <w:rFonts w:cs="Arial"/>
          <w:color w:val="000000"/>
          <w:spacing w:val="-2"/>
        </w:rPr>
        <w:t xml:space="preserve"> chybně</w:t>
      </w:r>
      <w:r w:rsidRPr="00B53086">
        <w:rPr>
          <w:rFonts w:cs="Arial"/>
          <w:color w:val="000000"/>
          <w:spacing w:val="-2"/>
        </w:rPr>
        <w:t xml:space="preserve"> o pojistném na nemocenské pojištění OSVČ</w:t>
      </w:r>
      <w:r w:rsidR="000D53F4">
        <w:rPr>
          <w:rStyle w:val="Znakapoznpodarou"/>
          <w:rFonts w:cs="Arial"/>
          <w:color w:val="000000"/>
          <w:spacing w:val="-2"/>
        </w:rPr>
        <w:footnoteReference w:id="4"/>
      </w:r>
      <w:r w:rsidRPr="00B53086">
        <w:rPr>
          <w:rFonts w:cs="Arial"/>
          <w:color w:val="000000"/>
          <w:spacing w:val="-2"/>
        </w:rPr>
        <w:t xml:space="preserve"> na stranu </w:t>
      </w:r>
      <w:r w:rsidR="00950A71">
        <w:rPr>
          <w:rFonts w:cs="Arial"/>
          <w:color w:val="000000"/>
          <w:spacing w:val="-2"/>
        </w:rPr>
        <w:t>„m</w:t>
      </w:r>
      <w:r w:rsidRPr="00B53086">
        <w:rPr>
          <w:rFonts w:cs="Arial"/>
          <w:color w:val="000000"/>
          <w:spacing w:val="-2"/>
        </w:rPr>
        <w:t>á dáti</w:t>
      </w:r>
      <w:r w:rsidR="00950A71">
        <w:rPr>
          <w:rFonts w:cs="Arial"/>
          <w:color w:val="000000"/>
          <w:spacing w:val="-2"/>
        </w:rPr>
        <w:t>“</w:t>
      </w:r>
      <w:r w:rsidRPr="00B53086">
        <w:rPr>
          <w:rFonts w:cs="Arial"/>
          <w:color w:val="000000"/>
          <w:spacing w:val="-2"/>
        </w:rPr>
        <w:t xml:space="preserve"> účtu 318 – </w:t>
      </w:r>
      <w:r w:rsidR="00D54265" w:rsidRPr="005916D5">
        <w:rPr>
          <w:rFonts w:cs="Arial"/>
          <w:i/>
          <w:color w:val="000000"/>
          <w:spacing w:val="-2"/>
        </w:rPr>
        <w:t>Pohledávky z titulu daní a obdobných dávek</w:t>
      </w:r>
      <w:r w:rsidRPr="00B53086">
        <w:rPr>
          <w:rFonts w:cs="Arial"/>
          <w:color w:val="000000"/>
          <w:spacing w:val="-2"/>
        </w:rPr>
        <w:t xml:space="preserve"> a na stranu </w:t>
      </w:r>
      <w:r w:rsidR="00950A71">
        <w:rPr>
          <w:rFonts w:cs="Arial"/>
          <w:color w:val="000000"/>
          <w:spacing w:val="-2"/>
        </w:rPr>
        <w:t>„d</w:t>
      </w:r>
      <w:r w:rsidRPr="00B53086">
        <w:rPr>
          <w:rFonts w:cs="Arial"/>
          <w:color w:val="000000"/>
          <w:spacing w:val="-2"/>
        </w:rPr>
        <w:t>al</w:t>
      </w:r>
      <w:r w:rsidR="00950A71">
        <w:rPr>
          <w:rFonts w:cs="Arial"/>
          <w:color w:val="000000"/>
          <w:spacing w:val="-2"/>
        </w:rPr>
        <w:t>“</w:t>
      </w:r>
      <w:r w:rsidRPr="00B53086">
        <w:rPr>
          <w:rFonts w:cs="Arial"/>
          <w:color w:val="000000"/>
          <w:spacing w:val="-2"/>
        </w:rPr>
        <w:t xml:space="preserve"> účtu </w:t>
      </w:r>
      <w:r w:rsidR="00950A71">
        <w:rPr>
          <w:rFonts w:cs="Arial"/>
          <w:color w:val="000000"/>
          <w:spacing w:val="-2"/>
        </w:rPr>
        <w:br/>
      </w:r>
      <w:r w:rsidRPr="00B53086">
        <w:rPr>
          <w:rFonts w:cs="Arial"/>
          <w:color w:val="000000"/>
          <w:spacing w:val="-2"/>
        </w:rPr>
        <w:t xml:space="preserve">633 – </w:t>
      </w:r>
      <w:r w:rsidR="00D54265" w:rsidRPr="005916D5">
        <w:rPr>
          <w:rFonts w:cs="Arial"/>
          <w:i/>
          <w:color w:val="000000"/>
          <w:spacing w:val="-2"/>
        </w:rPr>
        <w:t>Výnosy ze sociálního pojištění</w:t>
      </w:r>
      <w:r w:rsidRPr="00B53086">
        <w:rPr>
          <w:rFonts w:cs="Arial"/>
          <w:color w:val="000000"/>
          <w:spacing w:val="-2"/>
        </w:rPr>
        <w:t xml:space="preserve">, </w:t>
      </w:r>
      <w:r>
        <w:rPr>
          <w:rFonts w:cs="Arial"/>
          <w:color w:val="000000"/>
          <w:spacing w:val="-2"/>
        </w:rPr>
        <w:t xml:space="preserve">ačkoliv je toto pojistné dobrovolné a </w:t>
      </w:r>
      <w:r w:rsidR="00F33867">
        <w:rPr>
          <w:rFonts w:cs="Arial"/>
          <w:color w:val="000000"/>
          <w:spacing w:val="-2"/>
        </w:rPr>
        <w:t>k </w:t>
      </w:r>
      <w:r>
        <w:rPr>
          <w:rFonts w:cs="Arial"/>
          <w:color w:val="000000"/>
          <w:spacing w:val="-2"/>
        </w:rPr>
        <w:t xml:space="preserve">pravomocnému vyměření u něj nedochází. </w:t>
      </w:r>
      <w:r w:rsidR="00F33867">
        <w:rPr>
          <w:rFonts w:cs="Arial"/>
          <w:color w:val="000000"/>
          <w:spacing w:val="-2"/>
        </w:rPr>
        <w:t>V </w:t>
      </w:r>
      <w:r w:rsidRPr="00B53086">
        <w:rPr>
          <w:rFonts w:cs="Arial"/>
          <w:color w:val="000000"/>
          <w:spacing w:val="-2"/>
        </w:rPr>
        <w:t xml:space="preserve">důsledku </w:t>
      </w:r>
      <w:r w:rsidR="00950A71">
        <w:rPr>
          <w:rFonts w:cs="Arial"/>
          <w:color w:val="000000"/>
          <w:spacing w:val="-2"/>
        </w:rPr>
        <w:t>toho</w:t>
      </w:r>
      <w:r w:rsidRPr="00B53086">
        <w:rPr>
          <w:rFonts w:cs="Arial"/>
          <w:color w:val="000000"/>
          <w:spacing w:val="-2"/>
        </w:rPr>
        <w:t xml:space="preserve"> ČSSZ ve své ÚZ </w:t>
      </w:r>
      <w:r w:rsidR="00F33867">
        <w:rPr>
          <w:rFonts w:cs="Arial"/>
          <w:color w:val="000000"/>
          <w:spacing w:val="-2"/>
        </w:rPr>
        <w:t>k </w:t>
      </w:r>
      <w:r w:rsidRPr="00B53086">
        <w:rPr>
          <w:rFonts w:cs="Arial"/>
          <w:color w:val="000000"/>
          <w:spacing w:val="-2"/>
        </w:rPr>
        <w:t xml:space="preserve">31. </w:t>
      </w:r>
      <w:r w:rsidR="00637435">
        <w:rPr>
          <w:rFonts w:cs="Arial"/>
          <w:color w:val="000000"/>
          <w:spacing w:val="-2"/>
        </w:rPr>
        <w:t>prosinci</w:t>
      </w:r>
      <w:r w:rsidRPr="00B53086">
        <w:rPr>
          <w:rFonts w:cs="Arial"/>
          <w:color w:val="000000"/>
          <w:spacing w:val="-2"/>
        </w:rPr>
        <w:t xml:space="preserve"> 2011 ve </w:t>
      </w:r>
      <w:r w:rsidR="00950A71">
        <w:rPr>
          <w:rFonts w:cs="Arial"/>
          <w:color w:val="000000"/>
          <w:spacing w:val="-2"/>
        </w:rPr>
        <w:t>v</w:t>
      </w:r>
      <w:r w:rsidRPr="00B53086">
        <w:rPr>
          <w:rFonts w:cs="Arial"/>
          <w:color w:val="000000"/>
          <w:spacing w:val="-2"/>
        </w:rPr>
        <w:t>ýkazu zisku a ztráty:</w:t>
      </w:r>
    </w:p>
    <w:p w:rsidR="001A1086" w:rsidRDefault="003B457E" w:rsidP="005916D5">
      <w:pPr>
        <w:numPr>
          <w:ilvl w:val="0"/>
          <w:numId w:val="11"/>
        </w:numPr>
        <w:ind w:left="284" w:hanging="284"/>
        <w:rPr>
          <w:rFonts w:cs="Arial"/>
          <w:color w:val="000000"/>
          <w:spacing w:val="-2"/>
        </w:rPr>
      </w:pPr>
      <w:r w:rsidRPr="00B53086">
        <w:rPr>
          <w:rFonts w:cs="Arial"/>
          <w:color w:val="000000"/>
          <w:spacing w:val="-2"/>
        </w:rPr>
        <w:tab/>
        <w:t xml:space="preserve">nadhodnotila účet 633 – </w:t>
      </w:r>
      <w:r w:rsidR="00D54265" w:rsidRPr="005916D5">
        <w:rPr>
          <w:rFonts w:cs="Arial"/>
          <w:i/>
          <w:color w:val="000000"/>
          <w:spacing w:val="-2"/>
        </w:rPr>
        <w:t>Výnosy ze sociálního pojištění</w:t>
      </w:r>
      <w:r w:rsidRPr="00B53086">
        <w:rPr>
          <w:rFonts w:cs="Arial"/>
          <w:color w:val="000000"/>
          <w:spacing w:val="-2"/>
        </w:rPr>
        <w:t xml:space="preserve"> o částku </w:t>
      </w:r>
      <w:r w:rsidRPr="00846C70">
        <w:rPr>
          <w:rFonts w:cs="Arial"/>
          <w:b/>
          <w:color w:val="000000"/>
          <w:spacing w:val="-2"/>
        </w:rPr>
        <w:t>321 379 681,66 Kč</w:t>
      </w:r>
      <w:r w:rsidR="00637435">
        <w:rPr>
          <w:rFonts w:cs="Arial"/>
          <w:color w:val="000000"/>
          <w:spacing w:val="-2"/>
        </w:rPr>
        <w:t xml:space="preserve"> a </w:t>
      </w:r>
      <w:r w:rsidRPr="00B53086">
        <w:rPr>
          <w:rFonts w:cs="Arial"/>
          <w:color w:val="000000"/>
          <w:spacing w:val="-2"/>
        </w:rPr>
        <w:t xml:space="preserve">podhodnotila účet 649 – </w:t>
      </w:r>
      <w:r w:rsidR="00D54265" w:rsidRPr="005916D5">
        <w:rPr>
          <w:rFonts w:cs="Arial"/>
          <w:i/>
          <w:color w:val="000000"/>
          <w:spacing w:val="-2"/>
        </w:rPr>
        <w:t>Ostatní výnosy z činnosti</w:t>
      </w:r>
      <w:r w:rsidRPr="00B53086">
        <w:rPr>
          <w:rFonts w:cs="Arial"/>
          <w:color w:val="000000"/>
          <w:spacing w:val="-2"/>
        </w:rPr>
        <w:t xml:space="preserve"> o stejnou částku.</w:t>
      </w:r>
    </w:p>
    <w:p w:rsidR="003B457E" w:rsidRPr="00B53086" w:rsidRDefault="003B457E" w:rsidP="003B457E">
      <w:pPr>
        <w:rPr>
          <w:rFonts w:cs="Arial"/>
          <w:color w:val="000000"/>
          <w:spacing w:val="-2"/>
        </w:rPr>
      </w:pPr>
    </w:p>
    <w:p w:rsidR="003B457E" w:rsidRDefault="003B457E" w:rsidP="0001486F">
      <w:pPr>
        <w:ind w:firstLine="0"/>
        <w:rPr>
          <w:rFonts w:cs="Arial"/>
          <w:color w:val="000000"/>
          <w:spacing w:val="-2"/>
        </w:rPr>
      </w:pPr>
      <w:r w:rsidRPr="004B43E8">
        <w:rPr>
          <w:rFonts w:cs="Arial"/>
          <w:color w:val="000000"/>
          <w:spacing w:val="-2"/>
        </w:rPr>
        <w:t>Přestože nebylo</w:t>
      </w:r>
      <w:r w:rsidRPr="00B53086">
        <w:rPr>
          <w:rFonts w:cs="Arial"/>
          <w:color w:val="000000"/>
          <w:spacing w:val="-2"/>
        </w:rPr>
        <w:t xml:space="preserve"> ze strany ČSSZ dodrženo obsahové vymezení </w:t>
      </w:r>
      <w:r w:rsidR="00FD2DFA">
        <w:rPr>
          <w:rFonts w:cs="Arial"/>
          <w:color w:val="000000"/>
          <w:spacing w:val="-2"/>
        </w:rPr>
        <w:t>p</w:t>
      </w:r>
      <w:r w:rsidR="00637435">
        <w:rPr>
          <w:rFonts w:cs="Arial"/>
          <w:color w:val="000000"/>
          <w:spacing w:val="-2"/>
        </w:rPr>
        <w:t xml:space="preserve">oložky </w:t>
      </w:r>
      <w:r w:rsidRPr="00B53086">
        <w:rPr>
          <w:rFonts w:cs="Arial"/>
          <w:color w:val="000000"/>
          <w:spacing w:val="-2"/>
        </w:rPr>
        <w:t xml:space="preserve">B.III.3. </w:t>
      </w:r>
      <w:r w:rsidR="00D54265" w:rsidRPr="00102A96">
        <w:rPr>
          <w:rFonts w:cs="Arial"/>
          <w:i/>
          <w:color w:val="000000"/>
          <w:spacing w:val="-2"/>
        </w:rPr>
        <w:t>Výnosy ze sociálního pojištění</w:t>
      </w:r>
      <w:r w:rsidRPr="00B53086">
        <w:rPr>
          <w:rFonts w:cs="Arial"/>
          <w:color w:val="000000"/>
          <w:spacing w:val="-2"/>
        </w:rPr>
        <w:t>, chybné účtování neovlivnilo výši hospodářského výsledku účetní jednotky.</w:t>
      </w:r>
    </w:p>
    <w:p w:rsidR="003B457E" w:rsidRDefault="003B457E" w:rsidP="003B457E">
      <w:pPr>
        <w:rPr>
          <w:rFonts w:cs="Arial"/>
          <w:color w:val="000000"/>
          <w:spacing w:val="-2"/>
        </w:rPr>
      </w:pPr>
    </w:p>
    <w:p w:rsidR="003353F3" w:rsidRDefault="003353F3" w:rsidP="0001486F">
      <w:pPr>
        <w:ind w:firstLine="0"/>
        <w:rPr>
          <w:rFonts w:cs="Arial"/>
          <w:color w:val="000000"/>
          <w:spacing w:val="-2"/>
        </w:rPr>
      </w:pPr>
      <w:r w:rsidRPr="00315FB5">
        <w:rPr>
          <w:rFonts w:cs="Arial"/>
          <w:color w:val="000000"/>
          <w:spacing w:val="-2"/>
        </w:rPr>
        <w:t>Vlivem nesprávného účtování o</w:t>
      </w:r>
      <w:r w:rsidRPr="003E1DC4">
        <w:rPr>
          <w:rFonts w:cs="Arial"/>
          <w:color w:val="000000"/>
          <w:spacing w:val="-2"/>
        </w:rPr>
        <w:t xml:space="preserve"> penále </w:t>
      </w:r>
      <w:r w:rsidR="00F33867">
        <w:rPr>
          <w:rFonts w:cs="Arial"/>
          <w:color w:val="000000"/>
          <w:spacing w:val="-2"/>
        </w:rPr>
        <w:t>z </w:t>
      </w:r>
      <w:r w:rsidRPr="003E1DC4">
        <w:rPr>
          <w:rFonts w:cs="Arial"/>
          <w:color w:val="000000"/>
          <w:spacing w:val="-2"/>
        </w:rPr>
        <w:t xml:space="preserve">pojistného vůči zaměstnavatelům na účtu pohledávek a </w:t>
      </w:r>
      <w:r w:rsidRPr="0001486F">
        <w:rPr>
          <w:rFonts w:cs="Arial"/>
          <w:color w:val="000000"/>
          <w:spacing w:val="-2"/>
        </w:rPr>
        <w:t>výnosů</w:t>
      </w:r>
      <w:r w:rsidR="00315FB5" w:rsidRPr="0001486F">
        <w:rPr>
          <w:rFonts w:cs="Arial"/>
          <w:color w:val="000000"/>
          <w:spacing w:val="-2"/>
        </w:rPr>
        <w:t xml:space="preserve"> (viz kapitola </w:t>
      </w:r>
      <w:r w:rsidR="00AA5BEA">
        <w:rPr>
          <w:rFonts w:cs="Arial"/>
          <w:color w:val="000000"/>
          <w:spacing w:val="-2"/>
        </w:rPr>
        <w:t xml:space="preserve">tohoto kontrolního závěru </w:t>
      </w:r>
      <w:r w:rsidR="0001486F" w:rsidRPr="0001486F">
        <w:rPr>
          <w:rFonts w:cs="Arial"/>
          <w:color w:val="000000"/>
          <w:spacing w:val="-2"/>
        </w:rPr>
        <w:t>1.2.1.1</w:t>
      </w:r>
      <w:r w:rsidR="00315FB5" w:rsidRPr="0001486F">
        <w:rPr>
          <w:rFonts w:cs="Arial"/>
          <w:color w:val="000000"/>
          <w:spacing w:val="-2"/>
        </w:rPr>
        <w:t xml:space="preserve"> </w:t>
      </w:r>
      <w:r w:rsidR="00D54265" w:rsidRPr="00102A96">
        <w:rPr>
          <w:rFonts w:cs="Arial"/>
          <w:i/>
          <w:color w:val="000000"/>
          <w:spacing w:val="-2"/>
        </w:rPr>
        <w:t>Rozvaha</w:t>
      </w:r>
      <w:r w:rsidR="00315FB5" w:rsidRPr="0001486F">
        <w:rPr>
          <w:rFonts w:cs="Arial"/>
          <w:color w:val="000000"/>
          <w:spacing w:val="-2"/>
        </w:rPr>
        <w:t>)</w:t>
      </w:r>
      <w:r w:rsidRPr="0001486F">
        <w:rPr>
          <w:rFonts w:cs="Arial"/>
          <w:color w:val="000000"/>
          <w:spacing w:val="-2"/>
        </w:rPr>
        <w:t xml:space="preserve"> již</w:t>
      </w:r>
      <w:r w:rsidRPr="003E1DC4">
        <w:rPr>
          <w:rFonts w:cs="Arial"/>
          <w:color w:val="000000"/>
          <w:spacing w:val="-2"/>
        </w:rPr>
        <w:t xml:space="preserve"> </w:t>
      </w:r>
      <w:r w:rsidR="00F33867">
        <w:rPr>
          <w:rFonts w:cs="Arial"/>
          <w:color w:val="000000"/>
          <w:spacing w:val="-2"/>
        </w:rPr>
        <w:t>v </w:t>
      </w:r>
      <w:r w:rsidRPr="003E1DC4">
        <w:rPr>
          <w:rFonts w:cs="Arial"/>
          <w:color w:val="000000"/>
          <w:spacing w:val="-2"/>
        </w:rPr>
        <w:t xml:space="preserve">okamžiku vyhodnocení konta plátce pojistného, </w:t>
      </w:r>
      <w:r w:rsidR="00950A71">
        <w:rPr>
          <w:rFonts w:cs="Arial"/>
          <w:color w:val="000000"/>
          <w:spacing w:val="-2"/>
        </w:rPr>
        <w:t xml:space="preserve">a </w:t>
      </w:r>
      <w:r w:rsidRPr="003E1DC4">
        <w:rPr>
          <w:rFonts w:cs="Arial"/>
          <w:color w:val="000000"/>
          <w:spacing w:val="-2"/>
        </w:rPr>
        <w:t>nikoli</w:t>
      </w:r>
      <w:r w:rsidR="00F33867">
        <w:rPr>
          <w:rFonts w:cs="Arial"/>
          <w:color w:val="000000"/>
          <w:spacing w:val="-2"/>
        </w:rPr>
        <w:t xml:space="preserve">v </w:t>
      </w:r>
      <w:r w:rsidRPr="003E1DC4">
        <w:rPr>
          <w:rFonts w:cs="Arial"/>
          <w:color w:val="000000"/>
          <w:spacing w:val="-2"/>
        </w:rPr>
        <w:t>až okamžikem pravomocného vyměření výkazem nedoplatků či platebním výměrem</w:t>
      </w:r>
      <w:r>
        <w:rPr>
          <w:rFonts w:cs="Arial"/>
          <w:color w:val="000000"/>
          <w:spacing w:val="-2"/>
        </w:rPr>
        <w:t xml:space="preserve"> </w:t>
      </w:r>
      <w:r w:rsidR="00950A71" w:rsidRPr="00455AD5">
        <w:rPr>
          <w:rFonts w:cs="Arial"/>
          <w:color w:val="000000"/>
          <w:spacing w:val="-2"/>
        </w:rPr>
        <w:t xml:space="preserve">nadhodnotila </w:t>
      </w:r>
      <w:r w:rsidRPr="003E1DC4">
        <w:rPr>
          <w:rFonts w:cs="Arial"/>
          <w:color w:val="000000"/>
          <w:spacing w:val="-2"/>
        </w:rPr>
        <w:t xml:space="preserve">ČSSZ ve své ÚZ </w:t>
      </w:r>
      <w:r w:rsidR="00F33867">
        <w:rPr>
          <w:rFonts w:cs="Arial"/>
          <w:color w:val="000000"/>
          <w:spacing w:val="-2"/>
        </w:rPr>
        <w:t>k </w:t>
      </w:r>
      <w:r w:rsidRPr="003E1DC4">
        <w:rPr>
          <w:rFonts w:cs="Arial"/>
          <w:color w:val="000000"/>
          <w:spacing w:val="-2"/>
        </w:rPr>
        <w:t xml:space="preserve">31. </w:t>
      </w:r>
      <w:r w:rsidR="00637435">
        <w:rPr>
          <w:rFonts w:cs="Arial"/>
          <w:color w:val="000000"/>
          <w:spacing w:val="-2"/>
        </w:rPr>
        <w:t>prosinci</w:t>
      </w:r>
      <w:r w:rsidRPr="003E1DC4">
        <w:rPr>
          <w:rFonts w:cs="Arial"/>
          <w:color w:val="000000"/>
          <w:spacing w:val="-2"/>
        </w:rPr>
        <w:t xml:space="preserve"> 2011 ve </w:t>
      </w:r>
      <w:r w:rsidR="00950A71">
        <w:rPr>
          <w:rFonts w:cs="Arial"/>
          <w:color w:val="000000"/>
          <w:spacing w:val="-2"/>
        </w:rPr>
        <w:t>v</w:t>
      </w:r>
      <w:r>
        <w:rPr>
          <w:rFonts w:cs="Arial"/>
          <w:color w:val="000000"/>
          <w:spacing w:val="-2"/>
        </w:rPr>
        <w:t>ýkazu zisku a</w:t>
      </w:r>
      <w:r w:rsidR="00950A71">
        <w:rPr>
          <w:rFonts w:cs="Arial"/>
          <w:color w:val="000000"/>
          <w:spacing w:val="-2"/>
        </w:rPr>
        <w:t> </w:t>
      </w:r>
      <w:r>
        <w:rPr>
          <w:rFonts w:cs="Arial"/>
          <w:color w:val="000000"/>
          <w:spacing w:val="-2"/>
        </w:rPr>
        <w:t>ztráty</w:t>
      </w:r>
      <w:r w:rsidRPr="003E1DC4">
        <w:rPr>
          <w:rFonts w:cs="Arial"/>
          <w:color w:val="000000"/>
          <w:spacing w:val="-2"/>
        </w:rPr>
        <w:t>:</w:t>
      </w:r>
    </w:p>
    <w:p w:rsidR="001A1086" w:rsidRDefault="003353F3" w:rsidP="00102A96">
      <w:pPr>
        <w:numPr>
          <w:ilvl w:val="0"/>
          <w:numId w:val="11"/>
        </w:numPr>
        <w:ind w:left="284" w:hanging="284"/>
        <w:rPr>
          <w:rFonts w:cs="Arial"/>
          <w:color w:val="000000"/>
          <w:spacing w:val="-2"/>
        </w:rPr>
      </w:pPr>
      <w:r w:rsidRPr="00455AD5">
        <w:rPr>
          <w:rFonts w:cs="Arial"/>
          <w:color w:val="000000"/>
          <w:spacing w:val="-2"/>
        </w:rPr>
        <w:t xml:space="preserve">účet 633 – </w:t>
      </w:r>
      <w:r w:rsidR="00D54265" w:rsidRPr="00102A96">
        <w:rPr>
          <w:rFonts w:cs="Arial"/>
          <w:i/>
          <w:color w:val="000000"/>
          <w:spacing w:val="-2"/>
        </w:rPr>
        <w:t xml:space="preserve">Výnosy ze sociálního pojištění </w:t>
      </w:r>
      <w:r w:rsidRPr="00455AD5">
        <w:rPr>
          <w:rFonts w:cs="Arial"/>
          <w:color w:val="000000"/>
          <w:spacing w:val="-2"/>
        </w:rPr>
        <w:t xml:space="preserve">o částku </w:t>
      </w:r>
      <w:r w:rsidRPr="00455AD5">
        <w:rPr>
          <w:rFonts w:cs="Arial"/>
          <w:b/>
          <w:color w:val="000000"/>
          <w:spacing w:val="-2"/>
        </w:rPr>
        <w:t>118 808 539,20 Kč</w:t>
      </w:r>
      <w:r w:rsidR="00D54265" w:rsidRPr="00102A96">
        <w:rPr>
          <w:rFonts w:cs="Arial"/>
          <w:b/>
          <w:color w:val="000000"/>
          <w:spacing w:val="-2"/>
        </w:rPr>
        <w:t>.</w:t>
      </w:r>
    </w:p>
    <w:p w:rsidR="003B457E" w:rsidRDefault="003B457E" w:rsidP="003B457E">
      <w:pPr>
        <w:rPr>
          <w:rFonts w:cs="Arial"/>
          <w:color w:val="000000"/>
          <w:spacing w:val="-2"/>
        </w:rPr>
      </w:pPr>
    </w:p>
    <w:p w:rsidR="003B457E" w:rsidRPr="00EB0C31" w:rsidRDefault="003B457E" w:rsidP="0001486F">
      <w:pPr>
        <w:tabs>
          <w:tab w:val="left" w:pos="284"/>
        </w:tabs>
        <w:ind w:firstLine="0"/>
        <w:rPr>
          <w:rFonts w:cs="Arial"/>
          <w:color w:val="000000"/>
          <w:spacing w:val="-2"/>
        </w:rPr>
      </w:pPr>
      <w:r w:rsidRPr="00017E0A">
        <w:rPr>
          <w:rFonts w:cs="Arial"/>
          <w:color w:val="000000"/>
          <w:spacing w:val="-2"/>
        </w:rPr>
        <w:t xml:space="preserve">ČSSZ </w:t>
      </w:r>
      <w:r w:rsidR="00F33867">
        <w:rPr>
          <w:rFonts w:cs="Arial"/>
          <w:color w:val="000000"/>
          <w:spacing w:val="-2"/>
        </w:rPr>
        <w:t>v </w:t>
      </w:r>
      <w:r w:rsidRPr="00017E0A">
        <w:rPr>
          <w:rFonts w:cs="Arial"/>
          <w:color w:val="000000"/>
          <w:spacing w:val="-2"/>
        </w:rPr>
        <w:t>roce 2011</w:t>
      </w:r>
      <w:r w:rsidRPr="00017E0A">
        <w:t xml:space="preserve"> </w:t>
      </w:r>
      <w:r w:rsidR="00F33867">
        <w:rPr>
          <w:rFonts w:cs="Arial"/>
          <w:color w:val="000000"/>
          <w:spacing w:val="-2"/>
        </w:rPr>
        <w:t>v </w:t>
      </w:r>
      <w:r w:rsidRPr="00017E0A">
        <w:rPr>
          <w:rFonts w:cs="Arial"/>
          <w:color w:val="000000"/>
          <w:spacing w:val="-2"/>
        </w:rPr>
        <w:t xml:space="preserve">souvislosti </w:t>
      </w:r>
      <w:r w:rsidR="00F33867">
        <w:rPr>
          <w:rFonts w:cs="Arial"/>
          <w:color w:val="000000"/>
          <w:spacing w:val="-2"/>
        </w:rPr>
        <w:t>s </w:t>
      </w:r>
      <w:r w:rsidRPr="00017E0A">
        <w:rPr>
          <w:rFonts w:cs="Arial"/>
          <w:color w:val="000000"/>
          <w:spacing w:val="-2"/>
        </w:rPr>
        <w:t xml:space="preserve">tzv. </w:t>
      </w:r>
      <w:proofErr w:type="spellStart"/>
      <w:r w:rsidRPr="00017E0A">
        <w:rPr>
          <w:rFonts w:cs="Arial"/>
          <w:color w:val="000000"/>
          <w:spacing w:val="-2"/>
        </w:rPr>
        <w:t>zdobytněním</w:t>
      </w:r>
      <w:proofErr w:type="spellEnd"/>
      <w:r w:rsidRPr="00017E0A">
        <w:rPr>
          <w:rFonts w:cs="Arial"/>
          <w:color w:val="000000"/>
          <w:spacing w:val="-2"/>
        </w:rPr>
        <w:t xml:space="preserve"> pohledávek účtovala chybně </w:t>
      </w:r>
      <w:r w:rsidR="00637435" w:rsidRPr="00017E0A">
        <w:rPr>
          <w:rFonts w:cs="Arial"/>
          <w:color w:val="000000"/>
          <w:spacing w:val="-2"/>
        </w:rPr>
        <w:t xml:space="preserve">o převodu </w:t>
      </w:r>
      <w:r w:rsidR="00F33867">
        <w:rPr>
          <w:rFonts w:cs="Arial"/>
          <w:color w:val="000000"/>
          <w:spacing w:val="-2"/>
        </w:rPr>
        <w:t>v </w:t>
      </w:r>
      <w:r w:rsidRPr="00017E0A">
        <w:rPr>
          <w:rFonts w:cs="Arial"/>
          <w:color w:val="000000"/>
          <w:spacing w:val="-2"/>
        </w:rPr>
        <w:t>minulosti přijatých úhrad na nedobytné pohledávky snížení</w:t>
      </w:r>
      <w:r w:rsidR="00637435" w:rsidRPr="00017E0A">
        <w:rPr>
          <w:rFonts w:cs="Arial"/>
          <w:color w:val="000000"/>
          <w:spacing w:val="-2"/>
        </w:rPr>
        <w:t xml:space="preserve">m výnosů na účtu 643 – </w:t>
      </w:r>
      <w:r w:rsidR="00D54265" w:rsidRPr="00102A96">
        <w:rPr>
          <w:rFonts w:cs="Arial"/>
          <w:i/>
          <w:color w:val="000000"/>
          <w:spacing w:val="-2"/>
        </w:rPr>
        <w:t xml:space="preserve">Výnosy </w:t>
      </w:r>
      <w:r w:rsidR="00D54265" w:rsidRPr="00102A96">
        <w:rPr>
          <w:rFonts w:cs="Arial"/>
          <w:i/>
          <w:color w:val="000000"/>
          <w:spacing w:val="-2"/>
        </w:rPr>
        <w:lastRenderedPageBreak/>
        <w:t>z odepsaných pohledávek</w:t>
      </w:r>
      <w:r w:rsidRPr="00017E0A">
        <w:rPr>
          <w:rFonts w:cs="Arial"/>
          <w:color w:val="000000"/>
          <w:spacing w:val="-2"/>
        </w:rPr>
        <w:t xml:space="preserve"> a zvýš</w:t>
      </w:r>
      <w:r w:rsidRPr="00EB0C31">
        <w:rPr>
          <w:rFonts w:cs="Arial"/>
          <w:color w:val="000000"/>
          <w:spacing w:val="-2"/>
        </w:rPr>
        <w:t xml:space="preserve">ením výnosů na účtu 633 – </w:t>
      </w:r>
      <w:r w:rsidR="00D54265" w:rsidRPr="00102A96">
        <w:rPr>
          <w:rFonts w:cs="Arial"/>
          <w:i/>
          <w:color w:val="000000"/>
          <w:spacing w:val="-2"/>
        </w:rPr>
        <w:t>Výnosy ze sociálního pojištění</w:t>
      </w:r>
      <w:r w:rsidRPr="00EB0C31">
        <w:rPr>
          <w:rFonts w:cs="Arial"/>
          <w:color w:val="000000"/>
          <w:spacing w:val="-2"/>
        </w:rPr>
        <w:t>, přestože obsahové vymezení tohoto účtu neodpovídá povaz</w:t>
      </w:r>
      <w:r>
        <w:rPr>
          <w:rFonts w:cs="Arial"/>
          <w:color w:val="000000"/>
          <w:spacing w:val="-2"/>
        </w:rPr>
        <w:t xml:space="preserve">e vykázaného účetního případu. </w:t>
      </w:r>
      <w:r w:rsidR="00F33867">
        <w:rPr>
          <w:rFonts w:cs="Arial"/>
          <w:color w:val="000000"/>
          <w:spacing w:val="-2"/>
        </w:rPr>
        <w:t>V </w:t>
      </w:r>
      <w:r w:rsidRPr="00EB0C31">
        <w:rPr>
          <w:rFonts w:cs="Arial"/>
          <w:color w:val="000000"/>
          <w:spacing w:val="-2"/>
        </w:rPr>
        <w:t xml:space="preserve">důsledku </w:t>
      </w:r>
      <w:r>
        <w:rPr>
          <w:rFonts w:cs="Arial"/>
          <w:color w:val="000000"/>
          <w:spacing w:val="-2"/>
        </w:rPr>
        <w:t>těchto</w:t>
      </w:r>
      <w:r w:rsidRPr="00EB0C31">
        <w:rPr>
          <w:rFonts w:cs="Arial"/>
          <w:color w:val="000000"/>
          <w:spacing w:val="-2"/>
        </w:rPr>
        <w:t xml:space="preserve"> skutečností ČSSZ ve své ÚZ </w:t>
      </w:r>
      <w:r w:rsidR="00F33867">
        <w:rPr>
          <w:rFonts w:cs="Arial"/>
          <w:color w:val="000000"/>
          <w:spacing w:val="-2"/>
        </w:rPr>
        <w:t>k </w:t>
      </w:r>
      <w:r w:rsidRPr="00EB0C31">
        <w:rPr>
          <w:rFonts w:cs="Arial"/>
          <w:color w:val="000000"/>
          <w:spacing w:val="-2"/>
        </w:rPr>
        <w:t xml:space="preserve">31. </w:t>
      </w:r>
      <w:r w:rsidR="00637435">
        <w:rPr>
          <w:rFonts w:cs="Arial"/>
          <w:color w:val="000000"/>
          <w:spacing w:val="-2"/>
        </w:rPr>
        <w:t>prosinci</w:t>
      </w:r>
      <w:r w:rsidRPr="00EB0C31">
        <w:rPr>
          <w:rFonts w:cs="Arial"/>
          <w:color w:val="000000"/>
          <w:spacing w:val="-2"/>
        </w:rPr>
        <w:t xml:space="preserve"> 2011 ve </w:t>
      </w:r>
      <w:r w:rsidR="00950A71">
        <w:rPr>
          <w:rFonts w:cs="Arial"/>
          <w:color w:val="000000"/>
          <w:spacing w:val="-2"/>
        </w:rPr>
        <w:t>v</w:t>
      </w:r>
      <w:r w:rsidRPr="00EB0C31">
        <w:rPr>
          <w:rFonts w:cs="Arial"/>
          <w:color w:val="000000"/>
          <w:spacing w:val="-2"/>
        </w:rPr>
        <w:t>ýkazu zisku a ztráty:</w:t>
      </w:r>
    </w:p>
    <w:p w:rsidR="001A1086" w:rsidRDefault="003B457E" w:rsidP="00102A96">
      <w:pPr>
        <w:numPr>
          <w:ilvl w:val="0"/>
          <w:numId w:val="11"/>
        </w:numPr>
        <w:ind w:left="284" w:hanging="284"/>
        <w:rPr>
          <w:rFonts w:cs="Arial"/>
          <w:color w:val="000000"/>
          <w:spacing w:val="-2"/>
        </w:rPr>
      </w:pPr>
      <w:r w:rsidRPr="00EB0C31">
        <w:rPr>
          <w:rFonts w:cs="Arial"/>
          <w:color w:val="000000"/>
          <w:spacing w:val="-2"/>
        </w:rPr>
        <w:tab/>
        <w:t xml:space="preserve">podhodnotila účet 643 – </w:t>
      </w:r>
      <w:r w:rsidR="00D54265" w:rsidRPr="00102A96">
        <w:rPr>
          <w:rFonts w:cs="Arial"/>
          <w:i/>
          <w:color w:val="000000"/>
          <w:spacing w:val="-2"/>
        </w:rPr>
        <w:t>Výnosy z odepsaných pohledávek</w:t>
      </w:r>
      <w:r w:rsidRPr="00EB0C31">
        <w:rPr>
          <w:rFonts w:cs="Arial"/>
          <w:color w:val="000000"/>
          <w:spacing w:val="-2"/>
        </w:rPr>
        <w:t xml:space="preserve"> o částku </w:t>
      </w:r>
      <w:r w:rsidRPr="00846C70">
        <w:rPr>
          <w:rFonts w:cs="Arial"/>
          <w:b/>
          <w:color w:val="000000"/>
          <w:spacing w:val="-2"/>
        </w:rPr>
        <w:t>932 648,88 Kč</w:t>
      </w:r>
      <w:r w:rsidRPr="00EB0C31">
        <w:rPr>
          <w:rFonts w:cs="Arial"/>
          <w:color w:val="000000"/>
          <w:spacing w:val="-2"/>
        </w:rPr>
        <w:t xml:space="preserve"> a</w:t>
      </w:r>
      <w:r w:rsidR="00A82868">
        <w:rPr>
          <w:rFonts w:cs="Arial"/>
          <w:color w:val="000000"/>
          <w:spacing w:val="-2"/>
        </w:rPr>
        <w:t> </w:t>
      </w:r>
      <w:r w:rsidR="00637435">
        <w:rPr>
          <w:rFonts w:cs="Arial"/>
          <w:color w:val="000000"/>
          <w:spacing w:val="-2"/>
        </w:rPr>
        <w:t>o </w:t>
      </w:r>
      <w:r>
        <w:rPr>
          <w:rFonts w:cs="Arial"/>
          <w:color w:val="000000"/>
          <w:spacing w:val="-2"/>
        </w:rPr>
        <w:t>stejnou částku</w:t>
      </w:r>
      <w:r w:rsidRPr="00EB0C31">
        <w:rPr>
          <w:rFonts w:cs="Arial"/>
          <w:color w:val="000000"/>
          <w:spacing w:val="-2"/>
        </w:rPr>
        <w:t xml:space="preserve"> nadhodnotila účet 633 – </w:t>
      </w:r>
      <w:r w:rsidR="00D54265" w:rsidRPr="00102A96">
        <w:rPr>
          <w:rFonts w:cs="Arial"/>
          <w:i/>
          <w:color w:val="000000"/>
          <w:spacing w:val="-2"/>
        </w:rPr>
        <w:t>Výnosy ze sociálního pojištění</w:t>
      </w:r>
      <w:r w:rsidRPr="00EB0C31">
        <w:rPr>
          <w:rFonts w:cs="Arial"/>
          <w:color w:val="000000"/>
          <w:spacing w:val="-2"/>
        </w:rPr>
        <w:t>.</w:t>
      </w:r>
    </w:p>
    <w:p w:rsidR="003B457E" w:rsidRPr="00EB0C31" w:rsidRDefault="003B457E" w:rsidP="003B457E">
      <w:pPr>
        <w:tabs>
          <w:tab w:val="left" w:pos="284"/>
        </w:tabs>
        <w:rPr>
          <w:rFonts w:cs="Arial"/>
          <w:color w:val="000000"/>
          <w:spacing w:val="-2"/>
        </w:rPr>
      </w:pPr>
    </w:p>
    <w:p w:rsidR="003B457E" w:rsidRDefault="003B457E" w:rsidP="005448BD">
      <w:pPr>
        <w:tabs>
          <w:tab w:val="left" w:pos="284"/>
        </w:tabs>
        <w:ind w:firstLine="0"/>
        <w:rPr>
          <w:rFonts w:cs="Arial"/>
          <w:color w:val="000000"/>
          <w:spacing w:val="-2"/>
        </w:rPr>
      </w:pPr>
      <w:r w:rsidRPr="00EB0C31">
        <w:rPr>
          <w:rFonts w:cs="Arial"/>
          <w:color w:val="000000"/>
          <w:spacing w:val="-2"/>
        </w:rPr>
        <w:t xml:space="preserve">Přestože nebylo ze strany ČSSZ dodrženo obsahové vymezení </w:t>
      </w:r>
      <w:r w:rsidR="00FD2DFA">
        <w:rPr>
          <w:rFonts w:cs="Arial"/>
          <w:color w:val="000000"/>
          <w:spacing w:val="-2"/>
        </w:rPr>
        <w:t>p</w:t>
      </w:r>
      <w:r w:rsidRPr="00EB0C31">
        <w:rPr>
          <w:rFonts w:cs="Arial"/>
          <w:color w:val="000000"/>
          <w:spacing w:val="-2"/>
        </w:rPr>
        <w:t xml:space="preserve">oložky B.III.3. </w:t>
      </w:r>
      <w:r w:rsidR="00D54265" w:rsidRPr="00102A96">
        <w:rPr>
          <w:rFonts w:cs="Arial"/>
          <w:i/>
          <w:color w:val="000000"/>
          <w:spacing w:val="-2"/>
        </w:rPr>
        <w:t>Výnosy ze sociálního pojištění</w:t>
      </w:r>
      <w:r w:rsidRPr="00EB0C31">
        <w:rPr>
          <w:rFonts w:cs="Arial"/>
          <w:color w:val="000000"/>
          <w:spacing w:val="-2"/>
        </w:rPr>
        <w:t>, chybné účtování neovlivnilo výši hospodářského výsledku účetní jednotky.</w:t>
      </w:r>
    </w:p>
    <w:p w:rsidR="00AC4B8B" w:rsidRDefault="00AC4B8B" w:rsidP="00AC4B8B">
      <w:pPr>
        <w:rPr>
          <w:rFonts w:cs="Arial"/>
          <w:color w:val="000000"/>
          <w:spacing w:val="-2"/>
        </w:rPr>
      </w:pPr>
    </w:p>
    <w:p w:rsidR="00AC4B8B" w:rsidRPr="001043CA" w:rsidRDefault="00AC4B8B" w:rsidP="005448BD">
      <w:pPr>
        <w:tabs>
          <w:tab w:val="left" w:pos="284"/>
        </w:tabs>
        <w:ind w:firstLine="0"/>
        <w:rPr>
          <w:rFonts w:cs="Arial"/>
          <w:color w:val="000000"/>
          <w:spacing w:val="-2"/>
        </w:rPr>
      </w:pPr>
      <w:r w:rsidRPr="001043CA">
        <w:rPr>
          <w:rFonts w:cs="Arial"/>
          <w:color w:val="000000"/>
          <w:spacing w:val="-2"/>
        </w:rPr>
        <w:t xml:space="preserve">ČSSZ </w:t>
      </w:r>
      <w:r w:rsidR="00F33867">
        <w:rPr>
          <w:rFonts w:cs="Arial"/>
          <w:color w:val="000000"/>
          <w:spacing w:val="-2"/>
        </w:rPr>
        <w:t>v </w:t>
      </w:r>
      <w:r w:rsidRPr="001043CA">
        <w:rPr>
          <w:rFonts w:cs="Arial"/>
          <w:color w:val="000000"/>
          <w:spacing w:val="-2"/>
        </w:rPr>
        <w:t xml:space="preserve">roce 2011 postupovala </w:t>
      </w:r>
      <w:r>
        <w:rPr>
          <w:rFonts w:cs="Arial"/>
          <w:color w:val="000000"/>
          <w:spacing w:val="-2"/>
        </w:rPr>
        <w:t xml:space="preserve">nesprávně, </w:t>
      </w:r>
      <w:r w:rsidRPr="001043CA">
        <w:rPr>
          <w:rFonts w:cs="Arial"/>
          <w:color w:val="000000"/>
          <w:spacing w:val="-2"/>
        </w:rPr>
        <w:t xml:space="preserve">když </w:t>
      </w:r>
      <w:r w:rsidR="00F33867">
        <w:rPr>
          <w:rFonts w:cs="Arial"/>
          <w:color w:val="000000"/>
          <w:spacing w:val="-2"/>
        </w:rPr>
        <w:t>k </w:t>
      </w:r>
      <w:r w:rsidRPr="001043CA">
        <w:rPr>
          <w:rFonts w:cs="Arial"/>
          <w:color w:val="000000"/>
          <w:spacing w:val="-2"/>
        </w:rPr>
        <w:t xml:space="preserve">31. </w:t>
      </w:r>
      <w:r w:rsidR="00637435">
        <w:rPr>
          <w:rFonts w:cs="Arial"/>
          <w:color w:val="000000"/>
          <w:spacing w:val="-2"/>
        </w:rPr>
        <w:t>prosinci 2011 vykázala výnosy z </w:t>
      </w:r>
      <w:r w:rsidRPr="001043CA">
        <w:rPr>
          <w:rFonts w:cs="Arial"/>
          <w:color w:val="000000"/>
          <w:spacing w:val="-2"/>
        </w:rPr>
        <w:t xml:space="preserve">prodaného pozemku na účtu 646 – </w:t>
      </w:r>
      <w:r w:rsidR="00D54265" w:rsidRPr="00102A96">
        <w:rPr>
          <w:rFonts w:cs="Arial"/>
          <w:i/>
          <w:color w:val="000000"/>
          <w:spacing w:val="-2"/>
        </w:rPr>
        <w:t>Výnosy z prodeje dlouhodobého hmotného majetku kromě pozemků</w:t>
      </w:r>
      <w:r w:rsidRPr="001043CA">
        <w:rPr>
          <w:rFonts w:cs="Arial"/>
          <w:color w:val="000000"/>
          <w:spacing w:val="-2"/>
        </w:rPr>
        <w:t xml:space="preserve">, ačkoliv název </w:t>
      </w:r>
      <w:r w:rsidR="00FD2DFA">
        <w:rPr>
          <w:rFonts w:cs="Arial"/>
          <w:color w:val="000000"/>
          <w:spacing w:val="-2"/>
        </w:rPr>
        <w:t>p</w:t>
      </w:r>
      <w:r w:rsidRPr="001043CA">
        <w:rPr>
          <w:rFonts w:cs="Arial"/>
          <w:color w:val="000000"/>
          <w:spacing w:val="-2"/>
        </w:rPr>
        <w:t xml:space="preserve">oložky B.I.22. </w:t>
      </w:r>
      <w:r w:rsidR="00D54265" w:rsidRPr="00102A96">
        <w:rPr>
          <w:rFonts w:cs="Arial"/>
          <w:i/>
          <w:color w:val="000000"/>
          <w:spacing w:val="-2"/>
        </w:rPr>
        <w:t>Výnosy z prodeje dlouhodobého hmotného majetku kromě pozemků</w:t>
      </w:r>
      <w:r w:rsidRPr="001043CA">
        <w:rPr>
          <w:rFonts w:cs="Arial"/>
          <w:color w:val="000000"/>
          <w:spacing w:val="-2"/>
        </w:rPr>
        <w:t xml:space="preserve"> ve </w:t>
      </w:r>
      <w:r w:rsidR="00B3016A">
        <w:rPr>
          <w:rFonts w:cs="Arial"/>
          <w:color w:val="000000"/>
          <w:spacing w:val="-2"/>
        </w:rPr>
        <w:t>v</w:t>
      </w:r>
      <w:r w:rsidRPr="001043CA">
        <w:rPr>
          <w:rFonts w:cs="Arial"/>
          <w:color w:val="000000"/>
          <w:spacing w:val="-2"/>
        </w:rPr>
        <w:t>ýkazu zisku a ztráty neodpovídal povaze vykázaného účetního případu.</w:t>
      </w:r>
      <w:r w:rsidR="005448BD">
        <w:rPr>
          <w:rFonts w:cs="Arial"/>
          <w:color w:val="000000"/>
          <w:spacing w:val="-2"/>
        </w:rPr>
        <w:t xml:space="preserve"> </w:t>
      </w:r>
      <w:r w:rsidR="00F33867">
        <w:rPr>
          <w:rFonts w:cs="Arial"/>
          <w:color w:val="000000"/>
          <w:spacing w:val="-2"/>
        </w:rPr>
        <w:t>V </w:t>
      </w:r>
      <w:r w:rsidRPr="001043CA">
        <w:rPr>
          <w:rFonts w:cs="Arial"/>
          <w:color w:val="000000"/>
          <w:spacing w:val="-2"/>
        </w:rPr>
        <w:t>důsledku výše uveden</w:t>
      </w:r>
      <w:r w:rsidR="00B3016A">
        <w:rPr>
          <w:rFonts w:cs="Arial"/>
          <w:color w:val="000000"/>
          <w:spacing w:val="-2"/>
        </w:rPr>
        <w:t>é</w:t>
      </w:r>
      <w:r w:rsidRPr="001043CA">
        <w:rPr>
          <w:rFonts w:cs="Arial"/>
          <w:color w:val="000000"/>
          <w:spacing w:val="-2"/>
        </w:rPr>
        <w:t xml:space="preserve"> skutečnost</w:t>
      </w:r>
      <w:r w:rsidR="00B3016A">
        <w:rPr>
          <w:rFonts w:cs="Arial"/>
          <w:color w:val="000000"/>
          <w:spacing w:val="-2"/>
        </w:rPr>
        <w:t>i</w:t>
      </w:r>
      <w:r w:rsidRPr="001043CA">
        <w:rPr>
          <w:rFonts w:cs="Arial"/>
          <w:color w:val="000000"/>
          <w:spacing w:val="-2"/>
        </w:rPr>
        <w:t xml:space="preserve"> ČSSZ ve své ÚZ </w:t>
      </w:r>
      <w:r w:rsidR="00F33867">
        <w:rPr>
          <w:rFonts w:cs="Arial"/>
          <w:color w:val="000000"/>
          <w:spacing w:val="-2"/>
        </w:rPr>
        <w:t>k </w:t>
      </w:r>
      <w:r w:rsidRPr="001043CA">
        <w:rPr>
          <w:rFonts w:cs="Arial"/>
          <w:color w:val="000000"/>
          <w:spacing w:val="-2"/>
        </w:rPr>
        <w:t xml:space="preserve">31. </w:t>
      </w:r>
      <w:r w:rsidR="00637435">
        <w:rPr>
          <w:rFonts w:cs="Arial"/>
          <w:color w:val="000000"/>
          <w:spacing w:val="-2"/>
        </w:rPr>
        <w:t>prosinci</w:t>
      </w:r>
      <w:r w:rsidRPr="001043CA">
        <w:rPr>
          <w:rFonts w:cs="Arial"/>
          <w:color w:val="000000"/>
          <w:spacing w:val="-2"/>
        </w:rPr>
        <w:t xml:space="preserve"> 2011 ve </w:t>
      </w:r>
      <w:r w:rsidR="00B3016A">
        <w:rPr>
          <w:rFonts w:cs="Arial"/>
          <w:color w:val="000000"/>
          <w:spacing w:val="-2"/>
        </w:rPr>
        <w:t>v</w:t>
      </w:r>
      <w:r w:rsidRPr="001043CA">
        <w:rPr>
          <w:rFonts w:cs="Arial"/>
          <w:color w:val="000000"/>
          <w:spacing w:val="-2"/>
        </w:rPr>
        <w:t>ýkazu zisku a ztráty:</w:t>
      </w:r>
    </w:p>
    <w:p w:rsidR="001A1086" w:rsidRDefault="00AC4B8B" w:rsidP="00102A96">
      <w:pPr>
        <w:numPr>
          <w:ilvl w:val="0"/>
          <w:numId w:val="11"/>
        </w:numPr>
        <w:ind w:left="284" w:hanging="284"/>
        <w:rPr>
          <w:rFonts w:cs="Arial"/>
          <w:color w:val="000000"/>
          <w:spacing w:val="-2"/>
        </w:rPr>
      </w:pPr>
      <w:r w:rsidRPr="001043CA">
        <w:rPr>
          <w:rFonts w:cs="Arial"/>
          <w:color w:val="000000"/>
          <w:spacing w:val="-2"/>
        </w:rPr>
        <w:tab/>
        <w:t xml:space="preserve">nadhodnotila účet 646 – </w:t>
      </w:r>
      <w:r w:rsidR="00D54265" w:rsidRPr="00102A96">
        <w:rPr>
          <w:rFonts w:cs="Arial"/>
          <w:i/>
          <w:color w:val="000000"/>
          <w:spacing w:val="-2"/>
        </w:rPr>
        <w:t>Výnosy z prodeje dlouhodobého hmotného majetku kromě pozemků</w:t>
      </w:r>
      <w:r w:rsidRPr="001043CA">
        <w:rPr>
          <w:rFonts w:cs="Arial"/>
          <w:color w:val="000000"/>
          <w:spacing w:val="-2"/>
        </w:rPr>
        <w:t xml:space="preserve"> o částku </w:t>
      </w:r>
      <w:r w:rsidRPr="00846C70">
        <w:rPr>
          <w:rFonts w:cs="Arial"/>
          <w:b/>
          <w:color w:val="000000"/>
          <w:spacing w:val="-2"/>
        </w:rPr>
        <w:t>1 320 000 Kč</w:t>
      </w:r>
      <w:r w:rsidRPr="001043CA">
        <w:rPr>
          <w:rFonts w:cs="Arial"/>
          <w:color w:val="000000"/>
          <w:spacing w:val="-2"/>
        </w:rPr>
        <w:t xml:space="preserve"> a</w:t>
      </w:r>
      <w:r>
        <w:rPr>
          <w:rFonts w:cs="Arial"/>
          <w:color w:val="000000"/>
          <w:spacing w:val="-2"/>
        </w:rPr>
        <w:t xml:space="preserve"> o stejnou částku </w:t>
      </w:r>
      <w:r w:rsidRPr="002E30A8">
        <w:rPr>
          <w:rFonts w:cs="Arial"/>
          <w:color w:val="000000"/>
          <w:spacing w:val="-2"/>
        </w:rPr>
        <w:t>p</w:t>
      </w:r>
      <w:r w:rsidR="00637435">
        <w:rPr>
          <w:rFonts w:cs="Arial"/>
          <w:color w:val="000000"/>
          <w:spacing w:val="-2"/>
        </w:rPr>
        <w:t xml:space="preserve">odhodnotila účet 647 – </w:t>
      </w:r>
      <w:r w:rsidR="00D54265" w:rsidRPr="00102A96">
        <w:rPr>
          <w:rFonts w:cs="Arial"/>
          <w:i/>
          <w:color w:val="000000"/>
          <w:spacing w:val="-2"/>
        </w:rPr>
        <w:t>Výnosy z prodeje pozemků</w:t>
      </w:r>
      <w:r w:rsidRPr="002E30A8">
        <w:rPr>
          <w:rFonts w:cs="Arial"/>
          <w:color w:val="000000"/>
          <w:spacing w:val="-2"/>
        </w:rPr>
        <w:t>.</w:t>
      </w:r>
    </w:p>
    <w:p w:rsidR="00AC4B8B" w:rsidRPr="001043CA" w:rsidRDefault="00AC4B8B" w:rsidP="00AC4B8B">
      <w:pPr>
        <w:tabs>
          <w:tab w:val="left" w:pos="284"/>
        </w:tabs>
        <w:rPr>
          <w:rFonts w:cs="Arial"/>
          <w:color w:val="000000"/>
          <w:spacing w:val="-2"/>
        </w:rPr>
      </w:pPr>
    </w:p>
    <w:p w:rsidR="00AC4B8B" w:rsidRDefault="00AC4B8B" w:rsidP="00A82868">
      <w:pPr>
        <w:tabs>
          <w:tab w:val="left" w:pos="284"/>
        </w:tabs>
        <w:ind w:firstLine="0"/>
        <w:rPr>
          <w:rFonts w:cs="Arial"/>
          <w:color w:val="000000"/>
          <w:spacing w:val="-2"/>
        </w:rPr>
      </w:pPr>
      <w:r w:rsidRPr="001043CA">
        <w:rPr>
          <w:rFonts w:cs="Arial"/>
          <w:color w:val="000000"/>
          <w:spacing w:val="-2"/>
        </w:rPr>
        <w:t>Chybné účtování neovlivnilo výši hospodářského výsledku účetní jednotky.</w:t>
      </w:r>
    </w:p>
    <w:p w:rsidR="005448BD" w:rsidRDefault="005448BD" w:rsidP="00AC4B8B">
      <w:pPr>
        <w:tabs>
          <w:tab w:val="left" w:pos="284"/>
        </w:tabs>
        <w:rPr>
          <w:rFonts w:cs="Arial"/>
          <w:color w:val="000000"/>
          <w:spacing w:val="-2"/>
        </w:rPr>
      </w:pPr>
    </w:p>
    <w:p w:rsidR="001A1086" w:rsidRDefault="001F5837" w:rsidP="003317E8">
      <w:pPr>
        <w:pStyle w:val="Nadpis4"/>
        <w:numPr>
          <w:ilvl w:val="0"/>
          <w:numId w:val="0"/>
        </w:numPr>
        <w:spacing w:before="0"/>
        <w:rPr>
          <w:sz w:val="22"/>
          <w:szCs w:val="22"/>
        </w:rPr>
      </w:pPr>
      <w:r>
        <w:rPr>
          <w:sz w:val="22"/>
          <w:szCs w:val="22"/>
        </w:rPr>
        <w:t xml:space="preserve">1.2.1.3 </w:t>
      </w:r>
      <w:r w:rsidR="00FD2DFA">
        <w:rPr>
          <w:sz w:val="22"/>
          <w:szCs w:val="22"/>
        </w:rPr>
        <w:t xml:space="preserve">Příloha ÚZ </w:t>
      </w:r>
    </w:p>
    <w:p w:rsidR="00820858" w:rsidRDefault="00820858" w:rsidP="00820858"/>
    <w:p w:rsidR="00820858" w:rsidRDefault="00F33867" w:rsidP="005448BD">
      <w:pPr>
        <w:pStyle w:val="Normlnodsazen"/>
        <w:spacing w:line="240" w:lineRule="auto"/>
        <w:ind w:firstLine="0"/>
        <w:rPr>
          <w:rFonts w:cs="Arial"/>
        </w:rPr>
      </w:pPr>
      <w:r>
        <w:t>V </w:t>
      </w:r>
      <w:r w:rsidR="00820858" w:rsidRPr="004B43E8">
        <w:t>důsledku nesprávného</w:t>
      </w:r>
      <w:r w:rsidR="00820858">
        <w:t xml:space="preserve"> účtování o </w:t>
      </w:r>
      <w:r w:rsidR="00820858" w:rsidRPr="00820858">
        <w:t>majetku poříze</w:t>
      </w:r>
      <w:r w:rsidR="00637435">
        <w:t xml:space="preserve">ném do konce roku 2009, který </w:t>
      </w:r>
      <w:r>
        <w:t>v </w:t>
      </w:r>
      <w:r w:rsidR="00820858" w:rsidRPr="00820858">
        <w:t xml:space="preserve">jednotlivém případě nesplňoval dolní hranici pro </w:t>
      </w:r>
      <w:r w:rsidR="006D7823">
        <w:t xml:space="preserve">vykazování </w:t>
      </w:r>
      <w:r>
        <w:t>v </w:t>
      </w:r>
      <w:r w:rsidR="00B3016A">
        <w:t>r</w:t>
      </w:r>
      <w:r w:rsidR="00820858" w:rsidRPr="00820858">
        <w:t xml:space="preserve">ozvaze na majetkových účtech 028 – </w:t>
      </w:r>
      <w:r w:rsidR="00D54265" w:rsidRPr="003317E8">
        <w:rPr>
          <w:i/>
        </w:rPr>
        <w:t>Drobný dlouhodobý hmotný majetek</w:t>
      </w:r>
      <w:r w:rsidR="00820858" w:rsidRPr="00820858">
        <w:t xml:space="preserve"> a 018 – </w:t>
      </w:r>
      <w:r w:rsidR="00D54265" w:rsidRPr="003317E8">
        <w:rPr>
          <w:i/>
        </w:rPr>
        <w:t>Drobný dlouhodobý nehmotný majetek</w:t>
      </w:r>
      <w:r w:rsidR="00820858">
        <w:t xml:space="preserve"> </w:t>
      </w:r>
      <w:r w:rsidR="00820858" w:rsidRPr="007D0578">
        <w:t>(viz kapitola</w:t>
      </w:r>
      <w:r w:rsidR="006D7823">
        <w:t xml:space="preserve"> tohoto kontrolního závěru</w:t>
      </w:r>
      <w:r w:rsidR="00820858" w:rsidRPr="007D0578">
        <w:t xml:space="preserve"> </w:t>
      </w:r>
      <w:r w:rsidR="007D0578" w:rsidRPr="007D0578">
        <w:t>1.2.1.1</w:t>
      </w:r>
      <w:r w:rsidR="00820858" w:rsidRPr="007D0578">
        <w:t xml:space="preserve"> </w:t>
      </w:r>
      <w:r w:rsidR="00D54265" w:rsidRPr="003317E8">
        <w:rPr>
          <w:i/>
        </w:rPr>
        <w:t>Rozvaha</w:t>
      </w:r>
      <w:r w:rsidR="00820858" w:rsidRPr="007D0578">
        <w:t>),</w:t>
      </w:r>
      <w:r w:rsidR="00820858">
        <w:t xml:space="preserve"> </w:t>
      </w:r>
      <w:r w:rsidR="00820858">
        <w:rPr>
          <w:rFonts w:cs="Arial"/>
        </w:rPr>
        <w:t xml:space="preserve">ČSSZ </w:t>
      </w:r>
      <w:r>
        <w:rPr>
          <w:rFonts w:cs="Arial"/>
        </w:rPr>
        <w:t>k </w:t>
      </w:r>
      <w:r w:rsidR="003353F3">
        <w:rPr>
          <w:rFonts w:cs="Arial"/>
        </w:rPr>
        <w:t xml:space="preserve">31. </w:t>
      </w:r>
      <w:r w:rsidR="00637435">
        <w:rPr>
          <w:rFonts w:cs="Arial"/>
        </w:rPr>
        <w:t>prosinci</w:t>
      </w:r>
      <w:r w:rsidR="003353F3">
        <w:rPr>
          <w:rFonts w:cs="Arial"/>
        </w:rPr>
        <w:t xml:space="preserve"> 2011 </w:t>
      </w:r>
      <w:r>
        <w:rPr>
          <w:rFonts w:cs="Arial"/>
        </w:rPr>
        <w:t>v </w:t>
      </w:r>
      <w:r w:rsidR="00B3016A">
        <w:rPr>
          <w:rFonts w:cs="Arial"/>
        </w:rPr>
        <w:t>p</w:t>
      </w:r>
      <w:r w:rsidR="00820858">
        <w:rPr>
          <w:rFonts w:cs="Arial"/>
        </w:rPr>
        <w:t xml:space="preserve">říloze ÚZ </w:t>
      </w:r>
      <w:r>
        <w:rPr>
          <w:rFonts w:cs="Arial"/>
        </w:rPr>
        <w:t>v </w:t>
      </w:r>
      <w:r w:rsidR="00820858">
        <w:rPr>
          <w:rFonts w:cs="Arial"/>
        </w:rPr>
        <w:t xml:space="preserve">části </w:t>
      </w:r>
      <w:r w:rsidR="00820858" w:rsidRPr="00C41BEA">
        <w:rPr>
          <w:rFonts w:cs="Arial"/>
        </w:rPr>
        <w:t xml:space="preserve">A.4 </w:t>
      </w:r>
      <w:r w:rsidR="001811F6" w:rsidRPr="00C91188">
        <w:rPr>
          <w:rFonts w:cs="Arial"/>
          <w:bCs/>
          <w:iCs/>
        </w:rPr>
        <w:t>–</w:t>
      </w:r>
      <w:r w:rsidR="00820858" w:rsidRPr="00C41BEA">
        <w:rPr>
          <w:rFonts w:cs="Arial"/>
        </w:rPr>
        <w:t xml:space="preserve"> </w:t>
      </w:r>
      <w:r w:rsidR="00D54265" w:rsidRPr="003317E8">
        <w:rPr>
          <w:rFonts w:cs="Arial"/>
          <w:i/>
        </w:rPr>
        <w:t>Informace podle § 7 odst. 5 zákona o stavu účtů v knize podrozvahových účtů</w:t>
      </w:r>
      <w:r w:rsidR="00820858" w:rsidRPr="00C41BEA">
        <w:rPr>
          <w:rFonts w:cs="Arial"/>
        </w:rPr>
        <w:t>:</w:t>
      </w:r>
    </w:p>
    <w:p w:rsidR="001A1086" w:rsidRDefault="00820858" w:rsidP="003317E8">
      <w:pPr>
        <w:numPr>
          <w:ilvl w:val="0"/>
          <w:numId w:val="11"/>
        </w:numPr>
        <w:ind w:left="284" w:hanging="284"/>
        <w:rPr>
          <w:rFonts w:cs="Arial"/>
          <w:bCs/>
          <w:iCs/>
        </w:rPr>
      </w:pPr>
      <w:r w:rsidRPr="00C91188">
        <w:rPr>
          <w:rFonts w:cs="Arial"/>
          <w:bCs/>
          <w:iCs/>
        </w:rPr>
        <w:t>podhodnotila účet 901</w:t>
      </w:r>
      <w:r w:rsidR="005E5DF2">
        <w:rPr>
          <w:rFonts w:cs="Arial"/>
          <w:bCs/>
          <w:iCs/>
        </w:rPr>
        <w:t xml:space="preserve"> </w:t>
      </w:r>
      <w:r w:rsidRPr="00C91188">
        <w:rPr>
          <w:rFonts w:cs="Arial"/>
          <w:bCs/>
          <w:iCs/>
        </w:rPr>
        <w:t xml:space="preserve">– </w:t>
      </w:r>
      <w:r w:rsidR="00D54265" w:rsidRPr="003317E8">
        <w:rPr>
          <w:rFonts w:cs="Arial"/>
          <w:bCs/>
          <w:i/>
          <w:iCs/>
        </w:rPr>
        <w:t>Jiný drobný dlouhodobý nehmotný majetek</w:t>
      </w:r>
      <w:r w:rsidRPr="00C91188">
        <w:rPr>
          <w:rFonts w:cs="Arial"/>
          <w:bCs/>
          <w:iCs/>
        </w:rPr>
        <w:t xml:space="preserve"> o částku </w:t>
      </w:r>
      <w:r w:rsidRPr="00C91188">
        <w:rPr>
          <w:rFonts w:cs="Arial"/>
          <w:b/>
        </w:rPr>
        <w:t xml:space="preserve">9 984 970,04 </w:t>
      </w:r>
      <w:r w:rsidRPr="00C91188">
        <w:rPr>
          <w:rFonts w:cs="Arial"/>
          <w:b/>
          <w:bCs/>
          <w:iCs/>
        </w:rPr>
        <w:t>Kč</w:t>
      </w:r>
      <w:r w:rsidRPr="00C91188">
        <w:rPr>
          <w:rFonts w:cs="Arial"/>
          <w:bCs/>
          <w:iCs/>
        </w:rPr>
        <w:t xml:space="preserve"> a o stejnou částku podhodnotila účet 999 – </w:t>
      </w:r>
      <w:r w:rsidR="00D54265" w:rsidRPr="003317E8">
        <w:rPr>
          <w:rFonts w:cs="Arial"/>
          <w:bCs/>
          <w:i/>
          <w:iCs/>
        </w:rPr>
        <w:t>Vyrovnávací účet k podrozvahovým účtům</w:t>
      </w:r>
      <w:r w:rsidRPr="00C91188">
        <w:rPr>
          <w:rStyle w:val="Znakapoznpodarou"/>
          <w:rFonts w:cs="Arial"/>
          <w:bCs/>
          <w:iCs/>
        </w:rPr>
        <w:footnoteReference w:id="5"/>
      </w:r>
    </w:p>
    <w:p w:rsidR="001A1086" w:rsidRDefault="00820858" w:rsidP="003317E8">
      <w:pPr>
        <w:numPr>
          <w:ilvl w:val="0"/>
          <w:numId w:val="11"/>
        </w:numPr>
        <w:ind w:left="284" w:hanging="284"/>
        <w:rPr>
          <w:rFonts w:cs="Arial"/>
          <w:bCs/>
          <w:iCs/>
        </w:rPr>
      </w:pPr>
      <w:r w:rsidRPr="00C91188">
        <w:rPr>
          <w:rFonts w:cs="Arial"/>
          <w:bCs/>
          <w:iCs/>
        </w:rPr>
        <w:t xml:space="preserve">a zároveň podhodnotila účet 902 – </w:t>
      </w:r>
      <w:r w:rsidR="00D54265" w:rsidRPr="003317E8">
        <w:rPr>
          <w:rFonts w:cs="Arial"/>
          <w:bCs/>
          <w:i/>
          <w:iCs/>
        </w:rPr>
        <w:t>Jiný drobný dlouhodobý hmotný majetek</w:t>
      </w:r>
      <w:r w:rsidRPr="00C91188">
        <w:rPr>
          <w:rFonts w:cs="Arial"/>
          <w:bCs/>
          <w:iCs/>
        </w:rPr>
        <w:t xml:space="preserve"> o částku </w:t>
      </w:r>
      <w:r w:rsidRPr="00C91188">
        <w:rPr>
          <w:rFonts w:cs="Arial"/>
          <w:b/>
        </w:rPr>
        <w:t xml:space="preserve">722 228,53 </w:t>
      </w:r>
      <w:r w:rsidRPr="00C91188">
        <w:rPr>
          <w:rFonts w:cs="Arial"/>
          <w:b/>
          <w:bCs/>
          <w:iCs/>
        </w:rPr>
        <w:t>Kč</w:t>
      </w:r>
      <w:r w:rsidRPr="00C91188">
        <w:rPr>
          <w:rFonts w:cs="Arial"/>
          <w:bCs/>
          <w:iCs/>
        </w:rPr>
        <w:t xml:space="preserve"> a o stejnou částku podhodnotila účet 999 – </w:t>
      </w:r>
      <w:r w:rsidR="00D54265" w:rsidRPr="003317E8">
        <w:rPr>
          <w:rFonts w:cs="Arial"/>
          <w:bCs/>
          <w:i/>
          <w:iCs/>
        </w:rPr>
        <w:t>Vyrovnávací účet k podrozvahovým účtům</w:t>
      </w:r>
      <w:r w:rsidRPr="00C91188">
        <w:rPr>
          <w:rFonts w:cs="Arial"/>
          <w:bCs/>
          <w:iCs/>
        </w:rPr>
        <w:t>.</w:t>
      </w:r>
    </w:p>
    <w:p w:rsidR="00FB557F" w:rsidRDefault="00FB557F" w:rsidP="00FB557F">
      <w:pPr>
        <w:rPr>
          <w:rFonts w:cs="Arial"/>
          <w:bCs/>
          <w:iCs/>
        </w:rPr>
      </w:pPr>
    </w:p>
    <w:p w:rsidR="00FB557F" w:rsidRPr="003E1DC4" w:rsidRDefault="00FB557F" w:rsidP="007D0578">
      <w:pPr>
        <w:ind w:firstLine="0"/>
        <w:rPr>
          <w:rFonts w:cs="Arial"/>
          <w:color w:val="000000"/>
          <w:spacing w:val="-2"/>
        </w:rPr>
      </w:pPr>
      <w:r w:rsidRPr="00FB557F">
        <w:rPr>
          <w:rFonts w:cs="Arial"/>
          <w:bCs/>
          <w:iCs/>
        </w:rPr>
        <w:t xml:space="preserve">Vlivem nesprávného účtování o penále </w:t>
      </w:r>
      <w:r w:rsidR="00F33867">
        <w:rPr>
          <w:rFonts w:cs="Arial"/>
          <w:bCs/>
          <w:iCs/>
        </w:rPr>
        <w:t>z </w:t>
      </w:r>
      <w:r w:rsidRPr="00FB557F">
        <w:rPr>
          <w:rFonts w:cs="Arial"/>
          <w:bCs/>
          <w:iCs/>
        </w:rPr>
        <w:t xml:space="preserve">pojistného vůči zaměstnavatelům na účtu pohledávek a výnosů </w:t>
      </w:r>
      <w:r w:rsidRPr="007D0578">
        <w:rPr>
          <w:rFonts w:cs="Arial"/>
          <w:bCs/>
          <w:iCs/>
        </w:rPr>
        <w:t>(viz kapitola</w:t>
      </w:r>
      <w:r w:rsidR="006D7823">
        <w:rPr>
          <w:rFonts w:cs="Arial"/>
          <w:bCs/>
          <w:iCs/>
        </w:rPr>
        <w:t xml:space="preserve"> tohoto kontrolního závěru</w:t>
      </w:r>
      <w:r w:rsidRPr="007D0578">
        <w:rPr>
          <w:rFonts w:cs="Arial"/>
          <w:bCs/>
          <w:iCs/>
        </w:rPr>
        <w:t xml:space="preserve"> </w:t>
      </w:r>
      <w:r w:rsidR="007D0578" w:rsidRPr="007D0578">
        <w:rPr>
          <w:rFonts w:cs="Arial"/>
          <w:bCs/>
          <w:iCs/>
        </w:rPr>
        <w:t>1.2.1.1</w:t>
      </w:r>
      <w:r w:rsidRPr="007D0578">
        <w:rPr>
          <w:rFonts w:cs="Arial"/>
          <w:bCs/>
          <w:iCs/>
        </w:rPr>
        <w:t xml:space="preserve"> </w:t>
      </w:r>
      <w:r w:rsidR="00D54265" w:rsidRPr="003317E8">
        <w:rPr>
          <w:rFonts w:cs="Arial"/>
          <w:bCs/>
          <w:i/>
          <w:iCs/>
        </w:rPr>
        <w:t>Rozvaha</w:t>
      </w:r>
      <w:r w:rsidRPr="007D0578">
        <w:rPr>
          <w:rFonts w:cs="Arial"/>
          <w:bCs/>
          <w:iCs/>
        </w:rPr>
        <w:t>)</w:t>
      </w:r>
      <w:r w:rsidRPr="00FB557F">
        <w:rPr>
          <w:rFonts w:cs="Arial"/>
          <w:bCs/>
          <w:iCs/>
        </w:rPr>
        <w:t xml:space="preserve"> již </w:t>
      </w:r>
      <w:r w:rsidR="00F33867">
        <w:rPr>
          <w:rFonts w:cs="Arial"/>
          <w:bCs/>
          <w:iCs/>
        </w:rPr>
        <w:t>v </w:t>
      </w:r>
      <w:r w:rsidRPr="00FB557F">
        <w:rPr>
          <w:rFonts w:cs="Arial"/>
          <w:bCs/>
          <w:iCs/>
        </w:rPr>
        <w:t xml:space="preserve">okamžiku vyhodnocení konta plátce pojistného, </w:t>
      </w:r>
      <w:r w:rsidR="00B3016A">
        <w:rPr>
          <w:rFonts w:cs="Arial"/>
          <w:bCs/>
          <w:iCs/>
        </w:rPr>
        <w:t>a </w:t>
      </w:r>
      <w:r w:rsidRPr="00FB557F">
        <w:rPr>
          <w:rFonts w:cs="Arial"/>
          <w:bCs/>
          <w:iCs/>
        </w:rPr>
        <w:t xml:space="preserve">nikoliv až okamžikem pravomocného vyměření výkazem nedoplatků či platebním výměrem ČSSZ </w:t>
      </w:r>
      <w:r w:rsidR="00F33867">
        <w:rPr>
          <w:rFonts w:cs="Arial"/>
          <w:color w:val="000000"/>
          <w:spacing w:val="-2"/>
        </w:rPr>
        <w:t>v </w:t>
      </w:r>
      <w:r w:rsidR="00B3016A">
        <w:rPr>
          <w:rFonts w:cs="Arial"/>
          <w:color w:val="000000"/>
          <w:spacing w:val="-2"/>
        </w:rPr>
        <w:t>p</w:t>
      </w:r>
      <w:r w:rsidRPr="003E1DC4">
        <w:rPr>
          <w:rFonts w:cs="Arial"/>
          <w:color w:val="000000"/>
          <w:spacing w:val="-2"/>
        </w:rPr>
        <w:t xml:space="preserve">říloze ÚZ </w:t>
      </w:r>
      <w:r w:rsidR="00F33867">
        <w:rPr>
          <w:rFonts w:cs="Arial"/>
          <w:color w:val="000000"/>
          <w:spacing w:val="-2"/>
        </w:rPr>
        <w:t>v </w:t>
      </w:r>
      <w:r w:rsidRPr="003E1DC4">
        <w:rPr>
          <w:rFonts w:cs="Arial"/>
          <w:color w:val="000000"/>
          <w:spacing w:val="-2"/>
        </w:rPr>
        <w:t xml:space="preserve">části A.4 </w:t>
      </w:r>
      <w:r w:rsidR="00B3016A">
        <w:rPr>
          <w:rFonts w:cs="Arial"/>
          <w:color w:val="000000"/>
          <w:spacing w:val="-2"/>
        </w:rPr>
        <w:t>–</w:t>
      </w:r>
      <w:r w:rsidRPr="003E1DC4">
        <w:rPr>
          <w:rFonts w:cs="Arial"/>
          <w:color w:val="000000"/>
          <w:spacing w:val="-2"/>
        </w:rPr>
        <w:t xml:space="preserve"> </w:t>
      </w:r>
      <w:r w:rsidR="00D54265" w:rsidRPr="003317E8">
        <w:rPr>
          <w:rFonts w:cs="Arial"/>
          <w:i/>
          <w:color w:val="000000"/>
          <w:spacing w:val="-2"/>
        </w:rPr>
        <w:t>Informace podle § 7 odst. 5 zákona o stavu účtů v knize podrozvahových účtů</w:t>
      </w:r>
      <w:r w:rsidRPr="003E1DC4">
        <w:rPr>
          <w:rFonts w:cs="Arial"/>
          <w:color w:val="000000"/>
          <w:spacing w:val="-2"/>
        </w:rPr>
        <w:t xml:space="preserve"> k 31. </w:t>
      </w:r>
      <w:r w:rsidR="00637435">
        <w:rPr>
          <w:rFonts w:cs="Arial"/>
          <w:color w:val="000000"/>
          <w:spacing w:val="-2"/>
        </w:rPr>
        <w:t>prosinci</w:t>
      </w:r>
      <w:r w:rsidRPr="003E1DC4">
        <w:rPr>
          <w:rFonts w:cs="Arial"/>
          <w:color w:val="000000"/>
          <w:spacing w:val="-2"/>
        </w:rPr>
        <w:t xml:space="preserve"> 2011:</w:t>
      </w:r>
    </w:p>
    <w:p w:rsidR="001A1086" w:rsidRDefault="00FB557F" w:rsidP="003317E8">
      <w:pPr>
        <w:numPr>
          <w:ilvl w:val="0"/>
          <w:numId w:val="11"/>
        </w:numPr>
        <w:ind w:left="284" w:hanging="284"/>
        <w:rPr>
          <w:rFonts w:cs="Arial"/>
          <w:color w:val="000000"/>
          <w:spacing w:val="-2"/>
        </w:rPr>
      </w:pPr>
      <w:r w:rsidRPr="003E1DC4">
        <w:rPr>
          <w:rFonts w:cs="Arial"/>
          <w:color w:val="000000"/>
          <w:spacing w:val="-2"/>
        </w:rPr>
        <w:tab/>
        <w:t xml:space="preserve">podhodnotila účet 951 – </w:t>
      </w:r>
      <w:r w:rsidR="00D54265" w:rsidRPr="003317E8">
        <w:rPr>
          <w:rFonts w:cs="Arial"/>
          <w:i/>
          <w:color w:val="000000"/>
          <w:spacing w:val="-2"/>
        </w:rPr>
        <w:t>Ostatní dlouhodobá podmíněná aktiva</w:t>
      </w:r>
      <w:r w:rsidRPr="003E1DC4">
        <w:rPr>
          <w:rFonts w:cs="Arial"/>
          <w:color w:val="000000"/>
          <w:spacing w:val="-2"/>
        </w:rPr>
        <w:t xml:space="preserve"> o částku </w:t>
      </w:r>
      <w:r w:rsidRPr="00C41BEA">
        <w:rPr>
          <w:rFonts w:cs="Arial"/>
          <w:b/>
          <w:color w:val="000000"/>
          <w:spacing w:val="-2"/>
        </w:rPr>
        <w:t>118</w:t>
      </w:r>
      <w:r w:rsidR="001811F6">
        <w:rPr>
          <w:rFonts w:cs="Arial"/>
          <w:b/>
          <w:color w:val="000000"/>
          <w:spacing w:val="-2"/>
        </w:rPr>
        <w:t> </w:t>
      </w:r>
      <w:r w:rsidRPr="00C41BEA">
        <w:rPr>
          <w:rFonts w:cs="Arial"/>
          <w:b/>
          <w:color w:val="000000"/>
          <w:spacing w:val="-2"/>
        </w:rPr>
        <w:t>808</w:t>
      </w:r>
      <w:r w:rsidR="001811F6">
        <w:rPr>
          <w:rFonts w:cs="Arial"/>
          <w:b/>
          <w:color w:val="000000"/>
          <w:spacing w:val="-2"/>
        </w:rPr>
        <w:t> </w:t>
      </w:r>
      <w:r w:rsidRPr="00C41BEA">
        <w:rPr>
          <w:rFonts w:cs="Arial"/>
          <w:b/>
          <w:color w:val="000000"/>
          <w:spacing w:val="-2"/>
        </w:rPr>
        <w:t>539,20</w:t>
      </w:r>
      <w:r w:rsidR="001811F6">
        <w:rPr>
          <w:rFonts w:cs="Arial"/>
          <w:b/>
          <w:color w:val="000000"/>
          <w:spacing w:val="-2"/>
        </w:rPr>
        <w:t> </w:t>
      </w:r>
      <w:r w:rsidRPr="00C41BEA">
        <w:rPr>
          <w:rFonts w:cs="Arial"/>
          <w:b/>
          <w:color w:val="000000"/>
          <w:spacing w:val="-2"/>
        </w:rPr>
        <w:t>Kč</w:t>
      </w:r>
      <w:r w:rsidRPr="003E1DC4">
        <w:rPr>
          <w:rFonts w:cs="Arial"/>
          <w:color w:val="000000"/>
          <w:spacing w:val="-2"/>
        </w:rPr>
        <w:t xml:space="preserve"> </w:t>
      </w:r>
      <w:r w:rsidRPr="002230A0">
        <w:rPr>
          <w:rFonts w:cs="Arial"/>
          <w:color w:val="000000"/>
          <w:spacing w:val="-2"/>
        </w:rPr>
        <w:t xml:space="preserve">a zároveň </w:t>
      </w:r>
      <w:r>
        <w:rPr>
          <w:rFonts w:cs="Arial"/>
          <w:color w:val="000000"/>
          <w:spacing w:val="-2"/>
        </w:rPr>
        <w:t xml:space="preserve">o stejnou částku </w:t>
      </w:r>
      <w:r w:rsidRPr="002230A0">
        <w:rPr>
          <w:rFonts w:cs="Arial"/>
          <w:color w:val="000000"/>
          <w:spacing w:val="-2"/>
        </w:rPr>
        <w:t>podhodnotil</w:t>
      </w:r>
      <w:r w:rsidR="00637435">
        <w:rPr>
          <w:rFonts w:cs="Arial"/>
          <w:color w:val="000000"/>
          <w:spacing w:val="-2"/>
        </w:rPr>
        <w:t xml:space="preserve">a účet 999 – </w:t>
      </w:r>
      <w:r w:rsidR="00D54265" w:rsidRPr="003317E8">
        <w:rPr>
          <w:rFonts w:cs="Arial"/>
          <w:i/>
          <w:color w:val="000000"/>
          <w:spacing w:val="-2"/>
        </w:rPr>
        <w:t>Vyrovnávací účet k podrozvahovým účtům</w:t>
      </w:r>
      <w:r w:rsidRPr="002230A0">
        <w:rPr>
          <w:rFonts w:cs="Arial"/>
          <w:color w:val="000000"/>
          <w:spacing w:val="-2"/>
        </w:rPr>
        <w:t>.</w:t>
      </w:r>
    </w:p>
    <w:p w:rsidR="00FF2F05" w:rsidRDefault="00FF2F05" w:rsidP="007A77D7">
      <w:pPr>
        <w:ind w:firstLine="0"/>
      </w:pPr>
    </w:p>
    <w:p w:rsidR="004B43E8" w:rsidRDefault="00F43745" w:rsidP="00766C07">
      <w:pPr>
        <w:ind w:firstLine="0"/>
      </w:pPr>
      <w:r w:rsidRPr="008C07E4">
        <w:t xml:space="preserve">ČSSZ nevedla </w:t>
      </w:r>
      <w:r w:rsidR="00F33867">
        <w:t>v </w:t>
      </w:r>
      <w:r w:rsidRPr="008C07E4">
        <w:t>roce 2011 úplné účetnictví, neboť nezaúčtovala předpisy nevyplacených, tj.</w:t>
      </w:r>
      <w:r w:rsidR="001A1086">
        <w:t> </w:t>
      </w:r>
      <w:r w:rsidRPr="008C07E4">
        <w:t>deponovaných</w:t>
      </w:r>
      <w:r w:rsidR="00EF1129">
        <w:t>,</w:t>
      </w:r>
      <w:r w:rsidRPr="008C07E4">
        <w:t xml:space="preserve"> exekučních srážek </w:t>
      </w:r>
      <w:r w:rsidR="00F33867">
        <w:t>z </w:t>
      </w:r>
      <w:r w:rsidRPr="008C07E4">
        <w:t>důchodů povinných os</w:t>
      </w:r>
      <w:r w:rsidR="00637435">
        <w:t xml:space="preserve">ob a tuto skutečnost neuvedla </w:t>
      </w:r>
      <w:r w:rsidR="00F33867">
        <w:t>v </w:t>
      </w:r>
      <w:r w:rsidR="00EF1129">
        <w:t>p</w:t>
      </w:r>
      <w:r w:rsidRPr="008C07E4">
        <w:t xml:space="preserve">říloze ÚZ </w:t>
      </w:r>
      <w:r w:rsidR="00F33867">
        <w:t>v </w:t>
      </w:r>
      <w:r w:rsidRPr="008C07E4">
        <w:t xml:space="preserve">části </w:t>
      </w:r>
      <w:r w:rsidRPr="00F43745">
        <w:t>E.1</w:t>
      </w:r>
      <w:r w:rsidR="001811F6">
        <w:t>.</w:t>
      </w:r>
      <w:r w:rsidRPr="00F43745">
        <w:t xml:space="preserve"> </w:t>
      </w:r>
      <w:r w:rsidR="00D54265" w:rsidRPr="003317E8">
        <w:rPr>
          <w:i/>
        </w:rPr>
        <w:t>Doplňující informace k položkám rozvahy</w:t>
      </w:r>
      <w:r w:rsidRPr="008C07E4">
        <w:t xml:space="preserve"> podle § 45 odst. 1 písm.</w:t>
      </w:r>
      <w:r w:rsidR="00380EBB">
        <w:t> </w:t>
      </w:r>
      <w:r w:rsidRPr="008C07E4">
        <w:t>e) bod 1 vyhlášky č. 410/2</w:t>
      </w:r>
      <w:r>
        <w:t xml:space="preserve">009 Sb. </w:t>
      </w:r>
      <w:r w:rsidRPr="00766C07">
        <w:t xml:space="preserve">(viz kapitola </w:t>
      </w:r>
      <w:r w:rsidR="006D7823">
        <w:t xml:space="preserve">tohoto kontrolního závěru </w:t>
      </w:r>
      <w:r w:rsidR="00766C07" w:rsidRPr="00766C07">
        <w:t>1.2.1.1</w:t>
      </w:r>
      <w:r w:rsidRPr="00766C07">
        <w:t xml:space="preserve"> </w:t>
      </w:r>
      <w:r w:rsidR="00D54265" w:rsidRPr="003317E8">
        <w:rPr>
          <w:i/>
        </w:rPr>
        <w:t>Rozvaha</w:t>
      </w:r>
      <w:r w:rsidRPr="00766C07">
        <w:t>)</w:t>
      </w:r>
      <w:r w:rsidR="00766C07">
        <w:t>.</w:t>
      </w:r>
      <w:r w:rsidRPr="00F43745">
        <w:t xml:space="preserve"> </w:t>
      </w:r>
    </w:p>
    <w:p w:rsidR="00DB49EA" w:rsidRDefault="00DB49EA" w:rsidP="00766C07">
      <w:pPr>
        <w:ind w:firstLine="0"/>
      </w:pPr>
    </w:p>
    <w:p w:rsidR="001A1086" w:rsidRDefault="001F5837" w:rsidP="00207BF6">
      <w:pPr>
        <w:pStyle w:val="Nadpis4"/>
        <w:numPr>
          <w:ilvl w:val="0"/>
          <w:numId w:val="0"/>
        </w:numPr>
        <w:spacing w:before="0"/>
        <w:rPr>
          <w:sz w:val="22"/>
          <w:szCs w:val="22"/>
        </w:rPr>
      </w:pPr>
      <w:r>
        <w:rPr>
          <w:sz w:val="22"/>
          <w:szCs w:val="22"/>
        </w:rPr>
        <w:t xml:space="preserve">1.2.1.4 </w:t>
      </w:r>
      <w:r w:rsidR="00AC4B8B" w:rsidRPr="00E1314E">
        <w:rPr>
          <w:sz w:val="22"/>
          <w:szCs w:val="22"/>
        </w:rPr>
        <w:t>Přehled o peněžních tocích</w:t>
      </w:r>
    </w:p>
    <w:p w:rsidR="00AC4B8B" w:rsidRDefault="00AC4B8B" w:rsidP="00AC4B8B"/>
    <w:p w:rsidR="001A1086" w:rsidRDefault="00AC4B8B" w:rsidP="00207BF6">
      <w:pPr>
        <w:ind w:firstLine="0"/>
      </w:pPr>
      <w:r w:rsidRPr="00E52D25">
        <w:t xml:space="preserve">ČSSZ </w:t>
      </w:r>
      <w:r w:rsidR="00F33867">
        <w:t>k </w:t>
      </w:r>
      <w:r w:rsidRPr="00E52D25">
        <w:t xml:space="preserve">31. </w:t>
      </w:r>
      <w:r w:rsidR="00637435">
        <w:t>prosinci</w:t>
      </w:r>
      <w:r w:rsidRPr="00E52D25">
        <w:t xml:space="preserve"> 2011 a za bezprostředně předcházející účetní období splnila obě kritéria uvedená </w:t>
      </w:r>
      <w:r w:rsidR="00F33867">
        <w:t>v </w:t>
      </w:r>
      <w:r w:rsidRPr="00E52D25">
        <w:t>§ 20 odst. 1 písm. a) bod</w:t>
      </w:r>
      <w:r w:rsidR="00DF0445">
        <w:t>y</w:t>
      </w:r>
      <w:r w:rsidRPr="00E52D25">
        <w:t xml:space="preserve"> 1 a 2 zákona o účetnictví</w:t>
      </w:r>
      <w:r w:rsidR="00DF0445">
        <w:t>,</w:t>
      </w:r>
      <w:r w:rsidRPr="00E52D25">
        <w:t xml:space="preserve"> a </w:t>
      </w:r>
      <w:r w:rsidR="00DF0445">
        <w:t xml:space="preserve">tudíž byla </w:t>
      </w:r>
      <w:r w:rsidRPr="00E52D25">
        <w:t xml:space="preserve">dle § 18 odst. 1 tohoto zákona povinna sestavit mj. </w:t>
      </w:r>
      <w:r w:rsidR="00D54265" w:rsidRPr="00207BF6">
        <w:rPr>
          <w:i/>
        </w:rPr>
        <w:t>přehled o peněžních tocích</w:t>
      </w:r>
      <w:r w:rsidRPr="00E52D25">
        <w:t>. Tento účetní výkaz sestavovala ČSSZ poprvé.</w:t>
      </w:r>
    </w:p>
    <w:p w:rsidR="001A1086" w:rsidRDefault="001A1086" w:rsidP="00207BF6">
      <w:pPr>
        <w:ind w:firstLine="0"/>
      </w:pPr>
    </w:p>
    <w:p w:rsidR="001A1086" w:rsidRDefault="002F346F" w:rsidP="00207BF6">
      <w:pPr>
        <w:ind w:firstLine="0"/>
        <w:rPr>
          <w:rFonts w:cs="Arial"/>
        </w:rPr>
      </w:pPr>
      <w:r>
        <w:t>Kontrolou bylo zjištěno, že při sestavování výkazu</w:t>
      </w:r>
      <w:r w:rsidR="00637435">
        <w:t xml:space="preserve"> ČSSZ nepostupovala </w:t>
      </w:r>
      <w:r w:rsidR="00F33867">
        <w:t>v </w:t>
      </w:r>
      <w:r w:rsidR="00637435">
        <w:t xml:space="preserve">souladu </w:t>
      </w:r>
      <w:r w:rsidR="00F33867">
        <w:t>s </w:t>
      </w:r>
      <w:r>
        <w:t xml:space="preserve">ustanovením </w:t>
      </w:r>
      <w:r w:rsidRPr="002F346F">
        <w:t>§ 43</w:t>
      </w:r>
      <w:r>
        <w:t xml:space="preserve"> vyhlášky č. 410/2009 Sb. N</w:t>
      </w:r>
      <w:r w:rsidRPr="00140EE2">
        <w:rPr>
          <w:rFonts w:cs="Arial"/>
        </w:rPr>
        <w:t xml:space="preserve">ěkteré </w:t>
      </w:r>
      <w:r>
        <w:rPr>
          <w:rFonts w:cs="Arial"/>
        </w:rPr>
        <w:t xml:space="preserve">položky </w:t>
      </w:r>
      <w:r w:rsidR="00DF0445">
        <w:rPr>
          <w:rFonts w:cs="Arial"/>
        </w:rPr>
        <w:t>p</w:t>
      </w:r>
      <w:r>
        <w:rPr>
          <w:rFonts w:cs="Arial"/>
        </w:rPr>
        <w:t xml:space="preserve">řehledu o peněžních tocích nebyly </w:t>
      </w:r>
      <w:r w:rsidR="003814EC">
        <w:rPr>
          <w:rFonts w:cs="Arial"/>
        </w:rPr>
        <w:t>ČSSZ</w:t>
      </w:r>
      <w:r>
        <w:rPr>
          <w:rFonts w:cs="Arial"/>
        </w:rPr>
        <w:t xml:space="preserve"> naplněny správně, přestože </w:t>
      </w:r>
      <w:r w:rsidRPr="00AC78DA">
        <w:rPr>
          <w:rFonts w:cs="Arial"/>
        </w:rPr>
        <w:t xml:space="preserve">jejich obsahové vymezení </w:t>
      </w:r>
      <w:r w:rsidR="00DF0445" w:rsidRPr="00AC78DA">
        <w:rPr>
          <w:rFonts w:cs="Arial"/>
        </w:rPr>
        <w:t xml:space="preserve">bylo </w:t>
      </w:r>
      <w:r w:rsidR="00F33867">
        <w:rPr>
          <w:rFonts w:cs="Arial"/>
        </w:rPr>
        <w:t>v </w:t>
      </w:r>
      <w:r w:rsidRPr="00AC78DA">
        <w:rPr>
          <w:rFonts w:cs="Arial"/>
        </w:rPr>
        <w:t>§ 43 vyhlášky stanoveno jednoznačně</w:t>
      </w:r>
      <w:r w:rsidR="003814EC">
        <w:rPr>
          <w:rFonts w:cs="Arial"/>
        </w:rPr>
        <w:t xml:space="preserve">. Jedná se </w:t>
      </w:r>
      <w:r w:rsidR="00E7479F">
        <w:rPr>
          <w:rFonts w:cs="Arial"/>
        </w:rPr>
        <w:t xml:space="preserve">např. </w:t>
      </w:r>
      <w:r w:rsidR="003814EC">
        <w:rPr>
          <w:rFonts w:cs="Arial"/>
        </w:rPr>
        <w:t xml:space="preserve">o </w:t>
      </w:r>
      <w:r w:rsidRPr="009E5938">
        <w:rPr>
          <w:rFonts w:cs="Arial"/>
        </w:rPr>
        <w:t xml:space="preserve">položky </w:t>
      </w:r>
      <w:r>
        <w:rPr>
          <w:rFonts w:cs="Arial"/>
        </w:rPr>
        <w:t>vy</w:t>
      </w:r>
      <w:r w:rsidRPr="009E5938">
        <w:rPr>
          <w:rFonts w:cs="Arial"/>
        </w:rPr>
        <w:t>plněn</w:t>
      </w:r>
      <w:r w:rsidR="003814EC">
        <w:rPr>
          <w:rFonts w:cs="Arial"/>
        </w:rPr>
        <w:t>é</w:t>
      </w:r>
      <w:r w:rsidRPr="009E5938">
        <w:rPr>
          <w:rFonts w:cs="Arial"/>
        </w:rPr>
        <w:t xml:space="preserve"> stavem k 31.</w:t>
      </w:r>
      <w:r w:rsidR="001811F6">
        <w:rPr>
          <w:rFonts w:cs="Arial"/>
        </w:rPr>
        <w:t> p</w:t>
      </w:r>
      <w:r w:rsidR="00637435">
        <w:rPr>
          <w:rFonts w:cs="Arial"/>
        </w:rPr>
        <w:t>rosinci</w:t>
      </w:r>
      <w:r w:rsidR="001811F6">
        <w:rPr>
          <w:rFonts w:cs="Arial"/>
        </w:rPr>
        <w:t> </w:t>
      </w:r>
      <w:r w:rsidRPr="009E5938">
        <w:rPr>
          <w:rFonts w:cs="Arial"/>
        </w:rPr>
        <w:t>2011, ačkoliv vyhláška vyžadovala změny stavu</w:t>
      </w:r>
      <w:r w:rsidR="00E7479F">
        <w:rPr>
          <w:rFonts w:cs="Arial"/>
        </w:rPr>
        <w:t>.</w:t>
      </w:r>
      <w:r w:rsidR="001811F6">
        <w:rPr>
          <w:rFonts w:cs="Arial"/>
        </w:rPr>
        <w:t xml:space="preserve"> </w:t>
      </w:r>
      <w:r w:rsidR="00E7479F">
        <w:rPr>
          <w:rFonts w:cs="Arial"/>
        </w:rPr>
        <w:t>N</w:t>
      </w:r>
      <w:r>
        <w:rPr>
          <w:rFonts w:cs="Arial"/>
        </w:rPr>
        <w:t xml:space="preserve">ěkteré položky </w:t>
      </w:r>
      <w:r w:rsidR="00DF0445">
        <w:rPr>
          <w:rFonts w:cs="Arial"/>
        </w:rPr>
        <w:t>p</w:t>
      </w:r>
      <w:r>
        <w:rPr>
          <w:rFonts w:cs="Arial"/>
        </w:rPr>
        <w:t xml:space="preserve">řehledu byly vykázány </w:t>
      </w:r>
      <w:r w:rsidR="00F33867">
        <w:rPr>
          <w:rFonts w:cs="Arial"/>
        </w:rPr>
        <w:t>v </w:t>
      </w:r>
      <w:r>
        <w:rPr>
          <w:rFonts w:cs="Arial"/>
        </w:rPr>
        <w:t xml:space="preserve">nulové hodnotě, ačkoliv peněžní toky </w:t>
      </w:r>
      <w:r w:rsidR="00F33867">
        <w:rPr>
          <w:rFonts w:cs="Arial"/>
        </w:rPr>
        <w:t>v </w:t>
      </w:r>
      <w:r>
        <w:rPr>
          <w:rFonts w:cs="Arial"/>
        </w:rPr>
        <w:t xml:space="preserve">souladu </w:t>
      </w:r>
      <w:r w:rsidR="00F33867">
        <w:rPr>
          <w:rFonts w:cs="Arial"/>
        </w:rPr>
        <w:t>s </w:t>
      </w:r>
      <w:r>
        <w:rPr>
          <w:rFonts w:cs="Arial"/>
        </w:rPr>
        <w:t xml:space="preserve">obsahovým vymezením těchto položek </w:t>
      </w:r>
      <w:r w:rsidR="00F33867">
        <w:rPr>
          <w:rFonts w:cs="Arial"/>
        </w:rPr>
        <w:t>v </w:t>
      </w:r>
      <w:r>
        <w:rPr>
          <w:rFonts w:cs="Arial"/>
        </w:rPr>
        <w:t xml:space="preserve">roce 2011 nastaly. </w:t>
      </w:r>
    </w:p>
    <w:p w:rsidR="001A1086" w:rsidRDefault="001A1086" w:rsidP="00207BF6">
      <w:pPr>
        <w:ind w:firstLine="0"/>
      </w:pPr>
    </w:p>
    <w:p w:rsidR="001A1086" w:rsidRDefault="00AC4B8B" w:rsidP="00207BF6">
      <w:pPr>
        <w:ind w:firstLine="0"/>
        <w:rPr>
          <w:rFonts w:cs="Arial"/>
        </w:rPr>
      </w:pPr>
      <w:r>
        <w:rPr>
          <w:rFonts w:cs="Arial"/>
        </w:rPr>
        <w:t>P</w:t>
      </w:r>
      <w:r w:rsidRPr="00A737B5">
        <w:rPr>
          <w:rFonts w:cs="Arial"/>
        </w:rPr>
        <w:t>řehled o peněžních tocích</w:t>
      </w:r>
      <w:r>
        <w:rPr>
          <w:rFonts w:cs="Arial"/>
        </w:rPr>
        <w:t xml:space="preserve"> sestavený ČSSZ </w:t>
      </w:r>
      <w:r w:rsidR="00F33867">
        <w:rPr>
          <w:rFonts w:cs="Arial"/>
        </w:rPr>
        <w:t>k </w:t>
      </w:r>
      <w:r>
        <w:rPr>
          <w:rFonts w:cs="Arial"/>
        </w:rPr>
        <w:t xml:space="preserve">31. </w:t>
      </w:r>
      <w:r w:rsidR="00637435">
        <w:rPr>
          <w:rFonts w:cs="Arial"/>
        </w:rPr>
        <w:t>prosinci</w:t>
      </w:r>
      <w:r>
        <w:rPr>
          <w:rFonts w:cs="Arial"/>
        </w:rPr>
        <w:t xml:space="preserve"> 2011 obsahuje významné nesprávnosti</w:t>
      </w:r>
      <w:r w:rsidR="00DF0445">
        <w:rPr>
          <w:rFonts w:cs="Arial"/>
        </w:rPr>
        <w:t>,</w:t>
      </w:r>
      <w:r>
        <w:rPr>
          <w:rFonts w:cs="Arial"/>
        </w:rPr>
        <w:t xml:space="preserve"> </w:t>
      </w:r>
      <w:r w:rsidR="00DF0445">
        <w:rPr>
          <w:rFonts w:cs="Arial"/>
        </w:rPr>
        <w:t>a</w:t>
      </w:r>
      <w:r w:rsidRPr="00F17873">
        <w:rPr>
          <w:rFonts w:cs="Arial"/>
        </w:rPr>
        <w:t xml:space="preserve">však vzhledem </w:t>
      </w:r>
      <w:r w:rsidR="00F33867">
        <w:rPr>
          <w:rFonts w:cs="Arial"/>
        </w:rPr>
        <w:t>k </w:t>
      </w:r>
      <w:r w:rsidRPr="00F17873">
        <w:rPr>
          <w:rFonts w:cs="Arial"/>
        </w:rPr>
        <w:t>níže uvedeným skutečnostem, kdy:</w:t>
      </w:r>
      <w:r w:rsidR="001632CB">
        <w:rPr>
          <w:rFonts w:cs="Arial"/>
        </w:rPr>
        <w:t xml:space="preserve"> </w:t>
      </w:r>
    </w:p>
    <w:p w:rsidR="00AC4B8B" w:rsidRPr="006E031B" w:rsidRDefault="00AC4B8B" w:rsidP="006E031B">
      <w:pPr>
        <w:pStyle w:val="Odstavecseseznamem"/>
        <w:numPr>
          <w:ilvl w:val="0"/>
          <w:numId w:val="7"/>
        </w:numPr>
        <w:rPr>
          <w:rFonts w:cs="Arial"/>
        </w:rPr>
      </w:pPr>
      <w:r w:rsidRPr="006E031B">
        <w:rPr>
          <w:rFonts w:cs="Arial"/>
        </w:rPr>
        <w:t xml:space="preserve">ČSSZ nevytvořila datový podklad </w:t>
      </w:r>
      <w:r w:rsidR="00F33867">
        <w:rPr>
          <w:rFonts w:cs="Arial"/>
        </w:rPr>
        <w:t>v </w:t>
      </w:r>
      <w:r w:rsidRPr="006E031B">
        <w:rPr>
          <w:rFonts w:cs="Arial"/>
        </w:rPr>
        <w:t xml:space="preserve">dostatečném analytickém členění nezbytném pro sestavení </w:t>
      </w:r>
      <w:r w:rsidR="00DF0445">
        <w:rPr>
          <w:rFonts w:cs="Arial"/>
        </w:rPr>
        <w:t>p</w:t>
      </w:r>
      <w:r w:rsidRPr="006E031B">
        <w:rPr>
          <w:rFonts w:cs="Arial"/>
        </w:rPr>
        <w:t xml:space="preserve">řehledu o peněžních tocích, takže nebylo možné ze strany </w:t>
      </w:r>
      <w:r w:rsidR="00F07B3A">
        <w:rPr>
          <w:rFonts w:cs="Arial"/>
        </w:rPr>
        <w:t>NKÚ</w:t>
      </w:r>
      <w:r w:rsidRPr="006E031B">
        <w:rPr>
          <w:rFonts w:cs="Arial"/>
        </w:rPr>
        <w:t xml:space="preserve"> </w:t>
      </w:r>
      <w:r w:rsidR="00DF0445">
        <w:rPr>
          <w:rFonts w:cs="Arial"/>
        </w:rPr>
        <w:t>p</w:t>
      </w:r>
      <w:r w:rsidRPr="006E031B">
        <w:rPr>
          <w:rFonts w:cs="Arial"/>
        </w:rPr>
        <w:t xml:space="preserve">řehled o peněžních tocích </w:t>
      </w:r>
      <w:r w:rsidR="00407CC8">
        <w:rPr>
          <w:rFonts w:cs="Arial"/>
        </w:rPr>
        <w:t>ověřit</w:t>
      </w:r>
      <w:r w:rsidRPr="006E031B">
        <w:rPr>
          <w:rFonts w:cs="Arial"/>
        </w:rPr>
        <w:t>, a</w:t>
      </w:r>
    </w:p>
    <w:p w:rsidR="00AC4B8B" w:rsidRPr="00FE25EF" w:rsidRDefault="00DF0445" w:rsidP="00FE25EF">
      <w:pPr>
        <w:pStyle w:val="Odstavecseseznamem"/>
        <w:numPr>
          <w:ilvl w:val="0"/>
          <w:numId w:val="7"/>
        </w:numPr>
        <w:rPr>
          <w:rFonts w:cs="Arial"/>
          <w:szCs w:val="22"/>
        </w:rPr>
      </w:pPr>
      <w:r>
        <w:rPr>
          <w:rFonts w:cs="Arial"/>
        </w:rPr>
        <w:t>v</w:t>
      </w:r>
      <w:r w:rsidR="00AC4B8B" w:rsidRPr="00FE25EF">
        <w:rPr>
          <w:rFonts w:cs="Arial"/>
        </w:rPr>
        <w:t xml:space="preserve">yhláška č. 410/2009 Sb. ve znění platném pro rok 2011 byla </w:t>
      </w:r>
      <w:r w:rsidR="00F33867">
        <w:rPr>
          <w:rFonts w:cs="Arial"/>
        </w:rPr>
        <w:t>v </w:t>
      </w:r>
      <w:r w:rsidR="00AC4B8B" w:rsidRPr="00FE25EF">
        <w:rPr>
          <w:rFonts w:cs="Arial"/>
        </w:rPr>
        <w:t xml:space="preserve">některých svých ustanoveních upravujících způsob sestavení </w:t>
      </w:r>
      <w:r>
        <w:rPr>
          <w:rFonts w:cs="Arial"/>
        </w:rPr>
        <w:t>p</w:t>
      </w:r>
      <w:r w:rsidR="00AC4B8B" w:rsidRPr="00FE25EF">
        <w:rPr>
          <w:rFonts w:cs="Arial"/>
        </w:rPr>
        <w:t>řehledu o peněžních tocích nedostatečně určitá</w:t>
      </w:r>
      <w:r w:rsidR="004A276D" w:rsidRPr="006742E4">
        <w:rPr>
          <w:rFonts w:cs="Arial"/>
        </w:rPr>
        <w:t xml:space="preserve"> </w:t>
      </w:r>
      <w:r>
        <w:rPr>
          <w:rFonts w:cs="Arial"/>
        </w:rPr>
        <w:t>(</w:t>
      </w:r>
      <w:r w:rsidR="00E7479F">
        <w:rPr>
          <w:rFonts w:cs="Arial"/>
        </w:rPr>
        <w:t>N</w:t>
      </w:r>
      <w:r w:rsidR="004A276D" w:rsidRPr="006742E4">
        <w:rPr>
          <w:rFonts w:cs="Arial"/>
        </w:rPr>
        <w:t>apř.</w:t>
      </w:r>
      <w:r w:rsidR="004A276D" w:rsidRPr="00FE25EF">
        <w:rPr>
          <w:rFonts w:cs="Arial"/>
        </w:rPr>
        <w:t xml:space="preserve"> </w:t>
      </w:r>
      <w:r w:rsidR="00F33867">
        <w:rPr>
          <w:rFonts w:cs="Arial"/>
        </w:rPr>
        <w:t>v </w:t>
      </w:r>
      <w:r w:rsidR="004A276D" w:rsidRPr="00FE25EF">
        <w:rPr>
          <w:rFonts w:cs="Arial"/>
        </w:rPr>
        <w:t xml:space="preserve">obsahovém vymezení položky A.I.2. </w:t>
      </w:r>
      <w:r w:rsidR="00D54265" w:rsidRPr="00A1393A">
        <w:rPr>
          <w:rFonts w:cs="Arial"/>
          <w:i/>
        </w:rPr>
        <w:t>Změna stavu opravných položek</w:t>
      </w:r>
      <w:r w:rsidR="004A276D" w:rsidRPr="00FE25EF">
        <w:rPr>
          <w:rFonts w:cs="Arial"/>
        </w:rPr>
        <w:t xml:space="preserve"> stanoveném </w:t>
      </w:r>
      <w:r w:rsidR="00F33867">
        <w:rPr>
          <w:rFonts w:cs="Arial"/>
        </w:rPr>
        <w:t>v </w:t>
      </w:r>
      <w:r w:rsidR="004A276D" w:rsidRPr="00FE25EF">
        <w:rPr>
          <w:rFonts w:cs="Arial"/>
        </w:rPr>
        <w:t xml:space="preserve">§ 43 odst. 3 písm. c) </w:t>
      </w:r>
      <w:r>
        <w:rPr>
          <w:rFonts w:cs="Arial"/>
        </w:rPr>
        <w:t xml:space="preserve">vyhláška </w:t>
      </w:r>
      <w:r w:rsidR="004A276D" w:rsidRPr="00FE25EF">
        <w:rPr>
          <w:rFonts w:cs="Arial"/>
        </w:rPr>
        <w:t xml:space="preserve">nedefinuje, že součástí této položky </w:t>
      </w:r>
      <w:r>
        <w:rPr>
          <w:rFonts w:cs="Arial"/>
        </w:rPr>
        <w:t>p</w:t>
      </w:r>
      <w:r w:rsidR="004A276D" w:rsidRPr="00FE25EF">
        <w:rPr>
          <w:rFonts w:cs="Arial"/>
        </w:rPr>
        <w:t>řehledu o peněžních tocích by měly být zároveň i opravné položky k</w:t>
      </w:r>
      <w:r w:rsidR="001811F6">
        <w:rPr>
          <w:rFonts w:cs="Arial"/>
        </w:rPr>
        <w:t> </w:t>
      </w:r>
      <w:r w:rsidR="004A276D" w:rsidRPr="00FE25EF">
        <w:rPr>
          <w:rFonts w:cs="Arial"/>
        </w:rPr>
        <w:t xml:space="preserve">pohledávkám a opravné položky </w:t>
      </w:r>
      <w:r w:rsidR="00F33867">
        <w:rPr>
          <w:rFonts w:cs="Arial"/>
        </w:rPr>
        <w:t>k </w:t>
      </w:r>
      <w:r w:rsidR="004A276D" w:rsidRPr="00FE25EF">
        <w:rPr>
          <w:rFonts w:cs="Arial"/>
        </w:rPr>
        <w:t xml:space="preserve">zásobám. Tyto opravné položky by tak měly být </w:t>
      </w:r>
      <w:r w:rsidR="00F33867">
        <w:rPr>
          <w:rFonts w:cs="Arial"/>
        </w:rPr>
        <w:t>v </w:t>
      </w:r>
      <w:r w:rsidR="004A276D" w:rsidRPr="00FE25EF">
        <w:rPr>
          <w:rFonts w:cs="Arial"/>
        </w:rPr>
        <w:t xml:space="preserve">souladu </w:t>
      </w:r>
      <w:r w:rsidR="00F33867">
        <w:rPr>
          <w:rFonts w:cs="Arial"/>
        </w:rPr>
        <w:t>s </w:t>
      </w:r>
      <w:r w:rsidR="004A276D" w:rsidRPr="00FE25EF">
        <w:rPr>
          <w:rFonts w:cs="Arial"/>
        </w:rPr>
        <w:t xml:space="preserve">vyhláškou č. 410/2009 Sb. nesystematicky součástí položky A.I.6. </w:t>
      </w:r>
      <w:r w:rsidR="00D54265" w:rsidRPr="00A1393A">
        <w:rPr>
          <w:rFonts w:cs="Arial"/>
          <w:i/>
        </w:rPr>
        <w:t>Ostatní úpravy o nepeněžní operace</w:t>
      </w:r>
      <w:r>
        <w:rPr>
          <w:rFonts w:cs="Arial"/>
        </w:rPr>
        <w:t>.),</w:t>
      </w:r>
      <w:r w:rsidR="004A276D" w:rsidRPr="00FE25EF">
        <w:rPr>
          <w:rFonts w:cs="Arial"/>
        </w:rPr>
        <w:t xml:space="preserve"> </w:t>
      </w:r>
    </w:p>
    <w:p w:rsidR="00BE557B" w:rsidRDefault="00AC4B8B" w:rsidP="00637435">
      <w:pPr>
        <w:ind w:firstLine="0"/>
        <w:rPr>
          <w:rFonts w:cs="Arial"/>
        </w:rPr>
      </w:pPr>
      <w:r w:rsidRPr="00F17873">
        <w:rPr>
          <w:rFonts w:cs="Arial"/>
        </w:rPr>
        <w:t xml:space="preserve">se </w:t>
      </w:r>
      <w:r w:rsidR="006E031B">
        <w:rPr>
          <w:rFonts w:cs="Arial"/>
        </w:rPr>
        <w:t>NKÚ</w:t>
      </w:r>
      <w:r w:rsidRPr="00F17873">
        <w:rPr>
          <w:rFonts w:cs="Arial"/>
        </w:rPr>
        <w:t xml:space="preserve"> nevyjadřuje ke správnosti </w:t>
      </w:r>
      <w:r w:rsidR="00DF0445">
        <w:rPr>
          <w:rFonts w:cs="Arial"/>
        </w:rPr>
        <w:t>p</w:t>
      </w:r>
      <w:r w:rsidRPr="00F17873">
        <w:rPr>
          <w:rFonts w:cs="Arial"/>
        </w:rPr>
        <w:t>řehledu o peněžníc</w:t>
      </w:r>
      <w:r w:rsidR="004C028D">
        <w:rPr>
          <w:rFonts w:cs="Arial"/>
        </w:rPr>
        <w:t>h tocích sestaveného ČSSZ k 31. </w:t>
      </w:r>
      <w:r w:rsidR="00637435">
        <w:rPr>
          <w:rFonts w:cs="Arial"/>
        </w:rPr>
        <w:t>prosinci</w:t>
      </w:r>
      <w:r w:rsidRPr="00F17873">
        <w:rPr>
          <w:rFonts w:cs="Arial"/>
        </w:rPr>
        <w:t xml:space="preserve"> 2011. </w:t>
      </w:r>
    </w:p>
    <w:p w:rsidR="00AC4B8B" w:rsidRDefault="00AC4B8B" w:rsidP="00AC4B8B">
      <w:pPr>
        <w:rPr>
          <w:rFonts w:cs="Arial"/>
        </w:rPr>
      </w:pPr>
      <w:r w:rsidRPr="00F17873">
        <w:rPr>
          <w:rFonts w:cs="Arial"/>
        </w:rPr>
        <w:t xml:space="preserve"> </w:t>
      </w:r>
    </w:p>
    <w:p w:rsidR="001A1086" w:rsidRDefault="001F5837" w:rsidP="002D6B73">
      <w:pPr>
        <w:pStyle w:val="Nadpis4"/>
        <w:numPr>
          <w:ilvl w:val="0"/>
          <w:numId w:val="0"/>
        </w:numPr>
        <w:spacing w:before="0"/>
        <w:rPr>
          <w:sz w:val="22"/>
          <w:szCs w:val="22"/>
        </w:rPr>
      </w:pPr>
      <w:r>
        <w:rPr>
          <w:sz w:val="22"/>
          <w:szCs w:val="22"/>
        </w:rPr>
        <w:t xml:space="preserve">1.2.1.5 </w:t>
      </w:r>
      <w:r w:rsidR="00AC4B8B" w:rsidRPr="00E1314E">
        <w:rPr>
          <w:sz w:val="22"/>
          <w:szCs w:val="22"/>
        </w:rPr>
        <w:t xml:space="preserve">Přehled o změnách vlastního kapitálu </w:t>
      </w:r>
    </w:p>
    <w:p w:rsidR="00AC4B8B" w:rsidRDefault="00AC4B8B" w:rsidP="00BE557B"/>
    <w:p w:rsidR="001A1086" w:rsidRDefault="00AC4B8B" w:rsidP="002D6B73">
      <w:pPr>
        <w:ind w:firstLine="0"/>
      </w:pPr>
      <w:r w:rsidRPr="00E74434">
        <w:t xml:space="preserve">ČSSZ sestavila </w:t>
      </w:r>
      <w:r w:rsidR="00F33867">
        <w:t>v </w:t>
      </w:r>
      <w:r w:rsidRPr="00E74434">
        <w:t xml:space="preserve">rámci účetní závěrky </w:t>
      </w:r>
      <w:r w:rsidR="00F33867">
        <w:t>k </w:t>
      </w:r>
      <w:r w:rsidRPr="00E74434">
        <w:t xml:space="preserve">31. </w:t>
      </w:r>
      <w:r w:rsidR="004C028D">
        <w:t>prosinci</w:t>
      </w:r>
      <w:r w:rsidRPr="00E74434">
        <w:t xml:space="preserve"> 2011 i </w:t>
      </w:r>
      <w:r w:rsidR="00D54265" w:rsidRPr="002D6B73">
        <w:rPr>
          <w:i/>
        </w:rPr>
        <w:t>přehled o změnách vlastního kapitálu</w:t>
      </w:r>
      <w:r>
        <w:t xml:space="preserve">. </w:t>
      </w:r>
      <w:r w:rsidRPr="00E74434">
        <w:t>Tento výkaz ČSSZ sestavovala poprvé.</w:t>
      </w:r>
    </w:p>
    <w:p w:rsidR="001A1086" w:rsidRDefault="001A1086" w:rsidP="002D6B73">
      <w:pPr>
        <w:ind w:firstLine="0"/>
      </w:pPr>
    </w:p>
    <w:p w:rsidR="00AC4B8B" w:rsidRDefault="00AC4B8B" w:rsidP="00611AF6">
      <w:pPr>
        <w:ind w:firstLine="0"/>
      </w:pPr>
      <w:r>
        <w:t xml:space="preserve">Kontrolou bylo zjištěno, že </w:t>
      </w:r>
      <w:r w:rsidR="00DF0445">
        <w:t xml:space="preserve">ČSSZ </w:t>
      </w:r>
      <w:r>
        <w:t>při sestavování výkazu</w:t>
      </w:r>
      <w:r w:rsidR="004C028D">
        <w:t xml:space="preserve"> nepostupovala </w:t>
      </w:r>
      <w:r w:rsidR="00F33867">
        <w:t>v </w:t>
      </w:r>
      <w:r w:rsidR="004C028D">
        <w:t xml:space="preserve">souladu </w:t>
      </w:r>
      <w:r w:rsidR="00F33867">
        <w:t>s </w:t>
      </w:r>
      <w:r>
        <w:t xml:space="preserve">ustanovením § 44 vyhlášky č. 410/2009 Sb. Ve výkazu uvedené zvýšení a snížení stavu neodpovídá skutečnosti. Výkaz proto neposkytuje informace o změnách vlastního kapitálu, ale pouze o stavu vlastního kapitálu </w:t>
      </w:r>
      <w:r w:rsidR="00F33867">
        <w:t>v </w:t>
      </w:r>
      <w:r>
        <w:t xml:space="preserve">minulém a běžném období, </w:t>
      </w:r>
      <w:r w:rsidRPr="003814EC">
        <w:t>a</w:t>
      </w:r>
      <w:r w:rsidR="003814EC">
        <w:t xml:space="preserve"> </w:t>
      </w:r>
      <w:r>
        <w:t xml:space="preserve">ani tyto informace nebyly ČSSZ vyplněny správně. </w:t>
      </w:r>
      <w:r w:rsidRPr="00E74434">
        <w:t xml:space="preserve">Avšak vzhledem ke skutečnosti, že vyhláška č. 410/2009 Sb. upravující způsob sestavení </w:t>
      </w:r>
      <w:r w:rsidR="00B252B3">
        <w:t>p</w:t>
      </w:r>
      <w:r w:rsidRPr="00E74434">
        <w:t xml:space="preserve">řehledu o </w:t>
      </w:r>
      <w:r w:rsidR="006B7A43">
        <w:t xml:space="preserve">změnách vlastního kapitálu </w:t>
      </w:r>
      <w:r w:rsidR="00B252B3" w:rsidRPr="00E74434">
        <w:t xml:space="preserve">nebyla </w:t>
      </w:r>
      <w:r w:rsidRPr="00E74434">
        <w:t xml:space="preserve">ve znění platném pro rok 2011 </w:t>
      </w:r>
      <w:r w:rsidR="00F33867">
        <w:t>v </w:t>
      </w:r>
      <w:r w:rsidRPr="00E74434">
        <w:t xml:space="preserve">ustanovení vymezujícím položku C.III. </w:t>
      </w:r>
      <w:r w:rsidR="00D54265" w:rsidRPr="002D6B73">
        <w:rPr>
          <w:i/>
        </w:rPr>
        <w:t>Výsledek hospodaření</w:t>
      </w:r>
      <w:r w:rsidRPr="00E74434">
        <w:t xml:space="preserve"> zcela jednoznačná, </w:t>
      </w:r>
      <w:r w:rsidR="006D1681">
        <w:t>neboť</w:t>
      </w:r>
      <w:r w:rsidR="006D1681" w:rsidRPr="006D1681">
        <w:t xml:space="preserve"> není zcela zřejmé, zda do položky C.III. do sloupců „zvýšení stavu“, „snížení stavu“ by měla vstupovat výše hospodářského výsledku běžného účetního období</w:t>
      </w:r>
      <w:r w:rsidR="00B252B3">
        <w:t>,</w:t>
      </w:r>
      <w:r w:rsidR="006D1681" w:rsidRPr="006D1681">
        <w:t xml:space="preserve"> či by tato položka měla být naplněna obraty jednotlivých nákladových a výnosových účtů běžného účetního období</w:t>
      </w:r>
      <w:r w:rsidR="006D1681">
        <w:t>,</w:t>
      </w:r>
      <w:r w:rsidR="006D1681" w:rsidRPr="006D1681">
        <w:t xml:space="preserve"> </w:t>
      </w:r>
      <w:r w:rsidR="00B252B3" w:rsidRPr="00E74434">
        <w:t xml:space="preserve">nevyjadřuje </w:t>
      </w:r>
      <w:r w:rsidRPr="00E74434">
        <w:t xml:space="preserve">se </w:t>
      </w:r>
      <w:r>
        <w:t>NKÚ</w:t>
      </w:r>
      <w:r w:rsidRPr="00E74434">
        <w:t xml:space="preserve"> ke správnosti </w:t>
      </w:r>
      <w:r w:rsidR="00B252B3">
        <w:t>p</w:t>
      </w:r>
      <w:r w:rsidRPr="00E74434">
        <w:t>řehledu o změnách vlastního kapitálu sestaveného ČSSZ k</w:t>
      </w:r>
      <w:r w:rsidR="001811F6">
        <w:t> </w:t>
      </w:r>
      <w:r w:rsidRPr="00E74434">
        <w:t xml:space="preserve">31. </w:t>
      </w:r>
      <w:r w:rsidR="004C028D">
        <w:t>prosinci</w:t>
      </w:r>
      <w:r w:rsidRPr="00E74434">
        <w:t xml:space="preserve"> 2011.</w:t>
      </w:r>
    </w:p>
    <w:p w:rsidR="00D02661" w:rsidRDefault="00D02661" w:rsidP="00611AF6">
      <w:pPr>
        <w:ind w:firstLine="0"/>
      </w:pPr>
    </w:p>
    <w:p w:rsidR="001A1086" w:rsidRDefault="001F5837" w:rsidP="00C33012">
      <w:pPr>
        <w:pStyle w:val="Nadpis3"/>
        <w:numPr>
          <w:ilvl w:val="0"/>
          <w:numId w:val="0"/>
        </w:numPr>
        <w:rPr>
          <w:sz w:val="22"/>
          <w:szCs w:val="22"/>
        </w:rPr>
      </w:pPr>
      <w:r>
        <w:rPr>
          <w:sz w:val="22"/>
          <w:szCs w:val="22"/>
        </w:rPr>
        <w:t xml:space="preserve">1.2.2 </w:t>
      </w:r>
      <w:r w:rsidR="00F10F99" w:rsidRPr="00FD2DFA">
        <w:rPr>
          <w:sz w:val="22"/>
          <w:szCs w:val="22"/>
        </w:rPr>
        <w:t>Průkaznost</w:t>
      </w:r>
      <w:r w:rsidR="00FD2DFA" w:rsidRPr="00FD2DFA">
        <w:rPr>
          <w:sz w:val="22"/>
          <w:szCs w:val="22"/>
        </w:rPr>
        <w:t xml:space="preserve"> účetnictví</w:t>
      </w:r>
    </w:p>
    <w:p w:rsidR="00F10F99" w:rsidRPr="00FD2DFA" w:rsidRDefault="00F10F99" w:rsidP="00F10F99"/>
    <w:p w:rsidR="001A1086" w:rsidRDefault="00F33867" w:rsidP="00C33012">
      <w:pPr>
        <w:ind w:firstLine="0"/>
        <w:rPr>
          <w:rFonts w:cs="Arial"/>
        </w:rPr>
      </w:pPr>
      <w:r>
        <w:t>V </w:t>
      </w:r>
      <w:r w:rsidR="00F10F99" w:rsidRPr="00FD2DFA">
        <w:t xml:space="preserve">ustanovení § 8 odst. 4 zákona o účetnictví je stanoveno, že účetnictví účetní jednotky je průkazné, jestliže všechny účetní záznamy tohoto účetnictví jsou průkazné a účetní jednotka provedla inventarizaci. Za průkazný účetní záznam se podle § 33a odst. 1 písm. a) tohoto </w:t>
      </w:r>
      <w:r w:rsidR="00F10F99" w:rsidRPr="00FD2DFA">
        <w:lastRenderedPageBreak/>
        <w:t xml:space="preserve">zákona považuje pouze účetní záznam, který </w:t>
      </w:r>
      <w:r w:rsidR="00F10F99" w:rsidRPr="00FD2DFA">
        <w:rPr>
          <w:rFonts w:cs="Arial"/>
        </w:rPr>
        <w:t>je prokázán přímo porovnáním se skutečností, kterou tento záznam prokazuje.</w:t>
      </w:r>
    </w:p>
    <w:p w:rsidR="001A1086" w:rsidRDefault="001A1086" w:rsidP="00C33012">
      <w:pPr>
        <w:ind w:firstLine="0"/>
        <w:rPr>
          <w:rFonts w:cs="Arial"/>
        </w:rPr>
      </w:pPr>
    </w:p>
    <w:p w:rsidR="00F10F99" w:rsidRPr="00585E43" w:rsidRDefault="00F10F99" w:rsidP="00611AF6">
      <w:pPr>
        <w:ind w:firstLine="0"/>
      </w:pPr>
      <w:r w:rsidRPr="00FD2DFA">
        <w:t xml:space="preserve">ČSSZ tím, že </w:t>
      </w:r>
      <w:r w:rsidR="00F33867">
        <w:t>k </w:t>
      </w:r>
      <w:r w:rsidRPr="00FD2DFA">
        <w:t xml:space="preserve">1. </w:t>
      </w:r>
      <w:r w:rsidR="004C028D">
        <w:t>lednu</w:t>
      </w:r>
      <w:r w:rsidRPr="00FD2DFA">
        <w:t xml:space="preserve"> 2011 neotevřela část počátečního zůstatku účtu 401 – </w:t>
      </w:r>
      <w:r w:rsidR="00D54265" w:rsidRPr="00C33012">
        <w:rPr>
          <w:i/>
        </w:rPr>
        <w:t>Jmění účetní jednotky</w:t>
      </w:r>
      <w:r w:rsidRPr="00FD2DFA">
        <w:t xml:space="preserve"> </w:t>
      </w:r>
      <w:r w:rsidR="001439C0">
        <w:t xml:space="preserve">ve výši </w:t>
      </w:r>
      <w:r w:rsidR="001439C0">
        <w:rPr>
          <w:rFonts w:cs="Arial"/>
          <w:bCs/>
        </w:rPr>
        <w:t>56 954</w:t>
      </w:r>
      <w:r w:rsidR="005E5DF2">
        <w:rPr>
          <w:rFonts w:cs="Arial"/>
          <w:bCs/>
        </w:rPr>
        <w:t xml:space="preserve"> </w:t>
      </w:r>
      <w:r w:rsidR="001439C0">
        <w:rPr>
          <w:rFonts w:cs="Arial"/>
          <w:bCs/>
        </w:rPr>
        <w:t>856,45 tis. Kč</w:t>
      </w:r>
      <w:r w:rsidR="001439C0">
        <w:rPr>
          <w:rStyle w:val="Znakapoznpodarou"/>
          <w:rFonts w:cs="Arial"/>
          <w:bCs/>
        </w:rPr>
        <w:footnoteReference w:id="6"/>
      </w:r>
      <w:r w:rsidR="001439C0" w:rsidRPr="00FD2DFA">
        <w:t xml:space="preserve"> </w:t>
      </w:r>
      <w:r w:rsidRPr="00FD2DFA">
        <w:t xml:space="preserve">průkazným účetním zápisem prostřednictvím účtu 491 – </w:t>
      </w:r>
      <w:r w:rsidR="00D54265" w:rsidRPr="00C33012">
        <w:rPr>
          <w:i/>
        </w:rPr>
        <w:t>Počáteční účet rozvažný</w:t>
      </w:r>
      <w:r w:rsidRPr="00FD2DFA">
        <w:t xml:space="preserve">, </w:t>
      </w:r>
      <w:r w:rsidR="00B252B3">
        <w:t>nýbrž</w:t>
      </w:r>
      <w:r w:rsidRPr="00FD2DFA">
        <w:t xml:space="preserve"> tuto</w:t>
      </w:r>
      <w:r w:rsidRPr="00FD2DFA">
        <w:rPr>
          <w:rFonts w:cs="Arial"/>
        </w:rPr>
        <w:t xml:space="preserve"> část zůstatku automaticky převzala účetním programem </w:t>
      </w:r>
      <w:r w:rsidR="00F33867">
        <w:rPr>
          <w:rFonts w:cs="Arial"/>
        </w:rPr>
        <w:t>z </w:t>
      </w:r>
      <w:r w:rsidRPr="00FD2DFA">
        <w:rPr>
          <w:rFonts w:cs="Arial"/>
        </w:rPr>
        <w:t xml:space="preserve">předchozího období, </w:t>
      </w:r>
      <w:r w:rsidRPr="00FD2DFA">
        <w:t>nevedla průkazné účetnictví.</w:t>
      </w:r>
      <w:r w:rsidRPr="00585E43">
        <w:t xml:space="preserve"> </w:t>
      </w:r>
    </w:p>
    <w:p w:rsidR="00F10F99" w:rsidRDefault="00F10F99" w:rsidP="00304D66"/>
    <w:p w:rsidR="001A1086" w:rsidRDefault="001F5837" w:rsidP="00C33012">
      <w:pPr>
        <w:pStyle w:val="Nadpis2"/>
        <w:numPr>
          <w:ilvl w:val="0"/>
          <w:numId w:val="0"/>
        </w:numPr>
        <w:rPr>
          <w:color w:val="000000"/>
          <w:sz w:val="22"/>
          <w:szCs w:val="22"/>
        </w:rPr>
      </w:pPr>
      <w:r>
        <w:rPr>
          <w:color w:val="000000"/>
          <w:sz w:val="22"/>
          <w:szCs w:val="22"/>
        </w:rPr>
        <w:t xml:space="preserve">1.3 </w:t>
      </w:r>
      <w:r w:rsidR="006D1681">
        <w:rPr>
          <w:color w:val="000000"/>
          <w:sz w:val="22"/>
          <w:szCs w:val="22"/>
        </w:rPr>
        <w:t>P</w:t>
      </w:r>
      <w:r w:rsidR="00AC4B8B" w:rsidRPr="00E1314E">
        <w:rPr>
          <w:color w:val="000000"/>
          <w:sz w:val="22"/>
          <w:szCs w:val="22"/>
        </w:rPr>
        <w:t>ožadavky na obsah ÚZ</w:t>
      </w:r>
    </w:p>
    <w:p w:rsidR="00AC4B8B" w:rsidRPr="00F935DC" w:rsidRDefault="00AC4B8B" w:rsidP="00AC4B8B">
      <w:pPr>
        <w:rPr>
          <w:rFonts w:cs="Arial"/>
          <w:color w:val="000000"/>
        </w:rPr>
      </w:pPr>
    </w:p>
    <w:p w:rsidR="00AC4B8B" w:rsidRDefault="00AC4B8B" w:rsidP="00611AF6">
      <w:pPr>
        <w:ind w:firstLine="0"/>
        <w:rPr>
          <w:rFonts w:cs="Arial"/>
          <w:color w:val="000000"/>
        </w:rPr>
      </w:pPr>
      <w:r w:rsidRPr="00F935DC">
        <w:rPr>
          <w:rFonts w:cs="Arial"/>
          <w:color w:val="000000"/>
        </w:rPr>
        <w:t xml:space="preserve">Účetní závěrka ČSSZ </w:t>
      </w:r>
      <w:r w:rsidR="00F33867">
        <w:rPr>
          <w:rFonts w:cs="Arial"/>
          <w:color w:val="000000"/>
        </w:rPr>
        <w:t>k </w:t>
      </w:r>
      <w:r w:rsidRPr="00F935DC">
        <w:rPr>
          <w:rFonts w:cs="Arial"/>
          <w:color w:val="000000"/>
        </w:rPr>
        <w:t>31. prosinci 201</w:t>
      </w:r>
      <w:r>
        <w:rPr>
          <w:rFonts w:cs="Arial"/>
          <w:color w:val="000000"/>
        </w:rPr>
        <w:t>1</w:t>
      </w:r>
      <w:r w:rsidRPr="00F935DC">
        <w:rPr>
          <w:rFonts w:cs="Arial"/>
          <w:color w:val="000000"/>
        </w:rPr>
        <w:t xml:space="preserve"> byla sestavena </w:t>
      </w:r>
      <w:r w:rsidR="00F33867">
        <w:rPr>
          <w:rFonts w:cs="Arial"/>
          <w:color w:val="000000"/>
        </w:rPr>
        <w:t>v </w:t>
      </w:r>
      <w:r w:rsidRPr="00F935DC">
        <w:rPr>
          <w:rFonts w:cs="Arial"/>
          <w:color w:val="000000"/>
        </w:rPr>
        <w:t xml:space="preserve">souladu </w:t>
      </w:r>
      <w:r w:rsidR="00F33867">
        <w:rPr>
          <w:rFonts w:cs="Arial"/>
          <w:color w:val="000000"/>
        </w:rPr>
        <w:t>s </w:t>
      </w:r>
      <w:r w:rsidRPr="00F935DC">
        <w:rPr>
          <w:rFonts w:cs="Arial"/>
          <w:color w:val="000000"/>
        </w:rPr>
        <w:t>§</w:t>
      </w:r>
      <w:r w:rsidR="005E5DF2">
        <w:rPr>
          <w:rFonts w:cs="Arial"/>
          <w:color w:val="000000"/>
        </w:rPr>
        <w:t xml:space="preserve"> </w:t>
      </w:r>
      <w:r w:rsidRPr="00F935DC">
        <w:rPr>
          <w:rFonts w:cs="Arial"/>
          <w:color w:val="000000"/>
        </w:rPr>
        <w:t>18 odst. 1 zákona o</w:t>
      </w:r>
      <w:r w:rsidR="001811F6">
        <w:rPr>
          <w:rFonts w:cs="Arial"/>
          <w:color w:val="000000"/>
        </w:rPr>
        <w:t> </w:t>
      </w:r>
      <w:r w:rsidRPr="00F935DC">
        <w:rPr>
          <w:rFonts w:cs="Arial"/>
          <w:color w:val="000000"/>
        </w:rPr>
        <w:t xml:space="preserve">účetnictví. </w:t>
      </w:r>
      <w:r w:rsidRPr="0062603D">
        <w:rPr>
          <w:rFonts w:cs="Arial"/>
          <w:color w:val="000000"/>
        </w:rPr>
        <w:t xml:space="preserve">Příloha účetní závěrky však neobsahovala všechny informace požadované </w:t>
      </w:r>
      <w:r w:rsidR="00F33867">
        <w:rPr>
          <w:rFonts w:cs="Arial"/>
          <w:color w:val="000000"/>
        </w:rPr>
        <w:t>v </w:t>
      </w:r>
      <w:r w:rsidRPr="0062603D">
        <w:rPr>
          <w:rFonts w:cs="Arial"/>
          <w:color w:val="000000"/>
        </w:rPr>
        <w:t xml:space="preserve">ustanovení § 7 odst. 5 zákona o účetnictví. ČSSZ </w:t>
      </w:r>
      <w:r w:rsidR="00F33867">
        <w:rPr>
          <w:rFonts w:cs="Arial"/>
          <w:color w:val="000000"/>
        </w:rPr>
        <w:t>v </w:t>
      </w:r>
      <w:r w:rsidR="00B252B3">
        <w:rPr>
          <w:rFonts w:cs="Arial"/>
          <w:color w:val="000000"/>
        </w:rPr>
        <w:t>p</w:t>
      </w:r>
      <w:r w:rsidRPr="0062603D">
        <w:rPr>
          <w:rFonts w:cs="Arial"/>
          <w:color w:val="000000"/>
        </w:rPr>
        <w:t xml:space="preserve">říloze ÚZ neuvedla </w:t>
      </w:r>
      <w:r w:rsidR="006D1681">
        <w:rPr>
          <w:rFonts w:cs="Arial"/>
          <w:color w:val="000000"/>
        </w:rPr>
        <w:t xml:space="preserve">např. </w:t>
      </w:r>
      <w:r w:rsidRPr="0062603D">
        <w:rPr>
          <w:rFonts w:cs="Arial"/>
          <w:color w:val="000000"/>
        </w:rPr>
        <w:t xml:space="preserve">následující použité účetní metody </w:t>
      </w:r>
      <w:r w:rsidR="00F33867">
        <w:rPr>
          <w:rFonts w:cs="Arial"/>
          <w:color w:val="000000"/>
        </w:rPr>
        <w:t>v </w:t>
      </w:r>
      <w:r w:rsidRPr="0062603D">
        <w:rPr>
          <w:rFonts w:cs="Arial"/>
          <w:color w:val="000000"/>
        </w:rPr>
        <w:t>roce 2011:</w:t>
      </w:r>
      <w:r w:rsidR="001632CB">
        <w:rPr>
          <w:rFonts w:cs="Arial"/>
          <w:color w:val="000000"/>
        </w:rPr>
        <w:t xml:space="preserve"> </w:t>
      </w:r>
    </w:p>
    <w:p w:rsidR="00AC4B8B" w:rsidRPr="006E031B" w:rsidRDefault="00AC4B8B" w:rsidP="001F5837">
      <w:pPr>
        <w:pStyle w:val="Odstavecseseznamem"/>
        <w:numPr>
          <w:ilvl w:val="0"/>
          <w:numId w:val="13"/>
        </w:numPr>
        <w:ind w:left="284" w:hanging="284"/>
        <w:rPr>
          <w:rFonts w:cs="Arial"/>
          <w:color w:val="000000"/>
        </w:rPr>
      </w:pPr>
      <w:r w:rsidRPr="006E031B">
        <w:rPr>
          <w:rFonts w:cs="Arial"/>
          <w:color w:val="000000"/>
        </w:rPr>
        <w:tab/>
        <w:t xml:space="preserve">vymezení nákladů souvisejících </w:t>
      </w:r>
      <w:r w:rsidR="00F33867">
        <w:rPr>
          <w:rFonts w:cs="Arial"/>
          <w:color w:val="000000"/>
        </w:rPr>
        <w:t>s </w:t>
      </w:r>
      <w:r w:rsidRPr="006E031B">
        <w:rPr>
          <w:rFonts w:cs="Arial"/>
          <w:color w:val="000000"/>
        </w:rPr>
        <w:t xml:space="preserve">pořízením </w:t>
      </w:r>
      <w:r w:rsidR="006D1681">
        <w:rPr>
          <w:rFonts w:cs="Arial"/>
          <w:color w:val="000000"/>
        </w:rPr>
        <w:t>dlouhodobého nehmotného majetku a</w:t>
      </w:r>
      <w:r w:rsidR="001811F6">
        <w:rPr>
          <w:rFonts w:cs="Arial"/>
          <w:color w:val="000000"/>
        </w:rPr>
        <w:t> </w:t>
      </w:r>
      <w:r w:rsidR="006D1681">
        <w:rPr>
          <w:rFonts w:cs="Arial"/>
          <w:color w:val="000000"/>
        </w:rPr>
        <w:t>dlouhodobého hmotného majetku</w:t>
      </w:r>
      <w:r w:rsidRPr="006E031B">
        <w:rPr>
          <w:rFonts w:cs="Arial"/>
          <w:color w:val="000000"/>
        </w:rPr>
        <w:t>,</w:t>
      </w:r>
    </w:p>
    <w:p w:rsidR="00AC4B8B" w:rsidRPr="006E031B" w:rsidRDefault="00AC4B8B" w:rsidP="001F5837">
      <w:pPr>
        <w:pStyle w:val="Odstavecseseznamem"/>
        <w:numPr>
          <w:ilvl w:val="0"/>
          <w:numId w:val="13"/>
        </w:numPr>
        <w:ind w:left="284" w:hanging="284"/>
        <w:rPr>
          <w:rFonts w:cs="Arial"/>
          <w:color w:val="000000"/>
        </w:rPr>
      </w:pPr>
      <w:r w:rsidRPr="006E031B">
        <w:rPr>
          <w:rFonts w:cs="Arial"/>
          <w:color w:val="000000"/>
        </w:rPr>
        <w:tab/>
        <w:t xml:space="preserve">oceňovací rozdíly při uplatnění reálné hodnoty u ostatního majetku určeného </w:t>
      </w:r>
      <w:r w:rsidR="00F33867">
        <w:rPr>
          <w:rFonts w:cs="Arial"/>
          <w:color w:val="000000"/>
        </w:rPr>
        <w:t>k </w:t>
      </w:r>
      <w:r w:rsidRPr="006E031B">
        <w:rPr>
          <w:rFonts w:cs="Arial"/>
          <w:color w:val="000000"/>
        </w:rPr>
        <w:t xml:space="preserve">prodeji, </w:t>
      </w:r>
    </w:p>
    <w:p w:rsidR="00AC4B8B" w:rsidRPr="0062603D" w:rsidRDefault="00AC4B8B" w:rsidP="001F5837">
      <w:pPr>
        <w:ind w:left="284" w:hanging="284"/>
        <w:rPr>
          <w:rFonts w:cs="Arial"/>
          <w:color w:val="000000"/>
        </w:rPr>
      </w:pPr>
      <w:r w:rsidRPr="0062603D">
        <w:rPr>
          <w:rFonts w:cs="Arial"/>
          <w:color w:val="000000"/>
        </w:rPr>
        <w:t>•</w:t>
      </w:r>
      <w:r w:rsidRPr="0062603D">
        <w:rPr>
          <w:rFonts w:cs="Arial"/>
          <w:color w:val="000000"/>
        </w:rPr>
        <w:tab/>
        <w:t>odpisování majetku</w:t>
      </w:r>
      <w:r w:rsidR="00260D52">
        <w:rPr>
          <w:rFonts w:cs="Arial"/>
          <w:color w:val="000000"/>
        </w:rPr>
        <w:t>.</w:t>
      </w:r>
    </w:p>
    <w:p w:rsidR="00940F00" w:rsidRDefault="00940F00" w:rsidP="00AC4B8B">
      <w:pPr>
        <w:ind w:firstLine="284"/>
        <w:rPr>
          <w:rFonts w:cs="Arial"/>
          <w:color w:val="000000"/>
        </w:rPr>
      </w:pPr>
    </w:p>
    <w:p w:rsidR="001A1086" w:rsidRDefault="001F5837" w:rsidP="008E208D">
      <w:pPr>
        <w:pStyle w:val="Nadpis1"/>
        <w:numPr>
          <w:ilvl w:val="0"/>
          <w:numId w:val="0"/>
        </w:numPr>
        <w:rPr>
          <w:sz w:val="22"/>
          <w:szCs w:val="22"/>
        </w:rPr>
      </w:pPr>
      <w:r>
        <w:rPr>
          <w:sz w:val="22"/>
          <w:szCs w:val="22"/>
        </w:rPr>
        <w:t xml:space="preserve">2. </w:t>
      </w:r>
      <w:r w:rsidR="00AC4B8B" w:rsidRPr="00E1314E">
        <w:rPr>
          <w:sz w:val="22"/>
          <w:szCs w:val="22"/>
        </w:rPr>
        <w:t>Finanční výkazy</w:t>
      </w:r>
      <w:r w:rsidR="000163AE">
        <w:rPr>
          <w:sz w:val="22"/>
          <w:szCs w:val="22"/>
        </w:rPr>
        <w:t xml:space="preserve"> ČSSZ</w:t>
      </w:r>
      <w:r w:rsidR="00AC4B8B" w:rsidRPr="00E1314E">
        <w:rPr>
          <w:sz w:val="22"/>
          <w:szCs w:val="22"/>
        </w:rPr>
        <w:t xml:space="preserve"> </w:t>
      </w:r>
      <w:r w:rsidR="00F33867">
        <w:rPr>
          <w:sz w:val="22"/>
          <w:szCs w:val="22"/>
        </w:rPr>
        <w:t>k </w:t>
      </w:r>
      <w:r w:rsidR="000163AE">
        <w:rPr>
          <w:sz w:val="22"/>
          <w:szCs w:val="22"/>
        </w:rPr>
        <w:t xml:space="preserve">31. prosinci 2011 </w:t>
      </w:r>
    </w:p>
    <w:p w:rsidR="00F43745" w:rsidRDefault="00F43745" w:rsidP="00F43745">
      <w:pPr>
        <w:rPr>
          <w:lang w:eastAsia="cs-CZ"/>
        </w:rPr>
      </w:pPr>
    </w:p>
    <w:p w:rsidR="00F43745" w:rsidRDefault="00F33867" w:rsidP="00611AF6">
      <w:pPr>
        <w:ind w:firstLine="0"/>
        <w:rPr>
          <w:rFonts w:cs="Arial"/>
          <w:szCs w:val="22"/>
        </w:rPr>
      </w:pPr>
      <w:r>
        <w:rPr>
          <w:lang w:eastAsia="cs-CZ"/>
        </w:rPr>
        <w:t>V </w:t>
      </w:r>
      <w:r w:rsidR="00F43745">
        <w:rPr>
          <w:lang w:eastAsia="cs-CZ"/>
        </w:rPr>
        <w:t xml:space="preserve">rámci kontrolní akce byly prověřovány také finanční výkazy: </w:t>
      </w:r>
      <w:r w:rsidR="00B252B3">
        <w:rPr>
          <w:rFonts w:cs="Arial"/>
          <w:szCs w:val="22"/>
        </w:rPr>
        <w:t>v</w:t>
      </w:r>
      <w:r w:rsidR="00F43745" w:rsidRPr="00495C6A">
        <w:rPr>
          <w:rFonts w:cs="Arial"/>
          <w:szCs w:val="22"/>
        </w:rPr>
        <w:t>ýkaz pro hodnocení plnění rozpočtu</w:t>
      </w:r>
      <w:r w:rsidR="00B252B3">
        <w:rPr>
          <w:rFonts w:cs="Arial"/>
          <w:szCs w:val="22"/>
        </w:rPr>
        <w:t>,</w:t>
      </w:r>
      <w:r w:rsidR="00F43745">
        <w:rPr>
          <w:rFonts w:cs="Arial"/>
          <w:szCs w:val="22"/>
        </w:rPr>
        <w:t xml:space="preserve"> </w:t>
      </w:r>
      <w:r w:rsidR="00B252B3">
        <w:rPr>
          <w:rFonts w:cs="Arial"/>
          <w:szCs w:val="22"/>
        </w:rPr>
        <w:t>v</w:t>
      </w:r>
      <w:r w:rsidR="00F43745">
        <w:rPr>
          <w:rFonts w:cs="Arial"/>
          <w:szCs w:val="22"/>
        </w:rPr>
        <w:t xml:space="preserve">ýkaz o nárocích </w:t>
      </w:r>
      <w:r>
        <w:rPr>
          <w:rFonts w:cs="Arial"/>
          <w:szCs w:val="22"/>
        </w:rPr>
        <w:t>z </w:t>
      </w:r>
      <w:r w:rsidR="00F43745">
        <w:rPr>
          <w:rFonts w:cs="Arial"/>
          <w:szCs w:val="22"/>
        </w:rPr>
        <w:t xml:space="preserve">nespotřebovaných výdajů organizačních složek státu </w:t>
      </w:r>
      <w:r w:rsidR="00B32632">
        <w:rPr>
          <w:rFonts w:cs="Arial"/>
          <w:szCs w:val="22"/>
        </w:rPr>
        <w:t>a </w:t>
      </w:r>
      <w:r w:rsidR="00B252B3">
        <w:rPr>
          <w:rFonts w:cs="Arial"/>
          <w:szCs w:val="22"/>
        </w:rPr>
        <w:t>c</w:t>
      </w:r>
      <w:r w:rsidR="00F43745">
        <w:rPr>
          <w:rFonts w:cs="Arial"/>
          <w:szCs w:val="22"/>
        </w:rPr>
        <w:t>hronologický přehled rozpočtových opatření včetně komentáře.</w:t>
      </w:r>
    </w:p>
    <w:p w:rsidR="00F43745" w:rsidRPr="00F43745" w:rsidRDefault="00F43745" w:rsidP="008E208D">
      <w:pPr>
        <w:ind w:firstLine="0"/>
        <w:rPr>
          <w:lang w:eastAsia="cs-CZ"/>
        </w:rPr>
      </w:pPr>
    </w:p>
    <w:p w:rsidR="00224E83" w:rsidRDefault="001F5837" w:rsidP="00D3725E">
      <w:pPr>
        <w:pStyle w:val="Nadpis2"/>
        <w:numPr>
          <w:ilvl w:val="0"/>
          <w:numId w:val="0"/>
        </w:numPr>
        <w:ind w:left="397" w:hanging="397"/>
        <w:jc w:val="left"/>
        <w:rPr>
          <w:sz w:val="22"/>
          <w:szCs w:val="22"/>
        </w:rPr>
      </w:pPr>
      <w:r>
        <w:rPr>
          <w:sz w:val="22"/>
          <w:szCs w:val="22"/>
        </w:rPr>
        <w:t xml:space="preserve">2.1 </w:t>
      </w:r>
      <w:r w:rsidR="008D157D">
        <w:rPr>
          <w:sz w:val="22"/>
          <w:szCs w:val="22"/>
        </w:rPr>
        <w:t>P</w:t>
      </w:r>
      <w:r w:rsidR="00AC4B8B" w:rsidRPr="00E1314E">
        <w:rPr>
          <w:sz w:val="22"/>
          <w:szCs w:val="22"/>
        </w:rPr>
        <w:t>rávní předpis</w:t>
      </w:r>
      <w:r w:rsidR="008D157D">
        <w:rPr>
          <w:sz w:val="22"/>
          <w:szCs w:val="22"/>
        </w:rPr>
        <w:t>y</w:t>
      </w:r>
      <w:r w:rsidR="00AC4B8B" w:rsidRPr="00E1314E">
        <w:rPr>
          <w:sz w:val="22"/>
          <w:szCs w:val="22"/>
        </w:rPr>
        <w:t xml:space="preserve"> </w:t>
      </w:r>
      <w:r w:rsidR="00F33867">
        <w:rPr>
          <w:sz w:val="22"/>
          <w:szCs w:val="22"/>
        </w:rPr>
        <w:t>v </w:t>
      </w:r>
      <w:r w:rsidR="00AC4B8B" w:rsidRPr="00E1314E">
        <w:rPr>
          <w:sz w:val="22"/>
          <w:szCs w:val="22"/>
        </w:rPr>
        <w:t xml:space="preserve">oblasti finančního výkaznictví organizačních složek státu </w:t>
      </w:r>
    </w:p>
    <w:p w:rsidR="001A1086" w:rsidRDefault="00F33867" w:rsidP="00224E83">
      <w:pPr>
        <w:pStyle w:val="Nadpis2"/>
        <w:numPr>
          <w:ilvl w:val="0"/>
          <w:numId w:val="0"/>
        </w:numPr>
        <w:ind w:left="397"/>
        <w:jc w:val="left"/>
        <w:rPr>
          <w:sz w:val="22"/>
          <w:szCs w:val="22"/>
        </w:rPr>
      </w:pPr>
      <w:r>
        <w:rPr>
          <w:sz w:val="22"/>
          <w:szCs w:val="22"/>
        </w:rPr>
        <w:t>v </w:t>
      </w:r>
      <w:r w:rsidR="00AC4B8B" w:rsidRPr="00E1314E">
        <w:rPr>
          <w:sz w:val="22"/>
          <w:szCs w:val="22"/>
        </w:rPr>
        <w:t>roce 2011</w:t>
      </w:r>
      <w:r w:rsidR="006E031B" w:rsidRPr="00E1314E">
        <w:rPr>
          <w:sz w:val="22"/>
          <w:szCs w:val="22"/>
        </w:rPr>
        <w:t xml:space="preserve"> </w:t>
      </w:r>
    </w:p>
    <w:p w:rsidR="00FB51B7" w:rsidRPr="00FB51B7" w:rsidRDefault="00FB51B7" w:rsidP="00FB51B7"/>
    <w:p w:rsidR="005C2E30" w:rsidRDefault="005C2E30" w:rsidP="001811F6">
      <w:pPr>
        <w:ind w:firstLine="0"/>
      </w:pPr>
      <w:r>
        <w:t xml:space="preserve">Finanční výkazy jsou sestavovány </w:t>
      </w:r>
      <w:r w:rsidR="00F33867">
        <w:t>v </w:t>
      </w:r>
      <w:r>
        <w:t xml:space="preserve">souladu </w:t>
      </w:r>
      <w:r w:rsidR="00F33867">
        <w:t>s </w:t>
      </w:r>
      <w:r w:rsidR="006F0B2C">
        <w:t>vyhlášk</w:t>
      </w:r>
      <w:r>
        <w:t>ou</w:t>
      </w:r>
      <w:r w:rsidR="006F0B2C">
        <w:t xml:space="preserve"> </w:t>
      </w:r>
      <w:r w:rsidR="006F0B2C" w:rsidRPr="00017E0A">
        <w:t>č. 449/2009 Sb., o způsobu, termínech a rozsahu údajů předkládaných pro hodnocení plnění státního rozpočtu, rozpočtů státních fondů, rozpočtů územních samosprávn</w:t>
      </w:r>
      <w:r w:rsidR="00B32632">
        <w:t>ý</w:t>
      </w:r>
      <w:r w:rsidR="006F0B2C" w:rsidRPr="00017E0A">
        <w:t>ch celků</w:t>
      </w:r>
      <w:r w:rsidR="0027684E">
        <w:t>, rozpočtů dobrovolných svazků obcí a rozpočtů Regionálních rad regionů soudržnosti</w:t>
      </w:r>
      <w:r>
        <w:t xml:space="preserve">. Tato vyhláška byla </w:t>
      </w:r>
      <w:r w:rsidR="00F33867">
        <w:t>s </w:t>
      </w:r>
      <w:r>
        <w:t>účinností od 1.</w:t>
      </w:r>
      <w:r w:rsidR="001811F6">
        <w:t> </w:t>
      </w:r>
      <w:r>
        <w:t>1.</w:t>
      </w:r>
      <w:r w:rsidR="001811F6">
        <w:t> </w:t>
      </w:r>
      <w:r>
        <w:t>2011 novelizována</w:t>
      </w:r>
      <w:r w:rsidR="00367096">
        <w:t xml:space="preserve">. Předmětem novelizace bylo zejména sjednocení vykazování údajů </w:t>
      </w:r>
      <w:r w:rsidR="00F33867">
        <w:t>v </w:t>
      </w:r>
      <w:r w:rsidR="00036B11">
        <w:t>ÚZ a finančních výkazech</w:t>
      </w:r>
      <w:r w:rsidR="00036B11">
        <w:rPr>
          <w:rStyle w:val="Znakapoznpodarou"/>
        </w:rPr>
        <w:footnoteReference w:id="7"/>
      </w:r>
      <w:r w:rsidR="00036B11">
        <w:t>.</w:t>
      </w:r>
      <w:r w:rsidR="001632CB">
        <w:t xml:space="preserve"> </w:t>
      </w:r>
      <w:r w:rsidR="00367096" w:rsidRPr="00017E0A">
        <w:t xml:space="preserve">Dále je oblast </w:t>
      </w:r>
      <w:r w:rsidRPr="00017E0A">
        <w:t>finančních výkazů</w:t>
      </w:r>
      <w:r w:rsidR="00367096" w:rsidRPr="00017E0A">
        <w:t xml:space="preserve"> upravena </w:t>
      </w:r>
      <w:r w:rsidRPr="00017E0A">
        <w:t>zákon</w:t>
      </w:r>
      <w:r w:rsidR="00367096" w:rsidRPr="00017E0A">
        <w:t>em</w:t>
      </w:r>
      <w:r w:rsidRPr="00017E0A">
        <w:t xml:space="preserve"> č.</w:t>
      </w:r>
      <w:r w:rsidR="005246A2">
        <w:t> </w:t>
      </w:r>
      <w:r w:rsidRPr="00017E0A">
        <w:t>218</w:t>
      </w:r>
      <w:r w:rsidR="00123276" w:rsidRPr="00017E0A">
        <w:t xml:space="preserve">/2000 Sb. </w:t>
      </w:r>
      <w:r w:rsidRPr="00017E0A">
        <w:t>a prováděcí vyhlášk</w:t>
      </w:r>
      <w:r w:rsidR="00367096" w:rsidRPr="00017E0A">
        <w:t>ou</w:t>
      </w:r>
      <w:r w:rsidRPr="00017E0A">
        <w:t xml:space="preserve"> č. 323</w:t>
      </w:r>
      <w:r w:rsidR="00367096" w:rsidRPr="00017E0A">
        <w:t>/2002 Sb., o rozpočtové skladbě.</w:t>
      </w:r>
    </w:p>
    <w:p w:rsidR="006F0B2C" w:rsidRDefault="006F0B2C" w:rsidP="006E031B"/>
    <w:p w:rsidR="001A1086" w:rsidRDefault="001F5837" w:rsidP="008E208D">
      <w:pPr>
        <w:pStyle w:val="Nadpis2"/>
        <w:numPr>
          <w:ilvl w:val="0"/>
          <w:numId w:val="0"/>
        </w:numPr>
        <w:rPr>
          <w:sz w:val="22"/>
          <w:szCs w:val="22"/>
        </w:rPr>
      </w:pPr>
      <w:r>
        <w:rPr>
          <w:sz w:val="22"/>
          <w:szCs w:val="22"/>
        </w:rPr>
        <w:t xml:space="preserve">2.2 </w:t>
      </w:r>
      <w:r w:rsidR="008D157D" w:rsidRPr="000B4925">
        <w:rPr>
          <w:sz w:val="22"/>
          <w:szCs w:val="22"/>
        </w:rPr>
        <w:t>Výkaz pro hodnocení plnění rozpočtu</w:t>
      </w:r>
      <w:r w:rsidR="001632CB">
        <w:rPr>
          <w:sz w:val="22"/>
          <w:szCs w:val="22"/>
        </w:rPr>
        <w:t xml:space="preserve"> </w:t>
      </w:r>
    </w:p>
    <w:p w:rsidR="0052110C" w:rsidRDefault="0052110C" w:rsidP="0052110C">
      <w:pPr>
        <w:pStyle w:val="Nadpis2"/>
        <w:numPr>
          <w:ilvl w:val="0"/>
          <w:numId w:val="0"/>
        </w:numPr>
        <w:rPr>
          <w:sz w:val="22"/>
          <w:szCs w:val="22"/>
        </w:rPr>
      </w:pPr>
    </w:p>
    <w:p w:rsidR="008D157D" w:rsidRPr="007B6FEA" w:rsidRDefault="008D157D" w:rsidP="00B32632">
      <w:pPr>
        <w:tabs>
          <w:tab w:val="right" w:pos="9072"/>
        </w:tabs>
        <w:ind w:firstLine="0"/>
        <w:rPr>
          <w:rFonts w:cs="Arial"/>
          <w:b/>
          <w:color w:val="000000"/>
        </w:rPr>
      </w:pPr>
      <w:r w:rsidRPr="00F935DC">
        <w:rPr>
          <w:rFonts w:cs="Arial"/>
          <w:b/>
          <w:color w:val="000000"/>
        </w:rPr>
        <w:t xml:space="preserve">Tabulka č. </w:t>
      </w:r>
      <w:r>
        <w:rPr>
          <w:rFonts w:cs="Arial"/>
          <w:b/>
          <w:color w:val="000000"/>
        </w:rPr>
        <w:t>2</w:t>
      </w:r>
      <w:r w:rsidR="001632CB">
        <w:rPr>
          <w:rFonts w:cs="Arial"/>
          <w:b/>
          <w:color w:val="000000"/>
        </w:rPr>
        <w:t xml:space="preserve"> </w:t>
      </w:r>
      <w:r w:rsidRPr="00F935DC">
        <w:rPr>
          <w:rFonts w:cs="Arial"/>
          <w:b/>
          <w:color w:val="000000"/>
        </w:rPr>
        <w:t xml:space="preserve">– Údaje </w:t>
      </w:r>
      <w:r w:rsidR="00F33867">
        <w:rPr>
          <w:rFonts w:cs="Arial"/>
          <w:b/>
          <w:color w:val="000000"/>
        </w:rPr>
        <w:t>z </w:t>
      </w:r>
      <w:r w:rsidR="00B32632">
        <w:rPr>
          <w:rFonts w:cs="Arial"/>
          <w:b/>
          <w:color w:val="000000"/>
        </w:rPr>
        <w:t>v</w:t>
      </w:r>
      <w:r w:rsidRPr="00F935DC">
        <w:rPr>
          <w:rFonts w:cs="Arial"/>
          <w:b/>
          <w:color w:val="000000"/>
        </w:rPr>
        <w:t>ýkaz</w:t>
      </w:r>
      <w:r>
        <w:rPr>
          <w:rFonts w:cs="Arial"/>
          <w:b/>
          <w:color w:val="000000"/>
        </w:rPr>
        <w:t xml:space="preserve">u pro hodnocení plnění rozpočtu </w:t>
      </w:r>
      <w:r w:rsidR="00B32632">
        <w:rPr>
          <w:rFonts w:cs="Arial"/>
          <w:b/>
          <w:color w:val="000000"/>
        </w:rPr>
        <w:tab/>
      </w:r>
      <w:r w:rsidRPr="007B6FEA">
        <w:rPr>
          <w:rFonts w:cs="Arial"/>
          <w:b/>
          <w:color w:val="000000"/>
        </w:rPr>
        <w:t>(</w:t>
      </w:r>
      <w:r w:rsidR="00F33867">
        <w:rPr>
          <w:rFonts w:cs="Arial"/>
          <w:b/>
          <w:color w:val="000000"/>
        </w:rPr>
        <w:t>v </w:t>
      </w:r>
      <w:r w:rsidRPr="007B6FEA">
        <w:rPr>
          <w:rFonts w:cs="Arial"/>
          <w:b/>
          <w:color w:val="000000"/>
        </w:rPr>
        <w:t>Kč)</w:t>
      </w:r>
    </w:p>
    <w:tbl>
      <w:tblPr>
        <w:tblW w:w="8996" w:type="dxa"/>
        <w:jc w:val="center"/>
        <w:tblInd w:w="56" w:type="dxa"/>
        <w:tblCellMar>
          <w:left w:w="70" w:type="dxa"/>
          <w:right w:w="70" w:type="dxa"/>
        </w:tblCellMar>
        <w:tblLook w:val="04A0"/>
      </w:tblPr>
      <w:tblGrid>
        <w:gridCol w:w="4160"/>
        <w:gridCol w:w="4836"/>
      </w:tblGrid>
      <w:tr w:rsidR="008D157D" w:rsidRPr="00F935DC" w:rsidTr="008D157D">
        <w:trPr>
          <w:trHeight w:val="283"/>
          <w:jc w:val="center"/>
        </w:trPr>
        <w:tc>
          <w:tcPr>
            <w:tcW w:w="4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7D" w:rsidRPr="00F935DC" w:rsidRDefault="008D157D" w:rsidP="008D157D">
            <w:pPr>
              <w:spacing w:before="20" w:after="20"/>
              <w:jc w:val="center"/>
              <w:rPr>
                <w:rFonts w:cs="Arial"/>
                <w:b/>
                <w:bCs/>
                <w:color w:val="000000"/>
                <w:lang w:eastAsia="cs-CZ"/>
              </w:rPr>
            </w:pPr>
            <w:r w:rsidRPr="00F935DC">
              <w:rPr>
                <w:rFonts w:cs="Arial"/>
                <w:b/>
                <w:bCs/>
                <w:color w:val="000000"/>
                <w:lang w:eastAsia="cs-CZ"/>
              </w:rPr>
              <w:t>Ukazatel</w:t>
            </w:r>
          </w:p>
        </w:tc>
        <w:tc>
          <w:tcPr>
            <w:tcW w:w="4836" w:type="dxa"/>
            <w:tcBorders>
              <w:top w:val="single" w:sz="4" w:space="0" w:color="auto"/>
              <w:left w:val="nil"/>
              <w:bottom w:val="single" w:sz="4" w:space="0" w:color="auto"/>
              <w:right w:val="single" w:sz="4" w:space="0" w:color="auto"/>
            </w:tcBorders>
            <w:shd w:val="clear" w:color="auto" w:fill="auto"/>
            <w:noWrap/>
            <w:vAlign w:val="center"/>
            <w:hideMark/>
          </w:tcPr>
          <w:p w:rsidR="008D157D" w:rsidRPr="00F935DC" w:rsidRDefault="008D157D" w:rsidP="008D157D">
            <w:pPr>
              <w:spacing w:before="20" w:after="20"/>
              <w:jc w:val="center"/>
              <w:rPr>
                <w:rFonts w:cs="Arial"/>
                <w:b/>
                <w:bCs/>
                <w:color w:val="000000"/>
                <w:lang w:eastAsia="cs-CZ"/>
              </w:rPr>
            </w:pPr>
            <w:r w:rsidRPr="00F935DC">
              <w:rPr>
                <w:rFonts w:cs="Arial"/>
                <w:b/>
                <w:bCs/>
                <w:color w:val="000000"/>
                <w:lang w:eastAsia="cs-CZ"/>
              </w:rPr>
              <w:t>Hodnota</w:t>
            </w:r>
          </w:p>
        </w:tc>
      </w:tr>
      <w:tr w:rsidR="008D157D" w:rsidRPr="00F935DC" w:rsidTr="008D157D">
        <w:trPr>
          <w:trHeight w:val="283"/>
          <w:jc w:val="center"/>
        </w:trPr>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8D157D" w:rsidRPr="00F935DC" w:rsidRDefault="008D157D" w:rsidP="008D157D">
            <w:pPr>
              <w:spacing w:before="20" w:after="20"/>
              <w:rPr>
                <w:rFonts w:cs="Arial"/>
                <w:color w:val="000000"/>
                <w:lang w:eastAsia="cs-CZ"/>
              </w:rPr>
            </w:pPr>
            <w:r w:rsidRPr="00F935DC">
              <w:rPr>
                <w:rFonts w:cs="Arial"/>
                <w:color w:val="000000"/>
                <w:lang w:eastAsia="cs-CZ"/>
              </w:rPr>
              <w:t>Příjmy</w:t>
            </w:r>
          </w:p>
        </w:tc>
        <w:tc>
          <w:tcPr>
            <w:tcW w:w="4836" w:type="dxa"/>
            <w:tcBorders>
              <w:top w:val="nil"/>
              <w:left w:val="nil"/>
              <w:bottom w:val="single" w:sz="4" w:space="0" w:color="auto"/>
              <w:right w:val="single" w:sz="4" w:space="0" w:color="auto"/>
            </w:tcBorders>
            <w:shd w:val="clear" w:color="auto" w:fill="auto"/>
            <w:noWrap/>
            <w:vAlign w:val="center"/>
            <w:hideMark/>
          </w:tcPr>
          <w:p w:rsidR="008D157D" w:rsidRPr="00F935DC" w:rsidRDefault="008D157D" w:rsidP="00CD3DEB">
            <w:pPr>
              <w:spacing w:before="20" w:after="20"/>
              <w:ind w:right="260"/>
              <w:jc w:val="right"/>
              <w:rPr>
                <w:rFonts w:cs="Arial"/>
                <w:color w:val="000000"/>
                <w:lang w:eastAsia="cs-CZ"/>
              </w:rPr>
            </w:pPr>
            <w:r w:rsidRPr="00214F9A">
              <w:rPr>
                <w:rFonts w:cs="Arial"/>
                <w:color w:val="000000"/>
                <w:szCs w:val="22"/>
                <w:lang w:eastAsia="cs-CZ"/>
              </w:rPr>
              <w:t>358 103</w:t>
            </w:r>
            <w:r w:rsidR="005E5DF2">
              <w:rPr>
                <w:rFonts w:cs="Arial"/>
                <w:color w:val="000000"/>
                <w:szCs w:val="22"/>
                <w:lang w:eastAsia="cs-CZ"/>
              </w:rPr>
              <w:t xml:space="preserve"> </w:t>
            </w:r>
            <w:r w:rsidRPr="00214F9A">
              <w:rPr>
                <w:rFonts w:cs="Arial"/>
                <w:color w:val="000000"/>
                <w:szCs w:val="22"/>
                <w:lang w:eastAsia="cs-CZ"/>
              </w:rPr>
              <w:t>993</w:t>
            </w:r>
            <w:r w:rsidR="00CD3DEB">
              <w:rPr>
                <w:rFonts w:cs="Arial"/>
                <w:color w:val="000000"/>
                <w:szCs w:val="22"/>
                <w:lang w:eastAsia="cs-CZ"/>
              </w:rPr>
              <w:t xml:space="preserve"> </w:t>
            </w:r>
            <w:r w:rsidRPr="00214F9A">
              <w:rPr>
                <w:rFonts w:cs="Arial"/>
                <w:color w:val="000000"/>
                <w:szCs w:val="22"/>
                <w:lang w:eastAsia="cs-CZ"/>
              </w:rPr>
              <w:t>7</w:t>
            </w:r>
            <w:r w:rsidR="00CD3DEB">
              <w:rPr>
                <w:rFonts w:cs="Arial"/>
                <w:color w:val="000000"/>
                <w:szCs w:val="22"/>
                <w:lang w:eastAsia="cs-CZ"/>
              </w:rPr>
              <w:t>49,65</w:t>
            </w:r>
          </w:p>
        </w:tc>
      </w:tr>
      <w:tr w:rsidR="008D157D" w:rsidRPr="00F935DC" w:rsidTr="008D157D">
        <w:trPr>
          <w:trHeight w:val="283"/>
          <w:jc w:val="center"/>
        </w:trPr>
        <w:tc>
          <w:tcPr>
            <w:tcW w:w="4160" w:type="dxa"/>
            <w:tcBorders>
              <w:top w:val="nil"/>
              <w:left w:val="single" w:sz="4" w:space="0" w:color="auto"/>
              <w:bottom w:val="single" w:sz="4" w:space="0" w:color="auto"/>
              <w:right w:val="single" w:sz="4" w:space="0" w:color="auto"/>
            </w:tcBorders>
            <w:shd w:val="clear" w:color="auto" w:fill="auto"/>
            <w:noWrap/>
            <w:vAlign w:val="center"/>
            <w:hideMark/>
          </w:tcPr>
          <w:p w:rsidR="008D157D" w:rsidRPr="00F935DC" w:rsidRDefault="008D157D" w:rsidP="008D157D">
            <w:pPr>
              <w:spacing w:before="20" w:after="20"/>
              <w:rPr>
                <w:rFonts w:cs="Arial"/>
                <w:color w:val="000000"/>
                <w:lang w:eastAsia="cs-CZ"/>
              </w:rPr>
            </w:pPr>
            <w:r w:rsidRPr="00F935DC">
              <w:rPr>
                <w:rFonts w:cs="Arial"/>
                <w:color w:val="000000"/>
                <w:lang w:eastAsia="cs-CZ"/>
              </w:rPr>
              <w:t>Výdaje</w:t>
            </w:r>
          </w:p>
        </w:tc>
        <w:tc>
          <w:tcPr>
            <w:tcW w:w="4836" w:type="dxa"/>
            <w:tcBorders>
              <w:top w:val="nil"/>
              <w:left w:val="nil"/>
              <w:bottom w:val="single" w:sz="4" w:space="0" w:color="auto"/>
              <w:right w:val="single" w:sz="4" w:space="0" w:color="auto"/>
            </w:tcBorders>
            <w:shd w:val="clear" w:color="auto" w:fill="auto"/>
            <w:noWrap/>
            <w:vAlign w:val="center"/>
            <w:hideMark/>
          </w:tcPr>
          <w:p w:rsidR="008D157D" w:rsidRPr="00F935DC" w:rsidRDefault="008D157D" w:rsidP="00CD3DEB">
            <w:pPr>
              <w:spacing w:before="20" w:after="20"/>
              <w:ind w:right="260"/>
              <w:jc w:val="right"/>
              <w:rPr>
                <w:rFonts w:cs="Arial"/>
                <w:color w:val="000000"/>
                <w:lang w:eastAsia="cs-CZ"/>
              </w:rPr>
            </w:pPr>
            <w:r w:rsidRPr="00214F9A">
              <w:rPr>
                <w:rFonts w:cs="Arial"/>
                <w:color w:val="000000"/>
                <w:lang w:eastAsia="cs-CZ"/>
              </w:rPr>
              <w:t>387 120</w:t>
            </w:r>
            <w:r w:rsidR="005E5DF2">
              <w:rPr>
                <w:rFonts w:cs="Arial"/>
                <w:color w:val="000000"/>
                <w:lang w:eastAsia="cs-CZ"/>
              </w:rPr>
              <w:t xml:space="preserve"> </w:t>
            </w:r>
            <w:r w:rsidRPr="00214F9A">
              <w:rPr>
                <w:rFonts w:cs="Arial"/>
                <w:color w:val="000000"/>
                <w:lang w:eastAsia="cs-CZ"/>
              </w:rPr>
              <w:t>495</w:t>
            </w:r>
            <w:r w:rsidR="00CD3DEB">
              <w:rPr>
                <w:rFonts w:cs="Arial"/>
                <w:color w:val="000000"/>
                <w:lang w:eastAsia="cs-CZ"/>
              </w:rPr>
              <w:t xml:space="preserve"> </w:t>
            </w:r>
            <w:r w:rsidRPr="00214F9A">
              <w:rPr>
                <w:rFonts w:cs="Arial"/>
                <w:color w:val="000000"/>
                <w:lang w:eastAsia="cs-CZ"/>
              </w:rPr>
              <w:t>9</w:t>
            </w:r>
            <w:r w:rsidR="00CD3DEB">
              <w:rPr>
                <w:rFonts w:cs="Arial"/>
                <w:color w:val="000000"/>
                <w:lang w:eastAsia="cs-CZ"/>
              </w:rPr>
              <w:t>45,63</w:t>
            </w:r>
          </w:p>
        </w:tc>
      </w:tr>
    </w:tbl>
    <w:p w:rsidR="008D157D" w:rsidRPr="00D02661" w:rsidRDefault="008D157D" w:rsidP="00F01974">
      <w:pPr>
        <w:spacing w:before="40"/>
        <w:ind w:firstLine="0"/>
        <w:rPr>
          <w:rFonts w:cs="Arial"/>
          <w:color w:val="000000"/>
          <w:sz w:val="18"/>
          <w:szCs w:val="18"/>
        </w:rPr>
      </w:pPr>
      <w:r w:rsidRPr="00D02661">
        <w:rPr>
          <w:rFonts w:cs="Arial"/>
          <w:b/>
          <w:color w:val="000000"/>
          <w:sz w:val="18"/>
          <w:szCs w:val="18"/>
        </w:rPr>
        <w:t>Zdroj:</w:t>
      </w:r>
      <w:r w:rsidRPr="00D02661">
        <w:rPr>
          <w:rFonts w:cs="Arial"/>
          <w:color w:val="000000"/>
          <w:sz w:val="18"/>
          <w:szCs w:val="18"/>
        </w:rPr>
        <w:t xml:space="preserve"> </w:t>
      </w:r>
      <w:r w:rsidR="00B32632">
        <w:rPr>
          <w:rFonts w:cs="Arial"/>
          <w:color w:val="000000"/>
          <w:sz w:val="18"/>
          <w:szCs w:val="18"/>
        </w:rPr>
        <w:t>v</w:t>
      </w:r>
      <w:r w:rsidRPr="00D02661">
        <w:rPr>
          <w:rFonts w:cs="Arial"/>
          <w:color w:val="000000"/>
          <w:sz w:val="18"/>
          <w:szCs w:val="18"/>
        </w:rPr>
        <w:t xml:space="preserve">ýkaz pro hodnocení plnění rozpočtu ČSSZ </w:t>
      </w:r>
      <w:r w:rsidR="00F33867">
        <w:rPr>
          <w:rFonts w:cs="Arial"/>
          <w:color w:val="000000"/>
          <w:sz w:val="18"/>
          <w:szCs w:val="18"/>
        </w:rPr>
        <w:t>k </w:t>
      </w:r>
      <w:r w:rsidRPr="00D02661">
        <w:rPr>
          <w:rFonts w:cs="Arial"/>
          <w:color w:val="000000"/>
          <w:sz w:val="18"/>
          <w:szCs w:val="18"/>
        </w:rPr>
        <w:t>31.</w:t>
      </w:r>
      <w:r w:rsidR="005E5DF2">
        <w:rPr>
          <w:rFonts w:cs="Arial"/>
          <w:color w:val="000000"/>
          <w:sz w:val="18"/>
          <w:szCs w:val="18"/>
        </w:rPr>
        <w:t xml:space="preserve"> </w:t>
      </w:r>
      <w:r w:rsidRPr="00D02661">
        <w:rPr>
          <w:rFonts w:cs="Arial"/>
          <w:color w:val="000000"/>
          <w:sz w:val="18"/>
          <w:szCs w:val="18"/>
        </w:rPr>
        <w:t>prosinci 2011.</w:t>
      </w:r>
    </w:p>
    <w:p w:rsidR="008D157D" w:rsidRPr="008D157D" w:rsidRDefault="008D157D" w:rsidP="008D157D"/>
    <w:p w:rsidR="001A1086" w:rsidRDefault="001F5837" w:rsidP="00C96D3B">
      <w:pPr>
        <w:pStyle w:val="Nadpis3"/>
        <w:numPr>
          <w:ilvl w:val="0"/>
          <w:numId w:val="0"/>
        </w:numPr>
        <w:rPr>
          <w:sz w:val="22"/>
          <w:szCs w:val="22"/>
        </w:rPr>
      </w:pPr>
      <w:r>
        <w:rPr>
          <w:sz w:val="22"/>
          <w:szCs w:val="22"/>
        </w:rPr>
        <w:t xml:space="preserve">2.2.1 </w:t>
      </w:r>
      <w:r w:rsidR="008D157D" w:rsidRPr="0091520F">
        <w:rPr>
          <w:sz w:val="22"/>
          <w:szCs w:val="22"/>
        </w:rPr>
        <w:t>Nesprávnosti</w:t>
      </w:r>
      <w:r w:rsidR="00D54265" w:rsidRPr="00C96D3B">
        <w:rPr>
          <w:sz w:val="22"/>
          <w:szCs w:val="22"/>
        </w:rPr>
        <w:t xml:space="preserve"> ve </w:t>
      </w:r>
      <w:r w:rsidR="00B32632">
        <w:rPr>
          <w:sz w:val="22"/>
          <w:szCs w:val="22"/>
        </w:rPr>
        <w:t>v</w:t>
      </w:r>
      <w:r w:rsidR="0052110C" w:rsidRPr="0091520F">
        <w:rPr>
          <w:sz w:val="22"/>
          <w:szCs w:val="22"/>
        </w:rPr>
        <w:t>ýkaz</w:t>
      </w:r>
      <w:r w:rsidR="00EC4CAB">
        <w:rPr>
          <w:sz w:val="22"/>
          <w:szCs w:val="22"/>
        </w:rPr>
        <w:t>u pro hodnocení plnění rozpočtu k 31. 12. 2011</w:t>
      </w:r>
    </w:p>
    <w:p w:rsidR="0052110C" w:rsidRPr="0052110C" w:rsidRDefault="0052110C" w:rsidP="0052110C"/>
    <w:p w:rsidR="008F34F1" w:rsidRPr="00F935DC" w:rsidRDefault="00F33867" w:rsidP="001811F6">
      <w:pPr>
        <w:ind w:firstLine="0"/>
        <w:rPr>
          <w:rFonts w:cs="Arial"/>
          <w:color w:val="000000"/>
        </w:rPr>
      </w:pPr>
      <w:r>
        <w:rPr>
          <w:rFonts w:cs="Arial"/>
          <w:color w:val="000000"/>
        </w:rPr>
        <w:t>V </w:t>
      </w:r>
      <w:r w:rsidR="008F34F1" w:rsidRPr="00F935DC">
        <w:rPr>
          <w:rFonts w:cs="Arial"/>
          <w:color w:val="000000"/>
        </w:rPr>
        <w:t xml:space="preserve">případě příjmů a výdajů uvedených ve </w:t>
      </w:r>
      <w:r w:rsidR="00B32632">
        <w:rPr>
          <w:rFonts w:cs="Arial"/>
          <w:color w:val="000000"/>
        </w:rPr>
        <w:t>v</w:t>
      </w:r>
      <w:r w:rsidR="008F34F1" w:rsidRPr="00F935DC">
        <w:rPr>
          <w:rFonts w:cs="Arial"/>
          <w:color w:val="000000"/>
        </w:rPr>
        <w:t xml:space="preserve">ýkazu pro hodnocení plnění rozpočtu byla </w:t>
      </w:r>
      <w:r w:rsidR="00E7479F">
        <w:rPr>
          <w:rFonts w:cs="Arial"/>
          <w:color w:val="000000"/>
        </w:rPr>
        <w:t xml:space="preserve">na vybraném vzorku </w:t>
      </w:r>
      <w:r w:rsidR="008F34F1" w:rsidRPr="00017E0A">
        <w:rPr>
          <w:rFonts w:cs="Arial"/>
          <w:color w:val="000000"/>
        </w:rPr>
        <w:t>kontrolována správnost jejich klasifikace paragrafy a položkami rozpočtové skladby dle vyhlášky č. 323/2002 Sb</w:t>
      </w:r>
      <w:r w:rsidR="002C1143" w:rsidRPr="00017E0A">
        <w:rPr>
          <w:rFonts w:cs="Arial"/>
          <w:color w:val="000000"/>
        </w:rPr>
        <w:t>.</w:t>
      </w:r>
      <w:r w:rsidR="008F34F1" w:rsidRPr="00017E0A">
        <w:rPr>
          <w:rFonts w:cs="Arial"/>
          <w:color w:val="000000"/>
        </w:rPr>
        <w:t xml:space="preserve"> Dále bylo ověřováno, zda byla dodržena ustanovení vyhlášky č.</w:t>
      </w:r>
      <w:r w:rsidR="005E5DF2">
        <w:rPr>
          <w:rFonts w:cs="Arial"/>
          <w:color w:val="000000"/>
        </w:rPr>
        <w:t xml:space="preserve"> </w:t>
      </w:r>
      <w:r w:rsidR="008F34F1" w:rsidRPr="00017E0A">
        <w:rPr>
          <w:rFonts w:cs="Arial"/>
          <w:color w:val="000000"/>
        </w:rPr>
        <w:t>449/2009 Sb. týkající se finančních výkazů.</w:t>
      </w:r>
    </w:p>
    <w:p w:rsidR="008F34F1" w:rsidRPr="00F935DC" w:rsidRDefault="008F34F1" w:rsidP="00304D66">
      <w:pPr>
        <w:rPr>
          <w:rFonts w:cs="Arial"/>
          <w:color w:val="000000"/>
        </w:rPr>
      </w:pPr>
    </w:p>
    <w:p w:rsidR="001A1086" w:rsidRDefault="001F5837" w:rsidP="00C924D0">
      <w:pPr>
        <w:pStyle w:val="Nadpis4"/>
        <w:numPr>
          <w:ilvl w:val="0"/>
          <w:numId w:val="0"/>
        </w:numPr>
        <w:tabs>
          <w:tab w:val="clear" w:pos="567"/>
        </w:tabs>
        <w:spacing w:before="0"/>
        <w:rPr>
          <w:sz w:val="22"/>
          <w:szCs w:val="22"/>
        </w:rPr>
      </w:pPr>
      <w:r>
        <w:rPr>
          <w:color w:val="000000"/>
          <w:sz w:val="22"/>
          <w:szCs w:val="22"/>
        </w:rPr>
        <w:lastRenderedPageBreak/>
        <w:t xml:space="preserve">2.2.1.1 </w:t>
      </w:r>
      <w:r w:rsidR="00AC4B8B" w:rsidRPr="00E1314E">
        <w:rPr>
          <w:color w:val="000000"/>
          <w:sz w:val="22"/>
          <w:szCs w:val="22"/>
        </w:rPr>
        <w:t xml:space="preserve">Rozpočtové paragrafy položky </w:t>
      </w:r>
      <w:r w:rsidR="00AC4B8B" w:rsidRPr="00E7479F">
        <w:rPr>
          <w:color w:val="000000"/>
          <w:sz w:val="22"/>
          <w:szCs w:val="22"/>
        </w:rPr>
        <w:t xml:space="preserve">5410 – </w:t>
      </w:r>
      <w:r w:rsidR="00D54265" w:rsidRPr="00C924D0">
        <w:rPr>
          <w:i/>
          <w:color w:val="000000"/>
          <w:sz w:val="22"/>
          <w:szCs w:val="22"/>
        </w:rPr>
        <w:t>Sociální dávky</w:t>
      </w:r>
    </w:p>
    <w:p w:rsidR="00AC4B8B" w:rsidRPr="00F935DC" w:rsidRDefault="00AC4B8B" w:rsidP="00AC4B8B">
      <w:pPr>
        <w:rPr>
          <w:rFonts w:cs="Arial"/>
          <w:color w:val="000000"/>
          <w:lang w:eastAsia="cs-CZ"/>
        </w:rPr>
      </w:pPr>
    </w:p>
    <w:p w:rsidR="00AC4B8B" w:rsidRPr="00F935DC" w:rsidRDefault="00AC4B8B" w:rsidP="001811F6">
      <w:pPr>
        <w:ind w:firstLine="0"/>
        <w:rPr>
          <w:rFonts w:cs="Arial"/>
          <w:color w:val="000000"/>
        </w:rPr>
      </w:pPr>
      <w:r w:rsidRPr="00F935DC">
        <w:rPr>
          <w:rFonts w:cs="Arial"/>
          <w:color w:val="000000"/>
          <w:lang w:eastAsia="cs-CZ"/>
        </w:rPr>
        <w:t xml:space="preserve">V souvislosti </w:t>
      </w:r>
      <w:r w:rsidR="00F33867">
        <w:rPr>
          <w:rFonts w:cs="Arial"/>
          <w:color w:val="000000"/>
          <w:lang w:eastAsia="cs-CZ"/>
        </w:rPr>
        <w:t>s </w:t>
      </w:r>
      <w:r w:rsidRPr="00F935DC">
        <w:rPr>
          <w:rFonts w:cs="Arial"/>
          <w:color w:val="000000"/>
          <w:lang w:eastAsia="cs-CZ"/>
        </w:rPr>
        <w:t xml:space="preserve">kontrolou realizace </w:t>
      </w:r>
      <w:r w:rsidR="00B32632" w:rsidRPr="00E50EB3">
        <w:rPr>
          <w:rFonts w:cs="Arial"/>
          <w:color w:val="000000"/>
          <w:lang w:eastAsia="cs-CZ"/>
        </w:rPr>
        <w:t xml:space="preserve">opatření </w:t>
      </w:r>
      <w:r w:rsidRPr="00F935DC">
        <w:rPr>
          <w:rFonts w:cs="Arial"/>
          <w:color w:val="000000"/>
          <w:lang w:eastAsia="cs-CZ"/>
        </w:rPr>
        <w:t xml:space="preserve">přijatých </w:t>
      </w:r>
      <w:r w:rsidR="00F33867">
        <w:rPr>
          <w:rFonts w:cs="Arial"/>
          <w:color w:val="000000"/>
          <w:lang w:eastAsia="cs-CZ"/>
        </w:rPr>
        <w:t>k </w:t>
      </w:r>
      <w:r w:rsidRPr="00E50EB3">
        <w:rPr>
          <w:rFonts w:cs="Arial"/>
          <w:color w:val="000000"/>
          <w:lang w:eastAsia="cs-CZ"/>
        </w:rPr>
        <w:t xml:space="preserve">nápravě </w:t>
      </w:r>
      <w:r w:rsidRPr="00E50EB3">
        <w:rPr>
          <w:rFonts w:cs="Arial"/>
          <w:color w:val="000000"/>
        </w:rPr>
        <w:t xml:space="preserve">a </w:t>
      </w:r>
      <w:r w:rsidR="00F33867">
        <w:rPr>
          <w:rFonts w:cs="Arial"/>
          <w:color w:val="000000"/>
        </w:rPr>
        <w:t>k </w:t>
      </w:r>
      <w:r w:rsidRPr="00E50EB3">
        <w:rPr>
          <w:rFonts w:cs="Arial"/>
          <w:color w:val="000000"/>
        </w:rPr>
        <w:t xml:space="preserve">odstranění nedostatků </w:t>
      </w:r>
      <w:r w:rsidR="00B32632">
        <w:rPr>
          <w:rFonts w:cs="Arial"/>
          <w:color w:val="000000"/>
        </w:rPr>
        <w:t>uvedených</w:t>
      </w:r>
      <w:r w:rsidRPr="00E50EB3">
        <w:rPr>
          <w:rFonts w:cs="Arial"/>
          <w:color w:val="000000"/>
        </w:rPr>
        <w:t xml:space="preserve"> </w:t>
      </w:r>
      <w:r w:rsidR="00F33867">
        <w:rPr>
          <w:rFonts w:cs="Arial"/>
          <w:color w:val="000000"/>
        </w:rPr>
        <w:t>v </w:t>
      </w:r>
      <w:r w:rsidRPr="00E50EB3">
        <w:rPr>
          <w:rFonts w:cs="Arial"/>
          <w:color w:val="000000"/>
        </w:rPr>
        <w:t>kontrolní</w:t>
      </w:r>
      <w:r w:rsidR="00B32632">
        <w:rPr>
          <w:rFonts w:cs="Arial"/>
          <w:color w:val="000000"/>
        </w:rPr>
        <w:t>ch</w:t>
      </w:r>
      <w:r w:rsidRPr="00E50EB3">
        <w:rPr>
          <w:rFonts w:cs="Arial"/>
          <w:color w:val="000000"/>
        </w:rPr>
        <w:t xml:space="preserve"> závěr</w:t>
      </w:r>
      <w:r w:rsidR="00B32632">
        <w:rPr>
          <w:rFonts w:cs="Arial"/>
          <w:color w:val="000000"/>
        </w:rPr>
        <w:t>ech</w:t>
      </w:r>
      <w:r w:rsidRPr="00E50EB3">
        <w:rPr>
          <w:rFonts w:cs="Arial"/>
          <w:color w:val="000000"/>
        </w:rPr>
        <w:t xml:space="preserve"> NKÚ </w:t>
      </w:r>
      <w:r w:rsidR="00F33867">
        <w:rPr>
          <w:rFonts w:cs="Arial"/>
          <w:color w:val="000000"/>
        </w:rPr>
        <w:t>z </w:t>
      </w:r>
      <w:r w:rsidRPr="00E50EB3">
        <w:rPr>
          <w:rFonts w:cs="Arial"/>
          <w:color w:val="000000"/>
        </w:rPr>
        <w:t>kontrolní</w:t>
      </w:r>
      <w:r w:rsidR="00B32632">
        <w:rPr>
          <w:rFonts w:cs="Arial"/>
          <w:color w:val="000000"/>
        </w:rPr>
        <w:t>ch</w:t>
      </w:r>
      <w:r w:rsidRPr="00E50EB3">
        <w:rPr>
          <w:rFonts w:cs="Arial"/>
          <w:color w:val="000000"/>
        </w:rPr>
        <w:t xml:space="preserve"> akc</w:t>
      </w:r>
      <w:r w:rsidR="00B32632">
        <w:rPr>
          <w:rFonts w:cs="Arial"/>
          <w:color w:val="000000"/>
        </w:rPr>
        <w:t>í</w:t>
      </w:r>
      <w:r w:rsidRPr="00E50EB3">
        <w:rPr>
          <w:rFonts w:cs="Arial"/>
          <w:color w:val="000000"/>
        </w:rPr>
        <w:t xml:space="preserve"> č.</w:t>
      </w:r>
      <w:r w:rsidR="005E5DF2">
        <w:rPr>
          <w:rFonts w:cs="Arial"/>
          <w:color w:val="000000"/>
        </w:rPr>
        <w:t xml:space="preserve"> </w:t>
      </w:r>
      <w:r w:rsidRPr="00E50EB3">
        <w:rPr>
          <w:rFonts w:cs="Arial"/>
          <w:color w:val="000000"/>
        </w:rPr>
        <w:t>09/30</w:t>
      </w:r>
      <w:r w:rsidR="00DF0359" w:rsidRPr="00E50EB3">
        <w:rPr>
          <w:rFonts w:cs="Arial"/>
          <w:color w:val="000000"/>
        </w:rPr>
        <w:t xml:space="preserve"> a č. 10/19</w:t>
      </w:r>
      <w:r w:rsidRPr="00E50EB3">
        <w:rPr>
          <w:rFonts w:cs="Arial"/>
          <w:color w:val="000000"/>
        </w:rPr>
        <w:t xml:space="preserve"> byla shledána skutečnost, že i </w:t>
      </w:r>
      <w:r w:rsidR="00F33867">
        <w:rPr>
          <w:rFonts w:cs="Arial"/>
          <w:color w:val="000000"/>
        </w:rPr>
        <w:t>v </w:t>
      </w:r>
      <w:r w:rsidRPr="00E50EB3">
        <w:rPr>
          <w:rFonts w:cs="Arial"/>
          <w:color w:val="000000"/>
        </w:rPr>
        <w:t>roce 201</w:t>
      </w:r>
      <w:r w:rsidR="00415031" w:rsidRPr="00E50EB3">
        <w:rPr>
          <w:rFonts w:cs="Arial"/>
          <w:color w:val="000000"/>
        </w:rPr>
        <w:t>1</w:t>
      </w:r>
      <w:r w:rsidRPr="00E50EB3">
        <w:rPr>
          <w:rFonts w:cs="Arial"/>
          <w:color w:val="000000"/>
        </w:rPr>
        <w:t xml:space="preserve"> existovaly případy nesprávností </w:t>
      </w:r>
      <w:r w:rsidR="00F33867">
        <w:rPr>
          <w:rFonts w:cs="Arial"/>
          <w:color w:val="000000"/>
        </w:rPr>
        <w:t>v </w:t>
      </w:r>
      <w:r w:rsidRPr="00E50EB3">
        <w:rPr>
          <w:rFonts w:cs="Arial"/>
          <w:color w:val="000000"/>
        </w:rPr>
        <w:t>přiřazování druhů důchodů u</w:t>
      </w:r>
      <w:r w:rsidR="001811F6" w:rsidRPr="00E50EB3">
        <w:rPr>
          <w:rFonts w:cs="Arial"/>
          <w:color w:val="000000"/>
        </w:rPr>
        <w:t> </w:t>
      </w:r>
      <w:r w:rsidRPr="00E50EB3">
        <w:rPr>
          <w:rFonts w:cs="Arial"/>
          <w:color w:val="000000"/>
        </w:rPr>
        <w:t>důchodů zatížených exekuční srážkou, a</w:t>
      </w:r>
      <w:r w:rsidR="005E5DF2">
        <w:rPr>
          <w:rFonts w:cs="Arial"/>
          <w:color w:val="000000"/>
        </w:rPr>
        <w:t xml:space="preserve"> </w:t>
      </w:r>
      <w:r w:rsidRPr="00E50EB3">
        <w:rPr>
          <w:rFonts w:cs="Arial"/>
          <w:color w:val="000000"/>
        </w:rPr>
        <w:t xml:space="preserve">tedy že </w:t>
      </w:r>
      <w:r w:rsidRPr="00E50EB3">
        <w:rPr>
          <w:rFonts w:cs="Arial"/>
          <w:bCs/>
          <w:color w:val="000000"/>
        </w:rPr>
        <w:t xml:space="preserve">exekuční srážka </w:t>
      </w:r>
      <w:r w:rsidR="00F33867">
        <w:rPr>
          <w:rFonts w:cs="Arial"/>
          <w:bCs/>
          <w:color w:val="000000"/>
        </w:rPr>
        <w:t>z </w:t>
      </w:r>
      <w:r w:rsidRPr="00E50EB3">
        <w:rPr>
          <w:rFonts w:cs="Arial"/>
          <w:bCs/>
          <w:color w:val="000000"/>
        </w:rPr>
        <w:t>předpisu důchodu byla srážena a</w:t>
      </w:r>
      <w:r w:rsidR="005E5DF2">
        <w:rPr>
          <w:rFonts w:cs="Arial"/>
          <w:bCs/>
          <w:color w:val="000000"/>
        </w:rPr>
        <w:t xml:space="preserve"> </w:t>
      </w:r>
      <w:r w:rsidRPr="00E50EB3">
        <w:rPr>
          <w:rFonts w:cs="Arial"/>
          <w:bCs/>
          <w:color w:val="000000"/>
        </w:rPr>
        <w:t xml:space="preserve">současně předepsána </w:t>
      </w:r>
      <w:r w:rsidR="00F33867">
        <w:rPr>
          <w:rFonts w:cs="Arial"/>
          <w:bCs/>
          <w:color w:val="000000"/>
        </w:rPr>
        <w:t>v </w:t>
      </w:r>
      <w:r w:rsidRPr="00E50EB3">
        <w:rPr>
          <w:rFonts w:cs="Arial"/>
          <w:bCs/>
          <w:color w:val="000000"/>
        </w:rPr>
        <w:t xml:space="preserve">účetnictví pod jiným druhem důchodu, než pod kterým byla následně vyplácena oprávněnému. </w:t>
      </w:r>
      <w:r w:rsidRPr="00E50EB3">
        <w:rPr>
          <w:rFonts w:cs="Arial"/>
          <w:color w:val="000000"/>
        </w:rPr>
        <w:t xml:space="preserve">ČSSZ </w:t>
      </w:r>
      <w:r w:rsidR="00F33867">
        <w:rPr>
          <w:rFonts w:cs="Arial"/>
          <w:color w:val="000000"/>
        </w:rPr>
        <w:t>v </w:t>
      </w:r>
      <w:r w:rsidRPr="00E50EB3">
        <w:rPr>
          <w:rFonts w:cs="Arial"/>
          <w:color w:val="000000"/>
        </w:rPr>
        <w:t xml:space="preserve">těchto případech nedodržela obsahové vymezení paragrafů a položek rozpočtové skladby a </w:t>
      </w:r>
      <w:r w:rsidR="00F33867">
        <w:rPr>
          <w:rFonts w:cs="Arial"/>
          <w:color w:val="000000"/>
          <w:lang w:eastAsia="cs-CZ"/>
        </w:rPr>
        <w:t>v </w:t>
      </w:r>
      <w:r w:rsidRPr="00E50EB3">
        <w:rPr>
          <w:rFonts w:cs="Arial"/>
          <w:color w:val="000000"/>
          <w:lang w:eastAsia="cs-CZ"/>
        </w:rPr>
        <w:t>roce 201</w:t>
      </w:r>
      <w:r w:rsidR="00415031" w:rsidRPr="00E50EB3">
        <w:rPr>
          <w:rFonts w:cs="Arial"/>
          <w:color w:val="000000"/>
          <w:lang w:eastAsia="cs-CZ"/>
        </w:rPr>
        <w:t>1</w:t>
      </w:r>
      <w:r w:rsidRPr="00E50EB3">
        <w:rPr>
          <w:rFonts w:cs="Arial"/>
          <w:color w:val="000000"/>
          <w:lang w:eastAsia="cs-CZ"/>
        </w:rPr>
        <w:t xml:space="preserve"> vykázala</w:t>
      </w:r>
      <w:r w:rsidRPr="00E50EB3">
        <w:rPr>
          <w:rFonts w:cs="Arial"/>
          <w:color w:val="000000"/>
        </w:rPr>
        <w:t xml:space="preserve"> výdaje na provedené exekuční srážky </w:t>
      </w:r>
      <w:r w:rsidR="00F33867">
        <w:rPr>
          <w:rFonts w:cs="Arial"/>
          <w:color w:val="000000"/>
        </w:rPr>
        <w:t>z </w:t>
      </w:r>
      <w:r w:rsidRPr="00E50EB3">
        <w:rPr>
          <w:rFonts w:cs="Arial"/>
          <w:color w:val="000000"/>
        </w:rPr>
        <w:t xml:space="preserve">důchodů na nesprávné rozpočtové paragrafy </w:t>
      </w:r>
      <w:r w:rsidR="00F33867">
        <w:rPr>
          <w:rFonts w:cs="Arial"/>
          <w:color w:val="000000"/>
        </w:rPr>
        <w:t>k </w:t>
      </w:r>
      <w:r w:rsidRPr="00E50EB3">
        <w:rPr>
          <w:rFonts w:cs="Arial"/>
          <w:color w:val="000000"/>
        </w:rPr>
        <w:t xml:space="preserve">rozpočtové položce 5410 – </w:t>
      </w:r>
      <w:r w:rsidR="00D54265" w:rsidRPr="00C924D0">
        <w:rPr>
          <w:rFonts w:cs="Arial"/>
          <w:i/>
          <w:color w:val="000000"/>
        </w:rPr>
        <w:t>Sociální dávky</w:t>
      </w:r>
      <w:r w:rsidRPr="00E50EB3">
        <w:rPr>
          <w:rFonts w:cs="Arial"/>
          <w:color w:val="000000"/>
        </w:rPr>
        <w:t>.</w:t>
      </w:r>
    </w:p>
    <w:p w:rsidR="00AC4B8B" w:rsidRPr="00F935DC" w:rsidRDefault="00AC4B8B" w:rsidP="00AC4B8B">
      <w:pPr>
        <w:rPr>
          <w:rFonts w:cs="Arial"/>
          <w:color w:val="000000"/>
        </w:rPr>
      </w:pPr>
    </w:p>
    <w:p w:rsidR="00AC4B8B" w:rsidRPr="00F935DC" w:rsidRDefault="00F33867" w:rsidP="00611AF6">
      <w:pPr>
        <w:ind w:firstLine="0"/>
        <w:rPr>
          <w:rFonts w:cs="Arial"/>
          <w:color w:val="000000"/>
        </w:rPr>
      </w:pPr>
      <w:r>
        <w:rPr>
          <w:rFonts w:cs="Arial"/>
          <w:color w:val="000000"/>
        </w:rPr>
        <w:t>V </w:t>
      </w:r>
      <w:r w:rsidR="00AC4B8B" w:rsidRPr="00F935DC">
        <w:rPr>
          <w:rFonts w:cs="Arial"/>
          <w:color w:val="000000"/>
        </w:rPr>
        <w:t xml:space="preserve">důsledku tohoto postupu došlo ve </w:t>
      </w:r>
      <w:r w:rsidR="00B32632">
        <w:rPr>
          <w:rFonts w:cs="Arial"/>
          <w:color w:val="000000"/>
        </w:rPr>
        <w:t>v</w:t>
      </w:r>
      <w:r w:rsidR="00AC4B8B" w:rsidRPr="00F935DC">
        <w:rPr>
          <w:rFonts w:cs="Arial"/>
          <w:color w:val="000000"/>
        </w:rPr>
        <w:t xml:space="preserve">ýkazu pro hodnocení plnění rozpočtu </w:t>
      </w:r>
      <w:r>
        <w:rPr>
          <w:rFonts w:cs="Arial"/>
          <w:color w:val="000000"/>
        </w:rPr>
        <w:t>k </w:t>
      </w:r>
      <w:r w:rsidR="00AC4B8B" w:rsidRPr="00F935DC">
        <w:rPr>
          <w:rFonts w:cs="Arial"/>
          <w:color w:val="000000"/>
        </w:rPr>
        <w:t>nedodržení obsahového vymezení paragrafů rozpočtové skladby dle vyhlášky č.</w:t>
      </w:r>
      <w:r w:rsidR="005E5DF2">
        <w:rPr>
          <w:rFonts w:cs="Arial"/>
          <w:color w:val="000000"/>
        </w:rPr>
        <w:t xml:space="preserve"> </w:t>
      </w:r>
      <w:r w:rsidR="00AC4B8B" w:rsidRPr="00F935DC">
        <w:rPr>
          <w:rFonts w:cs="Arial"/>
          <w:color w:val="000000"/>
        </w:rPr>
        <w:t>323/2002</w:t>
      </w:r>
      <w:r w:rsidR="005E5DF2">
        <w:rPr>
          <w:rFonts w:cs="Arial"/>
          <w:color w:val="000000"/>
        </w:rPr>
        <w:t xml:space="preserve"> </w:t>
      </w:r>
      <w:r w:rsidR="00AC4B8B" w:rsidRPr="00F935DC">
        <w:rPr>
          <w:rFonts w:cs="Arial"/>
          <w:color w:val="000000"/>
        </w:rPr>
        <w:t xml:space="preserve">Sb., a to v části výdajů na dávky důchodového pojištění, které byly zatíženy exekučními srážkami. Dle vyjádření ČSSZ nebylo možné částku nesprávností </w:t>
      </w:r>
      <w:r>
        <w:rPr>
          <w:rFonts w:cs="Arial"/>
          <w:color w:val="000000"/>
        </w:rPr>
        <w:t>v </w:t>
      </w:r>
      <w:r w:rsidR="00AC4B8B" w:rsidRPr="00F935DC">
        <w:rPr>
          <w:rFonts w:cs="Arial"/>
          <w:color w:val="000000"/>
        </w:rPr>
        <w:t xml:space="preserve">přiřazování druhů důchodů vyčíslit vzhledem </w:t>
      </w:r>
      <w:r>
        <w:rPr>
          <w:rFonts w:cs="Arial"/>
          <w:color w:val="000000"/>
        </w:rPr>
        <w:t>k </w:t>
      </w:r>
      <w:r w:rsidR="00AC4B8B" w:rsidRPr="00F935DC">
        <w:rPr>
          <w:rFonts w:cs="Arial"/>
          <w:color w:val="000000"/>
        </w:rPr>
        <w:t xml:space="preserve">postupnému zavádění </w:t>
      </w:r>
      <w:r w:rsidR="00196F0D">
        <w:rPr>
          <w:rFonts w:cs="Arial"/>
          <w:color w:val="000000"/>
        </w:rPr>
        <w:t xml:space="preserve">programové podpory pro přiřazování správných druhů důchodů u exekučních srážek. </w:t>
      </w:r>
      <w:r w:rsidR="006C4B46">
        <w:rPr>
          <w:rFonts w:cs="Arial"/>
          <w:color w:val="000000"/>
        </w:rPr>
        <w:t xml:space="preserve">Dle vyjádření ČSSZ </w:t>
      </w:r>
      <w:r w:rsidR="00B32632" w:rsidRPr="00F935DC">
        <w:rPr>
          <w:rFonts w:cs="Arial"/>
          <w:color w:val="000000"/>
        </w:rPr>
        <w:t>b</w:t>
      </w:r>
      <w:r w:rsidR="00B32632">
        <w:rPr>
          <w:rFonts w:cs="Arial"/>
          <w:color w:val="000000"/>
        </w:rPr>
        <w:t>yla</w:t>
      </w:r>
      <w:r w:rsidR="00B32632" w:rsidRPr="00F935DC">
        <w:rPr>
          <w:rFonts w:cs="Arial"/>
          <w:color w:val="000000"/>
        </w:rPr>
        <w:t xml:space="preserve"> </w:t>
      </w:r>
      <w:r w:rsidR="006C4B46">
        <w:rPr>
          <w:rFonts w:cs="Arial"/>
          <w:color w:val="000000"/>
        </w:rPr>
        <w:t>t</w:t>
      </w:r>
      <w:r w:rsidR="00AC4B8B" w:rsidRPr="00F935DC">
        <w:rPr>
          <w:rFonts w:cs="Arial"/>
          <w:color w:val="000000"/>
        </w:rPr>
        <w:t xml:space="preserve">ato </w:t>
      </w:r>
      <w:r w:rsidR="00196F0D">
        <w:rPr>
          <w:rFonts w:cs="Arial"/>
          <w:color w:val="000000"/>
        </w:rPr>
        <w:t>podpora</w:t>
      </w:r>
      <w:r w:rsidR="00AC4B8B" w:rsidRPr="00F935DC">
        <w:rPr>
          <w:rFonts w:cs="Arial"/>
          <w:color w:val="000000"/>
        </w:rPr>
        <w:t xml:space="preserve"> </w:t>
      </w:r>
      <w:r w:rsidR="00167A97">
        <w:rPr>
          <w:rFonts w:cs="Arial"/>
          <w:color w:val="000000"/>
        </w:rPr>
        <w:t xml:space="preserve">nasazena koncem roku 2011, </w:t>
      </w:r>
      <w:r>
        <w:rPr>
          <w:rFonts w:cs="Arial"/>
          <w:color w:val="000000"/>
        </w:rPr>
        <w:t>z </w:t>
      </w:r>
      <w:r w:rsidR="00167A97">
        <w:rPr>
          <w:rFonts w:cs="Arial"/>
          <w:color w:val="000000"/>
        </w:rPr>
        <w:t xml:space="preserve">důvodu dodatečně zjištěné chyby </w:t>
      </w:r>
      <w:r>
        <w:rPr>
          <w:rFonts w:cs="Arial"/>
          <w:color w:val="000000"/>
        </w:rPr>
        <w:t>v </w:t>
      </w:r>
      <w:r w:rsidR="00167A97">
        <w:rPr>
          <w:rFonts w:cs="Arial"/>
          <w:color w:val="000000"/>
        </w:rPr>
        <w:t>programech však musela být aplikace upravena a hromadné opravy druhů důchodů u vyplácených exekučních srážek byly zahájeny na konci února</w:t>
      </w:r>
      <w:r w:rsidR="00AC4B8B" w:rsidRPr="00F935DC">
        <w:rPr>
          <w:rFonts w:cs="Arial"/>
          <w:color w:val="000000"/>
        </w:rPr>
        <w:t xml:space="preserve"> roku 201</w:t>
      </w:r>
      <w:r w:rsidR="00196F0D">
        <w:rPr>
          <w:rFonts w:cs="Arial"/>
          <w:color w:val="000000"/>
        </w:rPr>
        <w:t>2</w:t>
      </w:r>
      <w:r w:rsidR="00AC4B8B" w:rsidRPr="00F935DC">
        <w:rPr>
          <w:rFonts w:cs="Arial"/>
          <w:color w:val="000000"/>
        </w:rPr>
        <w:t>.</w:t>
      </w:r>
    </w:p>
    <w:p w:rsidR="00AC4B8B" w:rsidRPr="00F935DC" w:rsidRDefault="00AC4B8B" w:rsidP="00AC4B8B">
      <w:pPr>
        <w:rPr>
          <w:rFonts w:cs="Arial"/>
          <w:color w:val="000000"/>
        </w:rPr>
      </w:pPr>
    </w:p>
    <w:p w:rsidR="00AC4B8B" w:rsidRPr="00F935DC" w:rsidRDefault="00F33867" w:rsidP="00611AF6">
      <w:pPr>
        <w:ind w:firstLine="0"/>
        <w:rPr>
          <w:rFonts w:cs="Arial"/>
          <w:i/>
          <w:color w:val="000000"/>
          <w:lang w:eastAsia="cs-CZ"/>
        </w:rPr>
      </w:pPr>
      <w:r>
        <w:rPr>
          <w:rFonts w:cs="Arial"/>
          <w:color w:val="000000"/>
        </w:rPr>
        <w:t>Z </w:t>
      </w:r>
      <w:r w:rsidR="00AC4B8B" w:rsidRPr="00F935DC">
        <w:rPr>
          <w:rFonts w:cs="Arial"/>
          <w:color w:val="000000"/>
        </w:rPr>
        <w:t>výše uvedeného vyplývá, že ani pro rok 201</w:t>
      </w:r>
      <w:r w:rsidR="00196F0D">
        <w:rPr>
          <w:rFonts w:cs="Arial"/>
          <w:color w:val="000000"/>
        </w:rPr>
        <w:t>1</w:t>
      </w:r>
      <w:r w:rsidR="00AC4B8B" w:rsidRPr="00F935DC">
        <w:rPr>
          <w:rFonts w:cs="Arial"/>
          <w:color w:val="000000"/>
        </w:rPr>
        <w:t xml:space="preserve"> nebylo možné </w:t>
      </w:r>
      <w:r w:rsidR="00AC4B8B" w:rsidRPr="00F935DC">
        <w:rPr>
          <w:rFonts w:cs="Arial"/>
          <w:color w:val="000000"/>
          <w:lang w:eastAsia="cs-CZ"/>
        </w:rPr>
        <w:t xml:space="preserve">provést </w:t>
      </w:r>
      <w:r>
        <w:rPr>
          <w:rFonts w:cs="Arial"/>
          <w:color w:val="000000"/>
          <w:lang w:eastAsia="cs-CZ"/>
        </w:rPr>
        <w:t>v </w:t>
      </w:r>
      <w:r w:rsidR="00AC4B8B" w:rsidRPr="00F935DC">
        <w:rPr>
          <w:rFonts w:cs="Arial"/>
          <w:color w:val="000000"/>
          <w:lang w:eastAsia="cs-CZ"/>
        </w:rPr>
        <w:t xml:space="preserve">průběhu kontrolní akce vyčíslení celkové částky nesprávností na jednotlivých rozpočtových </w:t>
      </w:r>
      <w:r w:rsidR="00AC4B8B" w:rsidRPr="00196F0D">
        <w:rPr>
          <w:rFonts w:cs="Arial"/>
          <w:color w:val="000000"/>
          <w:lang w:eastAsia="cs-CZ"/>
        </w:rPr>
        <w:t xml:space="preserve">paragrafech rozpočtové položky </w:t>
      </w:r>
      <w:r w:rsidR="00AC4B8B" w:rsidRPr="00E7479F">
        <w:rPr>
          <w:rFonts w:cs="Arial"/>
          <w:color w:val="000000"/>
          <w:lang w:eastAsia="cs-CZ"/>
        </w:rPr>
        <w:t>5410</w:t>
      </w:r>
      <w:r w:rsidR="00AC4B8B" w:rsidRPr="00AD1F2B">
        <w:rPr>
          <w:rFonts w:cs="Arial"/>
          <w:color w:val="000000"/>
          <w:lang w:eastAsia="cs-CZ"/>
        </w:rPr>
        <w:t xml:space="preserve"> – </w:t>
      </w:r>
      <w:r w:rsidR="00D54265" w:rsidRPr="00C924D0">
        <w:rPr>
          <w:rFonts w:cs="Arial"/>
          <w:i/>
          <w:color w:val="000000"/>
          <w:lang w:eastAsia="cs-CZ"/>
        </w:rPr>
        <w:t>Sociální dávky</w:t>
      </w:r>
      <w:r w:rsidR="00AC4B8B" w:rsidRPr="00AD1F2B">
        <w:rPr>
          <w:rFonts w:cs="Arial"/>
          <w:color w:val="000000"/>
          <w:lang w:eastAsia="cs-CZ"/>
        </w:rPr>
        <w:t>.</w:t>
      </w:r>
    </w:p>
    <w:p w:rsidR="00AC4B8B" w:rsidRDefault="00AC4B8B" w:rsidP="00AC4B8B">
      <w:pPr>
        <w:rPr>
          <w:rFonts w:cs="Arial"/>
          <w:color w:val="000000"/>
        </w:rPr>
      </w:pPr>
    </w:p>
    <w:p w:rsidR="001A1086" w:rsidRDefault="001F5837" w:rsidP="00C924D0">
      <w:pPr>
        <w:pStyle w:val="Nadpis1"/>
        <w:numPr>
          <w:ilvl w:val="0"/>
          <w:numId w:val="0"/>
        </w:numPr>
        <w:rPr>
          <w:sz w:val="22"/>
          <w:szCs w:val="22"/>
        </w:rPr>
      </w:pPr>
      <w:r>
        <w:rPr>
          <w:sz w:val="22"/>
          <w:szCs w:val="22"/>
        </w:rPr>
        <w:t xml:space="preserve">3. </w:t>
      </w:r>
      <w:r w:rsidR="0082282A" w:rsidRPr="00E1314E">
        <w:rPr>
          <w:sz w:val="22"/>
          <w:szCs w:val="22"/>
        </w:rPr>
        <w:t>Ostatní zjištění</w:t>
      </w:r>
    </w:p>
    <w:p w:rsidR="0082282A" w:rsidRPr="0082282A" w:rsidRDefault="0082282A" w:rsidP="0082282A"/>
    <w:p w:rsidR="001A1086" w:rsidRDefault="001F5837" w:rsidP="00077F37">
      <w:pPr>
        <w:pStyle w:val="Nadpis2"/>
        <w:numPr>
          <w:ilvl w:val="0"/>
          <w:numId w:val="0"/>
        </w:numPr>
        <w:ind w:left="369" w:hanging="369"/>
        <w:jc w:val="left"/>
        <w:rPr>
          <w:sz w:val="22"/>
          <w:szCs w:val="22"/>
        </w:rPr>
      </w:pPr>
      <w:r>
        <w:rPr>
          <w:sz w:val="22"/>
          <w:szCs w:val="22"/>
        </w:rPr>
        <w:t xml:space="preserve">3.1 </w:t>
      </w:r>
      <w:r w:rsidR="0082282A" w:rsidRPr="00E1314E">
        <w:rPr>
          <w:sz w:val="22"/>
          <w:szCs w:val="22"/>
        </w:rPr>
        <w:t xml:space="preserve">Zaměstnanci ČSSZ evidovaní </w:t>
      </w:r>
      <w:r w:rsidR="00F33867">
        <w:rPr>
          <w:sz w:val="22"/>
          <w:szCs w:val="22"/>
        </w:rPr>
        <w:t>v </w:t>
      </w:r>
      <w:r w:rsidR="0082282A" w:rsidRPr="00E1314E">
        <w:rPr>
          <w:sz w:val="22"/>
          <w:szCs w:val="22"/>
        </w:rPr>
        <w:t>systému ARES jako osoby vykonávající podnikatelskou činnost</w:t>
      </w:r>
    </w:p>
    <w:p w:rsidR="00D42B6A" w:rsidRDefault="00D42B6A" w:rsidP="00D42B6A"/>
    <w:p w:rsidR="001A1086" w:rsidRDefault="00D42B6A" w:rsidP="00C924D0">
      <w:pPr>
        <w:ind w:firstLine="0"/>
        <w:rPr>
          <w:rFonts w:cs="Arial"/>
          <w:bCs/>
          <w:iCs/>
        </w:rPr>
      </w:pPr>
      <w:r w:rsidRPr="00E50EB3">
        <w:rPr>
          <w:rFonts w:cs="Arial"/>
          <w:bCs/>
          <w:iCs/>
        </w:rPr>
        <w:t>Při kontrole mzdových nákladů/výdajů bylo rovněž ověřová</w:t>
      </w:r>
      <w:r w:rsidR="004C028D" w:rsidRPr="00E50EB3">
        <w:rPr>
          <w:rFonts w:cs="Arial"/>
          <w:bCs/>
          <w:iCs/>
        </w:rPr>
        <w:t>no splnění podmínky stanovené § </w:t>
      </w:r>
      <w:r w:rsidRPr="00E50EB3">
        <w:rPr>
          <w:rFonts w:cs="Arial"/>
          <w:bCs/>
          <w:iCs/>
        </w:rPr>
        <w:t>303 odst. 4 a § 304 odst. 1 zákon</w:t>
      </w:r>
      <w:r w:rsidR="00E50EB3" w:rsidRPr="00E50EB3">
        <w:rPr>
          <w:rFonts w:cs="Arial"/>
          <w:bCs/>
          <w:iCs/>
        </w:rPr>
        <w:t xml:space="preserve">a č. 262/2006 Sb., zákoník </w:t>
      </w:r>
      <w:r w:rsidRPr="00E50EB3">
        <w:rPr>
          <w:rFonts w:cs="Arial"/>
          <w:bCs/>
          <w:iCs/>
        </w:rPr>
        <w:t xml:space="preserve">práce, které jsou taktéž zakotveny </w:t>
      </w:r>
      <w:r w:rsidR="00F33867">
        <w:rPr>
          <w:rFonts w:cs="Arial"/>
          <w:bCs/>
          <w:iCs/>
        </w:rPr>
        <w:t>v </w:t>
      </w:r>
      <w:r w:rsidRPr="00E50EB3">
        <w:rPr>
          <w:rFonts w:cs="Arial"/>
          <w:bCs/>
          <w:iCs/>
        </w:rPr>
        <w:t xml:space="preserve">článku 5 </w:t>
      </w:r>
      <w:r w:rsidR="00B32632">
        <w:rPr>
          <w:rFonts w:cs="Arial"/>
          <w:bCs/>
          <w:iCs/>
        </w:rPr>
        <w:t>p</w:t>
      </w:r>
      <w:r w:rsidRPr="00E50EB3">
        <w:rPr>
          <w:rFonts w:cs="Arial"/>
          <w:bCs/>
          <w:iCs/>
        </w:rPr>
        <w:t>racovního řádu ČSSZ. Pro</w:t>
      </w:r>
      <w:r w:rsidR="005E5DF2">
        <w:rPr>
          <w:rFonts w:cs="Arial"/>
          <w:bCs/>
          <w:iCs/>
        </w:rPr>
        <w:t xml:space="preserve"> </w:t>
      </w:r>
      <w:r w:rsidRPr="00E50EB3">
        <w:rPr>
          <w:rFonts w:cs="Arial"/>
          <w:bCs/>
          <w:iCs/>
        </w:rPr>
        <w:t>vybraný vzorek zaměstnanců</w:t>
      </w:r>
      <w:r w:rsidRPr="00E50EB3">
        <w:rPr>
          <w:rStyle w:val="Znakapoznpodarou"/>
          <w:rFonts w:cs="Arial"/>
          <w:bCs/>
          <w:iCs/>
        </w:rPr>
        <w:footnoteReference w:id="8"/>
      </w:r>
      <w:r w:rsidRPr="00E50EB3">
        <w:rPr>
          <w:rFonts w:cs="Arial"/>
          <w:bCs/>
          <w:iCs/>
        </w:rPr>
        <w:t xml:space="preserve"> byly Českou správou sociálního zabezpečení předloženy pracovní smlouvy platné pro rok 2011. Údaje </w:t>
      </w:r>
      <w:r w:rsidR="00F33867">
        <w:rPr>
          <w:rFonts w:cs="Arial"/>
          <w:bCs/>
          <w:iCs/>
        </w:rPr>
        <w:t>z </w:t>
      </w:r>
      <w:r w:rsidRPr="00E50EB3">
        <w:rPr>
          <w:rFonts w:cs="Arial"/>
          <w:bCs/>
          <w:iCs/>
        </w:rPr>
        <w:t xml:space="preserve">předložených pracovních smluv vybraných zaměstnanců byly porovnány </w:t>
      </w:r>
      <w:r w:rsidR="00F33867">
        <w:rPr>
          <w:rFonts w:cs="Arial"/>
          <w:bCs/>
          <w:iCs/>
        </w:rPr>
        <w:t>s </w:t>
      </w:r>
      <w:r w:rsidRPr="00E50EB3">
        <w:rPr>
          <w:rFonts w:cs="Arial"/>
          <w:bCs/>
          <w:iCs/>
        </w:rPr>
        <w:t xml:space="preserve">informativním výpisem </w:t>
      </w:r>
      <w:r w:rsidR="00F33867">
        <w:rPr>
          <w:rFonts w:cs="Arial"/>
          <w:bCs/>
          <w:iCs/>
        </w:rPr>
        <w:t>z </w:t>
      </w:r>
      <w:r w:rsidR="00B32632">
        <w:rPr>
          <w:rFonts w:cs="Arial"/>
          <w:bCs/>
          <w:iCs/>
        </w:rPr>
        <w:t>a</w:t>
      </w:r>
      <w:r w:rsidRPr="00E50EB3">
        <w:rPr>
          <w:rFonts w:cs="Arial"/>
          <w:bCs/>
          <w:iCs/>
          <w:szCs w:val="22"/>
        </w:rPr>
        <w:t>dministrativní</w:t>
      </w:r>
      <w:r w:rsidRPr="00E50EB3">
        <w:rPr>
          <w:rFonts w:cs="Arial"/>
          <w:bCs/>
          <w:iCs/>
        </w:rPr>
        <w:t>ho</w:t>
      </w:r>
      <w:r w:rsidRPr="00E50EB3">
        <w:rPr>
          <w:rFonts w:cs="Arial"/>
          <w:bCs/>
          <w:iCs/>
          <w:szCs w:val="22"/>
        </w:rPr>
        <w:t xml:space="preserve"> registr</w:t>
      </w:r>
      <w:r w:rsidRPr="00E50EB3">
        <w:rPr>
          <w:rFonts w:cs="Arial"/>
          <w:bCs/>
          <w:iCs/>
        </w:rPr>
        <w:t>u</w:t>
      </w:r>
      <w:r w:rsidRPr="00E50EB3">
        <w:rPr>
          <w:rFonts w:cs="Arial"/>
          <w:bCs/>
          <w:iCs/>
          <w:szCs w:val="22"/>
        </w:rPr>
        <w:t xml:space="preserve"> ekonomických subjektů</w:t>
      </w:r>
      <w:r w:rsidRPr="00E50EB3">
        <w:rPr>
          <w:rFonts w:cs="Arial"/>
          <w:bCs/>
          <w:iCs/>
        </w:rPr>
        <w:t>, který je</w:t>
      </w:r>
      <w:r>
        <w:rPr>
          <w:rFonts w:cs="Arial"/>
          <w:bCs/>
          <w:iCs/>
        </w:rPr>
        <w:t xml:space="preserve"> k dispozici na internetových stránkách:</w:t>
      </w:r>
      <w:r>
        <w:rPr>
          <w:rFonts w:cs="Arial"/>
          <w:bCs/>
          <w:iCs/>
          <w:szCs w:val="22"/>
        </w:rPr>
        <w:t xml:space="preserve"> </w:t>
      </w:r>
      <w:hyperlink r:id="rId12" w:history="1">
        <w:r w:rsidR="00B87166" w:rsidRPr="002C0481">
          <w:rPr>
            <w:rStyle w:val="Hypertextovodkaz"/>
            <w:rFonts w:cs="Arial"/>
            <w:bCs/>
            <w:iCs/>
            <w:szCs w:val="22"/>
          </w:rPr>
          <w:t>http://wwwinfo.mfcr.</w:t>
        </w:r>
        <w:r w:rsidR="00B87166" w:rsidRPr="002C0481">
          <w:rPr>
            <w:rStyle w:val="Hypertextovodkaz"/>
            <w:rFonts w:cs="Arial"/>
            <w:bCs/>
            <w:iCs/>
            <w:szCs w:val="22"/>
          </w:rPr>
          <w:t>c</w:t>
        </w:r>
        <w:r w:rsidR="00B87166" w:rsidRPr="002C0481">
          <w:rPr>
            <w:rStyle w:val="Hypertextovodkaz"/>
            <w:rFonts w:cs="Arial"/>
            <w:bCs/>
            <w:iCs/>
            <w:szCs w:val="22"/>
          </w:rPr>
          <w:t>z/ares/ares.html.cz</w:t>
        </w:r>
      </w:hyperlink>
      <w:r>
        <w:rPr>
          <w:rFonts w:cs="Arial"/>
          <w:bCs/>
          <w:iCs/>
          <w:szCs w:val="22"/>
        </w:rPr>
        <w:t>.</w:t>
      </w:r>
      <w:r>
        <w:rPr>
          <w:rStyle w:val="Znakapoznpodarou"/>
          <w:rFonts w:cs="Arial"/>
          <w:bCs/>
          <w:iCs/>
        </w:rPr>
        <w:footnoteReference w:id="9"/>
      </w:r>
      <w:r>
        <w:rPr>
          <w:rFonts w:cs="Arial"/>
          <w:bCs/>
          <w:iCs/>
        </w:rPr>
        <w:t xml:space="preserve"> B</w:t>
      </w:r>
      <w:r w:rsidRPr="00727597">
        <w:rPr>
          <w:rFonts w:cs="Arial"/>
          <w:bCs/>
          <w:iCs/>
        </w:rPr>
        <w:t>ylo zjištěno, že někteří zaměstnanci</w:t>
      </w:r>
      <w:r w:rsidR="00491953">
        <w:rPr>
          <w:rFonts w:cs="Arial"/>
          <w:bCs/>
          <w:iCs/>
        </w:rPr>
        <w:t xml:space="preserve"> </w:t>
      </w:r>
      <w:r w:rsidRPr="00727597">
        <w:rPr>
          <w:rFonts w:cs="Arial"/>
          <w:bCs/>
          <w:iCs/>
        </w:rPr>
        <w:t xml:space="preserve">ČSSZ </w:t>
      </w:r>
      <w:r>
        <w:rPr>
          <w:rFonts w:cs="Arial"/>
          <w:bCs/>
          <w:iCs/>
        </w:rPr>
        <w:t xml:space="preserve">byli </w:t>
      </w:r>
      <w:r w:rsidR="00F33867">
        <w:rPr>
          <w:rFonts w:cs="Arial"/>
          <w:bCs/>
          <w:iCs/>
        </w:rPr>
        <w:t>v </w:t>
      </w:r>
      <w:r w:rsidRPr="00727597">
        <w:rPr>
          <w:rFonts w:cs="Arial"/>
          <w:bCs/>
          <w:iCs/>
        </w:rPr>
        <w:t xml:space="preserve">roce 2011 </w:t>
      </w:r>
      <w:r>
        <w:rPr>
          <w:rFonts w:cs="Arial"/>
          <w:bCs/>
          <w:iCs/>
        </w:rPr>
        <w:t xml:space="preserve">evidováni </w:t>
      </w:r>
      <w:r w:rsidR="00F33867">
        <w:rPr>
          <w:rFonts w:cs="Arial"/>
          <w:bCs/>
          <w:iCs/>
        </w:rPr>
        <w:t>v </w:t>
      </w:r>
      <w:r>
        <w:rPr>
          <w:rFonts w:cs="Arial"/>
          <w:bCs/>
          <w:iCs/>
        </w:rPr>
        <w:t>systému ARE</w:t>
      </w:r>
      <w:r w:rsidR="00F33867">
        <w:rPr>
          <w:rFonts w:cs="Arial"/>
          <w:bCs/>
          <w:iCs/>
        </w:rPr>
        <w:t xml:space="preserve">S </w:t>
      </w:r>
      <w:r>
        <w:rPr>
          <w:rFonts w:cs="Arial"/>
          <w:bCs/>
          <w:iCs/>
        </w:rPr>
        <w:t xml:space="preserve">jako osoby </w:t>
      </w:r>
      <w:r w:rsidRPr="00727597">
        <w:rPr>
          <w:rFonts w:cs="Arial"/>
          <w:bCs/>
          <w:iCs/>
        </w:rPr>
        <w:t>vykonáva</w:t>
      </w:r>
      <w:r>
        <w:rPr>
          <w:rFonts w:cs="Arial"/>
          <w:bCs/>
          <w:iCs/>
        </w:rPr>
        <w:t>jící</w:t>
      </w:r>
      <w:r w:rsidRPr="00727597">
        <w:rPr>
          <w:rFonts w:cs="Arial"/>
          <w:bCs/>
          <w:iCs/>
        </w:rPr>
        <w:t xml:space="preserve"> souběžně </w:t>
      </w:r>
      <w:r w:rsidR="00F33867">
        <w:rPr>
          <w:rFonts w:cs="Arial"/>
          <w:bCs/>
          <w:iCs/>
        </w:rPr>
        <w:t>s </w:t>
      </w:r>
      <w:r>
        <w:rPr>
          <w:rFonts w:cs="Arial"/>
          <w:bCs/>
          <w:iCs/>
        </w:rPr>
        <w:t>pracovním poměrem také podnikatelskou</w:t>
      </w:r>
      <w:r w:rsidRPr="00727597">
        <w:rPr>
          <w:rFonts w:cs="Arial"/>
          <w:bCs/>
          <w:iCs/>
        </w:rPr>
        <w:t xml:space="preserve"> činnost</w:t>
      </w:r>
      <w:r w:rsidR="00491953">
        <w:rPr>
          <w:rStyle w:val="Znakapoznpodarou"/>
          <w:rFonts w:cs="Arial"/>
          <w:bCs/>
          <w:iCs/>
        </w:rPr>
        <w:footnoteReference w:id="10"/>
      </w:r>
      <w:r>
        <w:rPr>
          <w:rFonts w:cs="Arial"/>
          <w:bCs/>
          <w:iCs/>
        </w:rPr>
        <w:t xml:space="preserve">, aniž by jim byl udělen souhlas vedením ČSSZ </w:t>
      </w:r>
      <w:r w:rsidR="00F33867">
        <w:rPr>
          <w:rFonts w:cs="Arial"/>
          <w:bCs/>
          <w:iCs/>
        </w:rPr>
        <w:t>k </w:t>
      </w:r>
      <w:r>
        <w:rPr>
          <w:rFonts w:cs="Arial"/>
          <w:bCs/>
          <w:iCs/>
        </w:rPr>
        <w:t xml:space="preserve">provozování podnikatelské činnosti. </w:t>
      </w:r>
      <w:r w:rsidR="00F33867">
        <w:rPr>
          <w:rFonts w:cs="Arial"/>
          <w:bCs/>
          <w:iCs/>
        </w:rPr>
        <w:t>S </w:t>
      </w:r>
      <w:r>
        <w:rPr>
          <w:rFonts w:cs="Arial"/>
          <w:bCs/>
          <w:iCs/>
        </w:rPr>
        <w:t xml:space="preserve">ohledem na charakter pracovního zařazení identifikovaných zaměstnanců existuje reálné riziko, že údaje, ke kterým mají zaměstnanci ČSSZ </w:t>
      </w:r>
      <w:r w:rsidR="00F33867">
        <w:rPr>
          <w:rFonts w:cs="Arial"/>
          <w:bCs/>
          <w:iCs/>
        </w:rPr>
        <w:t>v </w:t>
      </w:r>
      <w:r>
        <w:rPr>
          <w:rFonts w:cs="Arial"/>
          <w:bCs/>
          <w:iCs/>
        </w:rPr>
        <w:t xml:space="preserve">rámci své pracovní činnosti přístup, mohou být zneužity pro účely osobního podnikání. </w:t>
      </w:r>
    </w:p>
    <w:p w:rsidR="001A1086" w:rsidRDefault="001A1086" w:rsidP="00C924D0">
      <w:pPr>
        <w:ind w:firstLine="0"/>
        <w:rPr>
          <w:rFonts w:cs="Arial"/>
          <w:bCs/>
          <w:iCs/>
        </w:rPr>
      </w:pPr>
    </w:p>
    <w:p w:rsidR="00D42B6A" w:rsidRDefault="00D42B6A" w:rsidP="00611AF6">
      <w:pPr>
        <w:ind w:firstLine="0"/>
        <w:rPr>
          <w:rFonts w:cs="Arial"/>
          <w:bCs/>
          <w:iCs/>
        </w:rPr>
      </w:pPr>
      <w:r>
        <w:rPr>
          <w:rFonts w:cs="Arial"/>
          <w:bCs/>
          <w:iCs/>
        </w:rPr>
        <w:lastRenderedPageBreak/>
        <w:t>Nastavení vnitřního kontrolního systému ČSSZ neminimalizovalo rizika plynoucí ze souběhu podnikatelské činnosti zaměstnanců a jejich činností vykonávaných pro ČSSZ.</w:t>
      </w:r>
    </w:p>
    <w:p w:rsidR="00127BDC" w:rsidRDefault="00127BDC">
      <w:pPr>
        <w:ind w:firstLine="0"/>
        <w:jc w:val="left"/>
        <w:rPr>
          <w:rFonts w:cs="Arial"/>
          <w:bCs/>
          <w:iCs/>
        </w:rPr>
      </w:pPr>
    </w:p>
    <w:p w:rsidR="00E038B5" w:rsidRDefault="00E038B5">
      <w:pPr>
        <w:ind w:firstLine="0"/>
        <w:jc w:val="left"/>
        <w:rPr>
          <w:rFonts w:cs="Arial"/>
          <w:bCs/>
          <w:iCs/>
        </w:rPr>
      </w:pPr>
    </w:p>
    <w:p w:rsidR="00E038B5" w:rsidRDefault="00E038B5">
      <w:pPr>
        <w:ind w:firstLine="0"/>
        <w:jc w:val="left"/>
        <w:rPr>
          <w:rFonts w:cs="Arial"/>
          <w:bCs/>
          <w:iCs/>
        </w:rPr>
      </w:pPr>
    </w:p>
    <w:p w:rsidR="001A1086" w:rsidRDefault="001A1086" w:rsidP="00C924D0">
      <w:pPr>
        <w:ind w:firstLine="0"/>
        <w:rPr>
          <w:rFonts w:cs="Arial"/>
          <w:color w:val="000000"/>
        </w:rPr>
      </w:pPr>
    </w:p>
    <w:p w:rsidR="00AC4B8B" w:rsidRPr="00F935DC" w:rsidRDefault="00AC4B8B" w:rsidP="00AC4B8B">
      <w:pPr>
        <w:jc w:val="center"/>
        <w:rPr>
          <w:rFonts w:cs="Arial"/>
          <w:b/>
          <w:color w:val="000000"/>
          <w:sz w:val="24"/>
        </w:rPr>
      </w:pPr>
      <w:r w:rsidRPr="00F935DC">
        <w:rPr>
          <w:rFonts w:cs="Arial"/>
          <w:b/>
          <w:color w:val="000000"/>
          <w:sz w:val="24"/>
        </w:rPr>
        <w:t>III. Shrnutí a vyhodnocení</w:t>
      </w:r>
    </w:p>
    <w:p w:rsidR="00AC4B8B" w:rsidRPr="00F935DC" w:rsidRDefault="00AC4B8B" w:rsidP="00AC4B8B">
      <w:pPr>
        <w:rPr>
          <w:rFonts w:cs="Arial"/>
          <w:color w:val="000000"/>
        </w:rPr>
      </w:pPr>
    </w:p>
    <w:p w:rsidR="001A1086" w:rsidRPr="00C924D0" w:rsidRDefault="001F5837" w:rsidP="00C924D0">
      <w:pPr>
        <w:pStyle w:val="Nadpis1"/>
        <w:numPr>
          <w:ilvl w:val="0"/>
          <w:numId w:val="0"/>
        </w:numPr>
        <w:rPr>
          <w:b w:val="0"/>
          <w:sz w:val="22"/>
          <w:szCs w:val="22"/>
        </w:rPr>
      </w:pPr>
      <w:r>
        <w:rPr>
          <w:sz w:val="22"/>
          <w:szCs w:val="22"/>
        </w:rPr>
        <w:t xml:space="preserve">1. </w:t>
      </w:r>
      <w:r w:rsidR="00AC4B8B" w:rsidRPr="00E1314E">
        <w:rPr>
          <w:sz w:val="22"/>
          <w:szCs w:val="22"/>
        </w:rPr>
        <w:t xml:space="preserve">Nedostatky právní úpravy ovlivňující správnost účetnictví a výkaznictví </w:t>
      </w:r>
      <w:r w:rsidR="00F33867">
        <w:rPr>
          <w:sz w:val="22"/>
          <w:szCs w:val="22"/>
        </w:rPr>
        <w:t>v </w:t>
      </w:r>
      <w:r w:rsidR="00AC4B8B" w:rsidRPr="00E1314E">
        <w:rPr>
          <w:sz w:val="22"/>
          <w:szCs w:val="22"/>
        </w:rPr>
        <w:t>roce 201</w:t>
      </w:r>
      <w:r w:rsidR="00167A97" w:rsidRPr="00E1314E">
        <w:rPr>
          <w:sz w:val="22"/>
          <w:szCs w:val="22"/>
        </w:rPr>
        <w:t>1</w:t>
      </w:r>
    </w:p>
    <w:p w:rsidR="00AC4B8B" w:rsidRPr="00F935DC" w:rsidRDefault="00AC4B8B" w:rsidP="00AC4B8B">
      <w:pPr>
        <w:rPr>
          <w:rFonts w:cs="Arial"/>
          <w:color w:val="000000"/>
          <w:lang w:eastAsia="cs-CZ"/>
        </w:rPr>
      </w:pPr>
    </w:p>
    <w:p w:rsidR="00AC4B8B" w:rsidRDefault="00AC4B8B" w:rsidP="005526D3">
      <w:pPr>
        <w:ind w:firstLine="0"/>
        <w:rPr>
          <w:rFonts w:cs="Arial"/>
          <w:color w:val="000000"/>
          <w:lang w:eastAsia="cs-CZ"/>
        </w:rPr>
      </w:pPr>
      <w:r w:rsidRPr="00F935DC">
        <w:rPr>
          <w:rFonts w:cs="Arial"/>
          <w:color w:val="000000"/>
          <w:lang w:eastAsia="cs-CZ"/>
        </w:rPr>
        <w:t xml:space="preserve">Reforma účetnictví veřejných financí započatá 1. ledna 2010 byla </w:t>
      </w:r>
      <w:r w:rsidR="00167A97">
        <w:rPr>
          <w:rFonts w:cs="Arial"/>
          <w:color w:val="000000"/>
          <w:lang w:eastAsia="cs-CZ"/>
        </w:rPr>
        <w:t xml:space="preserve">i </w:t>
      </w:r>
      <w:r w:rsidR="00F33867">
        <w:rPr>
          <w:rFonts w:cs="Arial"/>
          <w:color w:val="000000"/>
          <w:lang w:eastAsia="cs-CZ"/>
        </w:rPr>
        <w:t>v </w:t>
      </w:r>
      <w:r w:rsidR="00167A97">
        <w:rPr>
          <w:rFonts w:cs="Arial"/>
          <w:color w:val="000000"/>
          <w:lang w:eastAsia="cs-CZ"/>
        </w:rPr>
        <w:t xml:space="preserve">roce 2011 </w:t>
      </w:r>
      <w:r w:rsidRPr="00F935DC">
        <w:rPr>
          <w:rFonts w:cs="Arial"/>
          <w:color w:val="000000"/>
          <w:lang w:eastAsia="cs-CZ"/>
        </w:rPr>
        <w:t xml:space="preserve">provázena obtížemi, které u organizačních složek státu ztěžovaly implementaci nových </w:t>
      </w:r>
      <w:r w:rsidR="00167A97">
        <w:rPr>
          <w:rFonts w:cs="Arial"/>
          <w:color w:val="000000"/>
          <w:lang w:eastAsia="cs-CZ"/>
        </w:rPr>
        <w:t xml:space="preserve">či novelizovaných </w:t>
      </w:r>
      <w:r w:rsidRPr="00F935DC">
        <w:rPr>
          <w:rFonts w:cs="Arial"/>
          <w:color w:val="000000"/>
          <w:lang w:eastAsia="cs-CZ"/>
        </w:rPr>
        <w:t>právních předpisů.</w:t>
      </w:r>
    </w:p>
    <w:p w:rsidR="00167A97" w:rsidRPr="00F935DC" w:rsidRDefault="00167A97" w:rsidP="00AC4B8B">
      <w:pPr>
        <w:rPr>
          <w:rFonts w:cs="Arial"/>
          <w:color w:val="000000"/>
          <w:lang w:eastAsia="cs-CZ"/>
        </w:rPr>
      </w:pPr>
    </w:p>
    <w:p w:rsidR="00167A97" w:rsidRDefault="00360398" w:rsidP="005526D3">
      <w:pPr>
        <w:pStyle w:val="Nzev"/>
        <w:ind w:firstLine="0"/>
        <w:jc w:val="both"/>
        <w:rPr>
          <w:sz w:val="22"/>
          <w:szCs w:val="22"/>
        </w:rPr>
      </w:pPr>
      <w:r>
        <w:rPr>
          <w:sz w:val="22"/>
          <w:szCs w:val="22"/>
        </w:rPr>
        <w:t xml:space="preserve">I </w:t>
      </w:r>
      <w:r w:rsidR="00F33867">
        <w:rPr>
          <w:sz w:val="22"/>
          <w:szCs w:val="22"/>
        </w:rPr>
        <w:t>v </w:t>
      </w:r>
      <w:r w:rsidR="00167A97" w:rsidRPr="002700C1">
        <w:rPr>
          <w:sz w:val="22"/>
          <w:szCs w:val="22"/>
        </w:rPr>
        <w:t xml:space="preserve">roce 2011 došlo </w:t>
      </w:r>
      <w:r w:rsidR="00F33867">
        <w:rPr>
          <w:sz w:val="22"/>
          <w:szCs w:val="22"/>
        </w:rPr>
        <w:t>k </w:t>
      </w:r>
      <w:r w:rsidR="00167A97" w:rsidRPr="002700C1">
        <w:rPr>
          <w:sz w:val="22"/>
          <w:szCs w:val="22"/>
        </w:rPr>
        <w:t>poměrně významným změnám a doplněním právních a jiných předpisů týkajících se oblasti účetnictví a výkaznictví</w:t>
      </w:r>
      <w:r w:rsidR="00167A97">
        <w:rPr>
          <w:sz w:val="22"/>
          <w:szCs w:val="22"/>
        </w:rPr>
        <w:t xml:space="preserve">, přičemž vzhledem </w:t>
      </w:r>
      <w:r w:rsidR="00F33867">
        <w:rPr>
          <w:sz w:val="22"/>
          <w:szCs w:val="22"/>
        </w:rPr>
        <w:t>k </w:t>
      </w:r>
      <w:r w:rsidR="00167A97">
        <w:rPr>
          <w:sz w:val="22"/>
          <w:szCs w:val="22"/>
        </w:rPr>
        <w:t>datu vydání nových předpisů a rozsahu změn</w:t>
      </w:r>
      <w:r>
        <w:rPr>
          <w:sz w:val="22"/>
          <w:szCs w:val="22"/>
        </w:rPr>
        <w:t xml:space="preserve">, které nové předpisy pro vybrané účetní jednotky představovaly, měly vybrané účetní jednotky pouze omezený čas na to, aby se s novými předpisy seznámily a implementovaly je tak, aby </w:t>
      </w:r>
      <w:r w:rsidR="00F33867">
        <w:rPr>
          <w:sz w:val="22"/>
          <w:szCs w:val="22"/>
        </w:rPr>
        <w:t>v </w:t>
      </w:r>
      <w:r>
        <w:rPr>
          <w:sz w:val="22"/>
          <w:szCs w:val="22"/>
        </w:rPr>
        <w:t>rámci svých účetních systémů byly schopny</w:t>
      </w:r>
      <w:r w:rsidRPr="00360398">
        <w:rPr>
          <w:sz w:val="22"/>
          <w:szCs w:val="22"/>
        </w:rPr>
        <w:t xml:space="preserve"> </w:t>
      </w:r>
      <w:r>
        <w:rPr>
          <w:sz w:val="22"/>
          <w:szCs w:val="22"/>
        </w:rPr>
        <w:t xml:space="preserve">již </w:t>
      </w:r>
      <w:r w:rsidR="00F33867">
        <w:rPr>
          <w:sz w:val="22"/>
          <w:szCs w:val="22"/>
        </w:rPr>
        <w:t>k </w:t>
      </w:r>
      <w:r w:rsidR="00294EFA">
        <w:rPr>
          <w:sz w:val="22"/>
          <w:szCs w:val="22"/>
        </w:rPr>
        <w:t xml:space="preserve">počátku účetního období </w:t>
      </w:r>
      <w:r>
        <w:rPr>
          <w:sz w:val="22"/>
          <w:szCs w:val="22"/>
        </w:rPr>
        <w:t>plnit všechny povinnosti stanovené účetními předpisy.</w:t>
      </w:r>
      <w:r w:rsidR="001632CB">
        <w:rPr>
          <w:sz w:val="22"/>
          <w:szCs w:val="22"/>
        </w:rPr>
        <w:t xml:space="preserve"> </w:t>
      </w:r>
    </w:p>
    <w:p w:rsidR="00AC4B8B" w:rsidRPr="00F935DC" w:rsidRDefault="00AC4B8B" w:rsidP="00304D66">
      <w:pPr>
        <w:rPr>
          <w:rFonts w:cs="Arial"/>
          <w:color w:val="000000"/>
          <w:lang w:eastAsia="cs-CZ"/>
        </w:rPr>
      </w:pPr>
    </w:p>
    <w:p w:rsidR="00294EFA" w:rsidRDefault="00263DDC" w:rsidP="005526D3">
      <w:pPr>
        <w:ind w:firstLine="0"/>
        <w:rPr>
          <w:rFonts w:cs="Arial"/>
          <w:b/>
          <w:color w:val="000000"/>
          <w:lang w:eastAsia="cs-CZ"/>
        </w:rPr>
      </w:pPr>
      <w:r w:rsidRPr="00403870">
        <w:rPr>
          <w:rFonts w:cs="Arial"/>
          <w:b/>
          <w:color w:val="000000"/>
          <w:lang w:eastAsia="cs-CZ"/>
        </w:rPr>
        <w:t>Novela zákona o účetnictví</w:t>
      </w:r>
      <w:r w:rsidR="00FA2531" w:rsidRPr="00403870">
        <w:rPr>
          <w:rFonts w:cs="Arial"/>
          <w:b/>
          <w:color w:val="000000"/>
          <w:lang w:eastAsia="cs-CZ"/>
        </w:rPr>
        <w:t>,</w:t>
      </w:r>
      <w:r w:rsidRPr="00403870">
        <w:rPr>
          <w:rFonts w:cs="Arial"/>
          <w:b/>
          <w:color w:val="000000"/>
          <w:lang w:eastAsia="cs-CZ"/>
        </w:rPr>
        <w:t xml:space="preserve"> p</w:t>
      </w:r>
      <w:r w:rsidR="00AC4B8B" w:rsidRPr="00403870">
        <w:rPr>
          <w:rFonts w:cs="Arial"/>
          <w:b/>
          <w:color w:val="000000"/>
          <w:lang w:eastAsia="cs-CZ"/>
        </w:rPr>
        <w:t xml:space="preserve">rováděcí předpisy </w:t>
      </w:r>
      <w:r w:rsidR="00F33867">
        <w:rPr>
          <w:rFonts w:cs="Arial"/>
          <w:b/>
          <w:color w:val="000000"/>
          <w:lang w:eastAsia="cs-CZ"/>
        </w:rPr>
        <w:t>k </w:t>
      </w:r>
      <w:r w:rsidR="00AC4B8B" w:rsidRPr="00403870">
        <w:rPr>
          <w:rFonts w:cs="Arial"/>
          <w:b/>
          <w:color w:val="000000"/>
          <w:lang w:eastAsia="cs-CZ"/>
        </w:rPr>
        <w:t>provedení</w:t>
      </w:r>
      <w:r w:rsidR="00AC4B8B" w:rsidRPr="00F935DC">
        <w:rPr>
          <w:rFonts w:cs="Arial"/>
          <w:b/>
          <w:color w:val="000000"/>
          <w:lang w:eastAsia="cs-CZ"/>
        </w:rPr>
        <w:t xml:space="preserve"> zákona o účetnictví</w:t>
      </w:r>
      <w:r w:rsidR="00FA2531">
        <w:rPr>
          <w:rFonts w:cs="Arial"/>
          <w:b/>
          <w:color w:val="000000"/>
          <w:lang w:eastAsia="cs-CZ"/>
        </w:rPr>
        <w:t xml:space="preserve"> včetně jejich novelizovaných znění</w:t>
      </w:r>
      <w:r w:rsidR="00AC4B8B" w:rsidRPr="00F935DC">
        <w:rPr>
          <w:rFonts w:cs="Arial"/>
          <w:b/>
          <w:color w:val="000000"/>
          <w:lang w:eastAsia="cs-CZ"/>
        </w:rPr>
        <w:t xml:space="preserve"> byly vydány ve velmi krátkém čase před jejich účinností</w:t>
      </w:r>
      <w:r w:rsidR="00294EFA">
        <w:rPr>
          <w:rFonts w:cs="Arial"/>
          <w:b/>
          <w:color w:val="000000"/>
          <w:lang w:eastAsia="cs-CZ"/>
        </w:rPr>
        <w:t xml:space="preserve">. </w:t>
      </w:r>
      <w:r w:rsidR="00F33867">
        <w:rPr>
          <w:rFonts w:cs="Arial"/>
          <w:b/>
          <w:color w:val="000000"/>
          <w:lang w:eastAsia="cs-CZ"/>
        </w:rPr>
        <w:t>V </w:t>
      </w:r>
      <w:r w:rsidR="00294EFA">
        <w:rPr>
          <w:rFonts w:cs="Arial"/>
          <w:b/>
          <w:color w:val="000000"/>
          <w:lang w:eastAsia="cs-CZ"/>
        </w:rPr>
        <w:t xml:space="preserve">důsledku časté novelizace předpisů potom </w:t>
      </w:r>
      <w:r w:rsidR="00F33867">
        <w:rPr>
          <w:rFonts w:cs="Arial"/>
          <w:b/>
          <w:color w:val="000000"/>
          <w:lang w:eastAsia="cs-CZ"/>
        </w:rPr>
        <w:t>v </w:t>
      </w:r>
      <w:r w:rsidR="00294EFA">
        <w:rPr>
          <w:rFonts w:cs="Arial"/>
          <w:b/>
          <w:color w:val="000000"/>
          <w:lang w:eastAsia="cs-CZ"/>
        </w:rPr>
        <w:t xml:space="preserve">některých případech dochází </w:t>
      </w:r>
      <w:r w:rsidR="00F33867">
        <w:rPr>
          <w:rFonts w:cs="Arial"/>
          <w:b/>
          <w:color w:val="000000"/>
          <w:lang w:eastAsia="cs-CZ"/>
        </w:rPr>
        <w:t>k </w:t>
      </w:r>
      <w:r w:rsidR="00294EFA">
        <w:rPr>
          <w:rFonts w:cs="Arial"/>
          <w:b/>
          <w:color w:val="000000"/>
          <w:lang w:eastAsia="cs-CZ"/>
        </w:rPr>
        <w:t xml:space="preserve">tomu, že některá přechodná ustanovení (která se nenovelizují) již po přijetí dalších novel neplatí a předpisy jsou </w:t>
      </w:r>
      <w:r w:rsidR="00F33867">
        <w:rPr>
          <w:rFonts w:cs="Arial"/>
          <w:b/>
          <w:color w:val="000000"/>
          <w:lang w:eastAsia="cs-CZ"/>
        </w:rPr>
        <w:t>z </w:t>
      </w:r>
      <w:r w:rsidR="00294EFA">
        <w:rPr>
          <w:rFonts w:cs="Arial"/>
          <w:b/>
          <w:color w:val="000000"/>
          <w:lang w:eastAsia="cs-CZ"/>
        </w:rPr>
        <w:t xml:space="preserve">tohoto důvodu nepřehledné. </w:t>
      </w:r>
    </w:p>
    <w:p w:rsidR="004F3F3B" w:rsidRDefault="004F3F3B" w:rsidP="005526D3">
      <w:pPr>
        <w:ind w:firstLine="0"/>
        <w:rPr>
          <w:rFonts w:cs="Arial"/>
          <w:b/>
          <w:color w:val="000000"/>
          <w:lang w:eastAsia="cs-CZ"/>
        </w:rPr>
      </w:pPr>
    </w:p>
    <w:p w:rsidR="00403870" w:rsidRDefault="00294EFA" w:rsidP="00026CAD">
      <w:pPr>
        <w:ind w:firstLine="0"/>
        <w:rPr>
          <w:rFonts w:cs="Arial"/>
          <w:b/>
          <w:color w:val="000000"/>
          <w:lang w:eastAsia="cs-CZ"/>
        </w:rPr>
      </w:pPr>
      <w:r>
        <w:rPr>
          <w:rFonts w:cs="Arial"/>
          <w:b/>
          <w:color w:val="000000"/>
          <w:lang w:eastAsia="cs-CZ"/>
        </w:rPr>
        <w:t xml:space="preserve">Rovněž je nutné upozornit na skutečnost, že </w:t>
      </w:r>
      <w:r w:rsidR="004F3F3B">
        <w:rPr>
          <w:rFonts w:cs="Arial"/>
          <w:b/>
          <w:color w:val="000000"/>
          <w:lang w:eastAsia="cs-CZ"/>
        </w:rPr>
        <w:t>č</w:t>
      </w:r>
      <w:r>
        <w:rPr>
          <w:rFonts w:cs="Arial"/>
          <w:b/>
          <w:color w:val="000000"/>
          <w:lang w:eastAsia="cs-CZ"/>
        </w:rPr>
        <w:t>eské účetní standardy pro některé vybrané účetní jednotky</w:t>
      </w:r>
      <w:r w:rsidR="00403870">
        <w:rPr>
          <w:rFonts w:cs="Arial"/>
          <w:b/>
          <w:color w:val="000000"/>
          <w:lang w:eastAsia="cs-CZ"/>
        </w:rPr>
        <w:t xml:space="preserve"> platné a účinné </w:t>
      </w:r>
      <w:r w:rsidR="00F33867">
        <w:rPr>
          <w:rFonts w:cs="Arial"/>
          <w:b/>
          <w:color w:val="000000"/>
          <w:lang w:eastAsia="cs-CZ"/>
        </w:rPr>
        <w:t>v </w:t>
      </w:r>
      <w:r w:rsidR="00403870">
        <w:rPr>
          <w:rFonts w:cs="Arial"/>
          <w:b/>
          <w:color w:val="000000"/>
          <w:lang w:eastAsia="cs-CZ"/>
        </w:rPr>
        <w:t>roce 2011</w:t>
      </w:r>
      <w:r>
        <w:rPr>
          <w:rFonts w:cs="Arial"/>
          <w:b/>
          <w:color w:val="000000"/>
          <w:lang w:eastAsia="cs-CZ"/>
        </w:rPr>
        <w:t xml:space="preserve"> </w:t>
      </w:r>
      <w:r w:rsidR="004F3F3B">
        <w:rPr>
          <w:rFonts w:cs="Arial"/>
          <w:b/>
          <w:color w:val="000000"/>
          <w:lang w:eastAsia="cs-CZ"/>
        </w:rPr>
        <w:t xml:space="preserve">nepostihují </w:t>
      </w:r>
      <w:r w:rsidR="00403870">
        <w:rPr>
          <w:rFonts w:cs="Arial"/>
          <w:b/>
          <w:color w:val="000000"/>
          <w:lang w:eastAsia="cs-CZ"/>
        </w:rPr>
        <w:t>jednoznačným způsobem celou šíři upravované problematiky</w:t>
      </w:r>
      <w:r w:rsidR="00260D52">
        <w:rPr>
          <w:rFonts w:cs="Arial"/>
          <w:b/>
          <w:color w:val="000000"/>
          <w:lang w:eastAsia="cs-CZ"/>
        </w:rPr>
        <w:t>.</w:t>
      </w:r>
      <w:r w:rsidR="00403870">
        <w:rPr>
          <w:rFonts w:cs="Arial"/>
          <w:b/>
          <w:color w:val="000000"/>
          <w:lang w:eastAsia="cs-CZ"/>
        </w:rPr>
        <w:t xml:space="preserve"> </w:t>
      </w:r>
    </w:p>
    <w:p w:rsidR="004F3F3B" w:rsidRDefault="004F3F3B" w:rsidP="00026CAD">
      <w:pPr>
        <w:ind w:firstLine="0"/>
        <w:rPr>
          <w:rFonts w:cs="Arial"/>
          <w:color w:val="000000"/>
          <w:lang w:eastAsia="cs-CZ"/>
        </w:rPr>
      </w:pPr>
    </w:p>
    <w:p w:rsidR="00AC4B8B" w:rsidRPr="00F935DC" w:rsidRDefault="00FA2531" w:rsidP="005526D3">
      <w:pPr>
        <w:ind w:firstLine="0"/>
        <w:rPr>
          <w:rFonts w:cs="Arial"/>
          <w:color w:val="000000"/>
          <w:lang w:eastAsia="cs-CZ"/>
        </w:rPr>
      </w:pPr>
      <w:r>
        <w:rPr>
          <w:rFonts w:cs="Arial"/>
          <w:color w:val="000000"/>
          <w:lang w:eastAsia="cs-CZ"/>
        </w:rPr>
        <w:t>V</w:t>
      </w:r>
      <w:r w:rsidR="00AC4B8B" w:rsidRPr="00F935DC">
        <w:rPr>
          <w:rFonts w:cs="Arial"/>
          <w:color w:val="000000"/>
          <w:lang w:eastAsia="cs-CZ"/>
        </w:rPr>
        <w:t xml:space="preserve">ýše popsaná omezení se projevila i při provádění této kontrolní akce, a tak </w:t>
      </w:r>
      <w:r w:rsidR="00F33867">
        <w:rPr>
          <w:rFonts w:cs="Arial"/>
          <w:color w:val="000000"/>
          <w:lang w:eastAsia="cs-CZ"/>
        </w:rPr>
        <w:t>v </w:t>
      </w:r>
      <w:r w:rsidR="00AC4B8B" w:rsidRPr="00F935DC">
        <w:rPr>
          <w:rFonts w:cs="Arial"/>
          <w:color w:val="000000"/>
          <w:lang w:eastAsia="cs-CZ"/>
        </w:rPr>
        <w:t>případech</w:t>
      </w:r>
      <w:r w:rsidR="00AC4B8B">
        <w:rPr>
          <w:rFonts w:cs="Arial"/>
          <w:color w:val="000000"/>
          <w:lang w:eastAsia="cs-CZ"/>
        </w:rPr>
        <w:t>,</w:t>
      </w:r>
      <w:r w:rsidR="00AC4B8B" w:rsidRPr="00F935DC">
        <w:rPr>
          <w:rFonts w:cs="Arial"/>
          <w:color w:val="000000"/>
          <w:lang w:eastAsia="cs-CZ"/>
        </w:rPr>
        <w:t xml:space="preserve"> kdy některá ustanovení </w:t>
      </w:r>
      <w:r w:rsidR="00AC4B8B" w:rsidRPr="00017E0A">
        <w:rPr>
          <w:rFonts w:cs="Arial"/>
          <w:color w:val="000000"/>
          <w:lang w:eastAsia="cs-CZ"/>
        </w:rPr>
        <w:t>vyhlášky č. 410/</w:t>
      </w:r>
      <w:r w:rsidR="00AC4B8B" w:rsidRPr="00017E0A">
        <w:rPr>
          <w:rFonts w:cs="Arial"/>
          <w:lang w:eastAsia="cs-CZ"/>
        </w:rPr>
        <w:t>2009</w:t>
      </w:r>
      <w:r w:rsidR="00026CAD" w:rsidRPr="00017E0A">
        <w:rPr>
          <w:rFonts w:cs="Arial"/>
          <w:lang w:eastAsia="cs-CZ"/>
        </w:rPr>
        <w:t xml:space="preserve"> Sb.</w:t>
      </w:r>
      <w:r w:rsidR="00AC4B8B" w:rsidRPr="00017E0A">
        <w:rPr>
          <w:rFonts w:cs="Arial"/>
          <w:lang w:eastAsia="cs-CZ"/>
        </w:rPr>
        <w:t xml:space="preserve"> </w:t>
      </w:r>
      <w:r w:rsidR="00075CB7" w:rsidRPr="00017E0A">
        <w:rPr>
          <w:rFonts w:cs="Arial"/>
          <w:color w:val="000000"/>
          <w:lang w:eastAsia="cs-CZ"/>
        </w:rPr>
        <w:t>ne</w:t>
      </w:r>
      <w:r w:rsidR="00AC4B8B" w:rsidRPr="00017E0A">
        <w:rPr>
          <w:rFonts w:cs="Arial"/>
          <w:color w:val="000000"/>
          <w:lang w:eastAsia="cs-CZ"/>
        </w:rPr>
        <w:t>byla</w:t>
      </w:r>
      <w:r w:rsidR="00AC4B8B" w:rsidRPr="00F935DC">
        <w:rPr>
          <w:rFonts w:cs="Arial"/>
          <w:color w:val="000000"/>
          <w:lang w:eastAsia="cs-CZ"/>
        </w:rPr>
        <w:t xml:space="preserve"> </w:t>
      </w:r>
      <w:r w:rsidR="00075CB7">
        <w:rPr>
          <w:rFonts w:cs="Arial"/>
          <w:color w:val="000000"/>
          <w:lang w:eastAsia="cs-CZ"/>
        </w:rPr>
        <w:t>zcela jednoznačná</w:t>
      </w:r>
      <w:r w:rsidR="00AC4B8B" w:rsidRPr="00F935DC">
        <w:rPr>
          <w:rFonts w:cs="Arial"/>
          <w:color w:val="000000"/>
          <w:lang w:eastAsia="cs-CZ"/>
        </w:rPr>
        <w:t xml:space="preserve"> </w:t>
      </w:r>
      <w:r w:rsidR="00075CB7">
        <w:rPr>
          <w:rFonts w:cs="Arial"/>
          <w:color w:val="000000"/>
          <w:lang w:eastAsia="cs-CZ"/>
        </w:rPr>
        <w:t>či dostatečně určitá</w:t>
      </w:r>
      <w:r w:rsidR="00AC4B8B" w:rsidRPr="00F935DC">
        <w:rPr>
          <w:rFonts w:cs="Arial"/>
          <w:color w:val="000000"/>
          <w:lang w:eastAsia="cs-CZ"/>
        </w:rPr>
        <w:t>, se NKÚ nemohl vyjádřit k</w:t>
      </w:r>
      <w:r>
        <w:rPr>
          <w:rFonts w:cs="Arial"/>
          <w:color w:val="000000"/>
          <w:lang w:eastAsia="cs-CZ"/>
        </w:rPr>
        <w:t xml:space="preserve">e správnosti sestavení </w:t>
      </w:r>
      <w:r w:rsidR="00AA148B">
        <w:rPr>
          <w:rFonts w:cs="Arial"/>
          <w:color w:val="000000"/>
          <w:lang w:eastAsia="cs-CZ"/>
        </w:rPr>
        <w:t>p</w:t>
      </w:r>
      <w:r w:rsidR="00075CB7">
        <w:rPr>
          <w:rFonts w:cs="Arial"/>
          <w:color w:val="000000"/>
          <w:lang w:eastAsia="cs-CZ"/>
        </w:rPr>
        <w:t xml:space="preserve">řehledu </w:t>
      </w:r>
      <w:r w:rsidR="0030446D">
        <w:rPr>
          <w:rFonts w:cs="Arial"/>
          <w:color w:val="000000"/>
          <w:lang w:eastAsia="cs-CZ"/>
        </w:rPr>
        <w:t xml:space="preserve">o peněžních tocích a </w:t>
      </w:r>
      <w:r w:rsidR="00AA148B">
        <w:rPr>
          <w:rFonts w:cs="Arial"/>
          <w:color w:val="000000"/>
          <w:lang w:eastAsia="cs-CZ"/>
        </w:rPr>
        <w:t>p</w:t>
      </w:r>
      <w:r w:rsidR="0030446D">
        <w:rPr>
          <w:rFonts w:cs="Arial"/>
          <w:color w:val="000000"/>
          <w:lang w:eastAsia="cs-CZ"/>
        </w:rPr>
        <w:t>řehledu o </w:t>
      </w:r>
      <w:r w:rsidR="00075CB7">
        <w:rPr>
          <w:rFonts w:cs="Arial"/>
          <w:color w:val="000000"/>
          <w:lang w:eastAsia="cs-CZ"/>
        </w:rPr>
        <w:t>změnách vlastního kapitálu</w:t>
      </w:r>
      <w:r w:rsidR="00AC4B8B">
        <w:rPr>
          <w:rFonts w:cs="Arial"/>
          <w:color w:val="000000"/>
          <w:lang w:eastAsia="cs-CZ"/>
        </w:rPr>
        <w:t>,</w:t>
      </w:r>
      <w:r w:rsidR="00AC4B8B" w:rsidRPr="00F935DC">
        <w:rPr>
          <w:rFonts w:cs="Arial"/>
          <w:color w:val="000000"/>
          <w:lang w:eastAsia="cs-CZ"/>
        </w:rPr>
        <w:t xml:space="preserve"> jak je také uvedeno </w:t>
      </w:r>
      <w:r w:rsidR="00F33867">
        <w:rPr>
          <w:rFonts w:cs="Arial"/>
          <w:color w:val="000000"/>
          <w:lang w:eastAsia="cs-CZ"/>
        </w:rPr>
        <w:t>v </w:t>
      </w:r>
      <w:r w:rsidR="00AC4B8B" w:rsidRPr="00D42B6A">
        <w:rPr>
          <w:rFonts w:cs="Arial"/>
          <w:color w:val="000000"/>
          <w:lang w:eastAsia="cs-CZ"/>
        </w:rPr>
        <w:t>část</w:t>
      </w:r>
      <w:r w:rsidRPr="00D42B6A">
        <w:rPr>
          <w:rFonts w:cs="Arial"/>
          <w:color w:val="000000"/>
          <w:lang w:eastAsia="cs-CZ"/>
        </w:rPr>
        <w:t>ech</w:t>
      </w:r>
      <w:r w:rsidR="00D42B6A" w:rsidRPr="00D42B6A">
        <w:rPr>
          <w:rFonts w:cs="Arial"/>
          <w:color w:val="000000"/>
          <w:lang w:eastAsia="cs-CZ"/>
        </w:rPr>
        <w:t xml:space="preserve"> 1.2.1</w:t>
      </w:r>
      <w:r w:rsidR="00C8779C">
        <w:rPr>
          <w:rFonts w:cs="Arial"/>
          <w:color w:val="000000"/>
          <w:lang w:eastAsia="cs-CZ"/>
        </w:rPr>
        <w:t>.4</w:t>
      </w:r>
      <w:r w:rsidR="00D42B6A" w:rsidRPr="00D42B6A">
        <w:rPr>
          <w:rFonts w:cs="Arial"/>
          <w:color w:val="000000"/>
          <w:lang w:eastAsia="cs-CZ"/>
        </w:rPr>
        <w:t xml:space="preserve"> a 1.2.1</w:t>
      </w:r>
      <w:r w:rsidR="00C8779C">
        <w:rPr>
          <w:rFonts w:cs="Arial"/>
          <w:color w:val="000000"/>
          <w:lang w:eastAsia="cs-CZ"/>
        </w:rPr>
        <w:t>.5</w:t>
      </w:r>
      <w:r w:rsidR="00D42B6A">
        <w:rPr>
          <w:rFonts w:cs="Arial"/>
          <w:color w:val="000000"/>
          <w:lang w:eastAsia="cs-CZ"/>
        </w:rPr>
        <w:t xml:space="preserve"> </w:t>
      </w:r>
      <w:r w:rsidR="00AC4B8B" w:rsidRPr="00D42B6A">
        <w:rPr>
          <w:rFonts w:cs="Arial"/>
          <w:color w:val="000000"/>
          <w:lang w:eastAsia="cs-CZ"/>
        </w:rPr>
        <w:t>tohoto kontrolního závěru.</w:t>
      </w:r>
    </w:p>
    <w:p w:rsidR="00AC4B8B" w:rsidRPr="00F935DC" w:rsidRDefault="00AC4B8B" w:rsidP="00AC4B8B">
      <w:pPr>
        <w:rPr>
          <w:rFonts w:cs="Arial"/>
          <w:color w:val="000000"/>
        </w:rPr>
      </w:pPr>
    </w:p>
    <w:p w:rsidR="001A1086" w:rsidRDefault="001F5837" w:rsidP="00C924D0">
      <w:pPr>
        <w:pStyle w:val="Nadpis1"/>
        <w:numPr>
          <w:ilvl w:val="0"/>
          <w:numId w:val="0"/>
        </w:numPr>
        <w:rPr>
          <w:sz w:val="22"/>
          <w:szCs w:val="22"/>
        </w:rPr>
      </w:pPr>
      <w:r>
        <w:rPr>
          <w:sz w:val="22"/>
          <w:szCs w:val="22"/>
        </w:rPr>
        <w:t xml:space="preserve">2. </w:t>
      </w:r>
      <w:r w:rsidR="00AC4B8B" w:rsidRPr="00D50503">
        <w:rPr>
          <w:sz w:val="22"/>
          <w:szCs w:val="22"/>
        </w:rPr>
        <w:t xml:space="preserve">Spolehlivost údajů účetní závěrky sestavené </w:t>
      </w:r>
      <w:r w:rsidR="00F33867">
        <w:rPr>
          <w:sz w:val="22"/>
          <w:szCs w:val="22"/>
        </w:rPr>
        <w:t>k </w:t>
      </w:r>
      <w:r w:rsidR="00AC4B8B" w:rsidRPr="00D50503">
        <w:rPr>
          <w:sz w:val="22"/>
          <w:szCs w:val="22"/>
        </w:rPr>
        <w:t>31.</w:t>
      </w:r>
      <w:r w:rsidR="005E5DF2">
        <w:rPr>
          <w:sz w:val="22"/>
          <w:szCs w:val="22"/>
        </w:rPr>
        <w:t xml:space="preserve"> </w:t>
      </w:r>
      <w:r w:rsidR="00AC4B8B" w:rsidRPr="00D50503">
        <w:rPr>
          <w:sz w:val="22"/>
          <w:szCs w:val="22"/>
        </w:rPr>
        <w:t>prosinci 201</w:t>
      </w:r>
      <w:r w:rsidR="004E6127" w:rsidRPr="00D50503">
        <w:rPr>
          <w:sz w:val="22"/>
          <w:szCs w:val="22"/>
        </w:rPr>
        <w:t>1</w:t>
      </w:r>
    </w:p>
    <w:p w:rsidR="00AC4B8B" w:rsidRPr="00F935DC" w:rsidRDefault="00AC4B8B" w:rsidP="00AC4B8B">
      <w:pPr>
        <w:rPr>
          <w:rFonts w:cs="Arial"/>
          <w:color w:val="000000"/>
        </w:rPr>
      </w:pPr>
    </w:p>
    <w:p w:rsidR="001A1086" w:rsidRDefault="00AC4B8B" w:rsidP="00C924D0">
      <w:pPr>
        <w:tabs>
          <w:tab w:val="right" w:pos="9072"/>
        </w:tabs>
        <w:spacing w:after="40"/>
        <w:ind w:firstLine="0"/>
        <w:rPr>
          <w:rFonts w:cs="Arial"/>
          <w:b/>
          <w:color w:val="000000"/>
        </w:rPr>
      </w:pPr>
      <w:r w:rsidRPr="009B71D7">
        <w:rPr>
          <w:rFonts w:cs="Arial"/>
          <w:b/>
          <w:color w:val="000000"/>
        </w:rPr>
        <w:t xml:space="preserve">Tabulka č. </w:t>
      </w:r>
      <w:r w:rsidR="00285176" w:rsidRPr="009B71D7">
        <w:rPr>
          <w:rFonts w:cs="Arial"/>
          <w:b/>
          <w:color w:val="000000"/>
        </w:rPr>
        <w:t>3</w:t>
      </w:r>
      <w:r w:rsidRPr="009B71D7">
        <w:rPr>
          <w:rFonts w:cs="Arial"/>
          <w:b/>
          <w:color w:val="000000"/>
        </w:rPr>
        <w:t xml:space="preserve"> – Hladina významnosti</w:t>
      </w:r>
      <w:r w:rsidRPr="00F935DC">
        <w:rPr>
          <w:rFonts w:cs="Arial"/>
          <w:b/>
          <w:color w:val="000000"/>
        </w:rPr>
        <w:t xml:space="preserve"> a celková nesprávnost</w:t>
      </w:r>
      <w:r w:rsidRPr="00F935DC">
        <w:rPr>
          <w:rFonts w:cs="Arial"/>
          <w:color w:val="000000"/>
        </w:rPr>
        <w:tab/>
      </w:r>
      <w:r w:rsidRPr="00863D86">
        <w:rPr>
          <w:rFonts w:cs="Arial"/>
          <w:b/>
          <w:color w:val="000000"/>
        </w:rPr>
        <w:t>(</w:t>
      </w:r>
      <w:r w:rsidR="00F33867">
        <w:rPr>
          <w:rFonts w:cs="Arial"/>
          <w:b/>
          <w:color w:val="000000"/>
        </w:rPr>
        <w:t>v </w:t>
      </w:r>
      <w:r w:rsidRPr="00863D86">
        <w:rPr>
          <w:rFonts w:cs="Arial"/>
          <w:b/>
          <w:color w:val="000000"/>
        </w:rPr>
        <w:t>Kč)</w:t>
      </w:r>
    </w:p>
    <w:tbl>
      <w:tblPr>
        <w:tblW w:w="9011" w:type="dxa"/>
        <w:jc w:val="center"/>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tblPr>
      <w:tblGrid>
        <w:gridCol w:w="3229"/>
        <w:gridCol w:w="2891"/>
        <w:gridCol w:w="2891"/>
      </w:tblGrid>
      <w:tr w:rsidR="00AC4B8B" w:rsidRPr="00F935DC" w:rsidTr="00C924D0">
        <w:trPr>
          <w:trHeight w:val="283"/>
          <w:jc w:val="center"/>
        </w:trPr>
        <w:tc>
          <w:tcPr>
            <w:tcW w:w="3229" w:type="dxa"/>
            <w:shd w:val="clear" w:color="auto" w:fill="auto"/>
            <w:noWrap/>
            <w:vAlign w:val="center"/>
            <w:hideMark/>
          </w:tcPr>
          <w:p w:rsidR="001A1086" w:rsidRDefault="00AC4B8B" w:rsidP="00C924D0">
            <w:pPr>
              <w:spacing w:before="20" w:after="20"/>
              <w:ind w:firstLine="43"/>
              <w:jc w:val="center"/>
              <w:rPr>
                <w:rFonts w:cs="Arial"/>
                <w:b/>
                <w:bCs/>
                <w:color w:val="000000"/>
                <w:lang w:eastAsia="cs-CZ"/>
              </w:rPr>
            </w:pPr>
            <w:r w:rsidRPr="00F935DC">
              <w:rPr>
                <w:rFonts w:cs="Arial"/>
                <w:b/>
                <w:bCs/>
                <w:color w:val="000000"/>
                <w:lang w:eastAsia="cs-CZ"/>
              </w:rPr>
              <w:t xml:space="preserve">Celkové náklady </w:t>
            </w:r>
          </w:p>
          <w:p w:rsidR="001A1086" w:rsidRDefault="00AC4B8B" w:rsidP="00C924D0">
            <w:pPr>
              <w:spacing w:before="20" w:after="20"/>
              <w:ind w:firstLine="43"/>
              <w:jc w:val="center"/>
              <w:rPr>
                <w:rFonts w:cs="Arial"/>
                <w:b/>
                <w:bCs/>
                <w:color w:val="000000"/>
                <w:lang w:eastAsia="cs-CZ"/>
              </w:rPr>
            </w:pPr>
            <w:r w:rsidRPr="00F935DC">
              <w:rPr>
                <w:rFonts w:cs="Arial"/>
                <w:b/>
                <w:bCs/>
                <w:color w:val="000000"/>
                <w:lang w:eastAsia="cs-CZ"/>
              </w:rPr>
              <w:t>vykázané*</w:t>
            </w:r>
          </w:p>
        </w:tc>
        <w:tc>
          <w:tcPr>
            <w:tcW w:w="2891" w:type="dxa"/>
            <w:shd w:val="clear" w:color="auto" w:fill="auto"/>
            <w:noWrap/>
            <w:vAlign w:val="center"/>
            <w:hideMark/>
          </w:tcPr>
          <w:p w:rsidR="00AA148B" w:rsidRDefault="00AC4B8B" w:rsidP="00AA148B">
            <w:pPr>
              <w:spacing w:before="20" w:after="20"/>
              <w:jc w:val="center"/>
              <w:rPr>
                <w:rFonts w:cs="Arial"/>
                <w:b/>
                <w:bCs/>
                <w:color w:val="000000"/>
                <w:lang w:eastAsia="cs-CZ"/>
              </w:rPr>
            </w:pPr>
            <w:r w:rsidRPr="00F935DC">
              <w:rPr>
                <w:rFonts w:cs="Arial"/>
                <w:b/>
                <w:bCs/>
                <w:color w:val="000000"/>
                <w:lang w:eastAsia="cs-CZ"/>
              </w:rPr>
              <w:t>Hladina</w:t>
            </w:r>
          </w:p>
          <w:p w:rsidR="003C6BC2" w:rsidRDefault="00AC4B8B">
            <w:pPr>
              <w:spacing w:before="20" w:after="20"/>
              <w:jc w:val="center"/>
              <w:rPr>
                <w:rFonts w:cs="Arial"/>
                <w:b/>
                <w:bCs/>
                <w:color w:val="000000"/>
                <w:lang w:eastAsia="cs-CZ"/>
              </w:rPr>
            </w:pPr>
            <w:r w:rsidRPr="00F935DC">
              <w:rPr>
                <w:rFonts w:cs="Arial"/>
                <w:b/>
                <w:bCs/>
                <w:color w:val="000000"/>
                <w:lang w:eastAsia="cs-CZ"/>
              </w:rPr>
              <w:t>významnosti</w:t>
            </w:r>
          </w:p>
        </w:tc>
        <w:tc>
          <w:tcPr>
            <w:tcW w:w="2891" w:type="dxa"/>
            <w:shd w:val="clear" w:color="auto" w:fill="auto"/>
            <w:noWrap/>
            <w:vAlign w:val="center"/>
            <w:hideMark/>
          </w:tcPr>
          <w:p w:rsidR="001A1086" w:rsidRDefault="00AC4B8B" w:rsidP="00C924D0">
            <w:pPr>
              <w:spacing w:before="20" w:after="20"/>
              <w:ind w:firstLine="0"/>
              <w:jc w:val="center"/>
              <w:rPr>
                <w:rFonts w:cs="Arial"/>
                <w:b/>
                <w:bCs/>
                <w:color w:val="000000"/>
                <w:lang w:eastAsia="cs-CZ"/>
              </w:rPr>
            </w:pPr>
            <w:r w:rsidRPr="00F935DC">
              <w:rPr>
                <w:rFonts w:cs="Arial"/>
                <w:b/>
                <w:bCs/>
                <w:color w:val="000000"/>
                <w:lang w:eastAsia="cs-CZ"/>
              </w:rPr>
              <w:t>Celková</w:t>
            </w:r>
          </w:p>
          <w:p w:rsidR="001A1086" w:rsidRDefault="00AC4B8B" w:rsidP="00C924D0">
            <w:pPr>
              <w:spacing w:before="20" w:after="20"/>
              <w:ind w:firstLine="0"/>
              <w:jc w:val="center"/>
              <w:rPr>
                <w:rFonts w:cs="Arial"/>
                <w:b/>
                <w:bCs/>
                <w:color w:val="000000"/>
                <w:lang w:eastAsia="cs-CZ"/>
              </w:rPr>
            </w:pPr>
            <w:r w:rsidRPr="00F935DC">
              <w:rPr>
                <w:rFonts w:cs="Arial"/>
                <w:b/>
                <w:bCs/>
                <w:color w:val="000000"/>
                <w:lang w:eastAsia="cs-CZ"/>
              </w:rPr>
              <w:t>nesprávnost</w:t>
            </w:r>
          </w:p>
        </w:tc>
      </w:tr>
      <w:tr w:rsidR="00AC4B8B" w:rsidRPr="00F935DC" w:rsidTr="00AC4B8B">
        <w:trPr>
          <w:trHeight w:val="283"/>
          <w:jc w:val="center"/>
        </w:trPr>
        <w:tc>
          <w:tcPr>
            <w:tcW w:w="3229" w:type="dxa"/>
            <w:shd w:val="clear" w:color="auto" w:fill="auto"/>
            <w:noWrap/>
            <w:vAlign w:val="bottom"/>
            <w:hideMark/>
          </w:tcPr>
          <w:p w:rsidR="00AC4B8B" w:rsidRPr="00F935DC" w:rsidRDefault="00BC753C" w:rsidP="00BC753C">
            <w:pPr>
              <w:spacing w:before="20" w:after="20"/>
              <w:ind w:right="227"/>
              <w:jc w:val="right"/>
              <w:rPr>
                <w:rFonts w:cs="Arial"/>
                <w:color w:val="000000"/>
                <w:lang w:eastAsia="cs-CZ"/>
              </w:rPr>
            </w:pPr>
            <w:r w:rsidRPr="00214F9A">
              <w:rPr>
                <w:rFonts w:cs="Arial"/>
                <w:color w:val="000000"/>
                <w:szCs w:val="22"/>
                <w:lang w:eastAsia="cs-CZ"/>
              </w:rPr>
              <w:t>398 331</w:t>
            </w:r>
            <w:r w:rsidR="005E5DF2">
              <w:rPr>
                <w:rFonts w:cs="Arial"/>
                <w:color w:val="000000"/>
                <w:szCs w:val="22"/>
                <w:lang w:eastAsia="cs-CZ"/>
              </w:rPr>
              <w:t xml:space="preserve"> </w:t>
            </w:r>
            <w:r w:rsidRPr="00214F9A">
              <w:rPr>
                <w:rFonts w:cs="Arial"/>
                <w:color w:val="000000"/>
                <w:szCs w:val="22"/>
                <w:lang w:eastAsia="cs-CZ"/>
              </w:rPr>
              <w:t>707</w:t>
            </w:r>
            <w:r>
              <w:rPr>
                <w:rFonts w:cs="Arial"/>
                <w:color w:val="000000"/>
                <w:szCs w:val="22"/>
                <w:lang w:eastAsia="cs-CZ"/>
              </w:rPr>
              <w:t xml:space="preserve"> </w:t>
            </w:r>
            <w:r w:rsidRPr="00214F9A">
              <w:rPr>
                <w:rFonts w:cs="Arial"/>
                <w:color w:val="000000"/>
                <w:szCs w:val="22"/>
                <w:lang w:eastAsia="cs-CZ"/>
              </w:rPr>
              <w:t>51</w:t>
            </w:r>
            <w:r>
              <w:rPr>
                <w:rFonts w:cs="Arial"/>
                <w:color w:val="000000"/>
                <w:szCs w:val="22"/>
                <w:lang w:eastAsia="cs-CZ"/>
              </w:rPr>
              <w:t>1,33</w:t>
            </w:r>
          </w:p>
        </w:tc>
        <w:tc>
          <w:tcPr>
            <w:tcW w:w="2891" w:type="dxa"/>
            <w:shd w:val="clear" w:color="auto" w:fill="auto"/>
            <w:noWrap/>
            <w:vAlign w:val="bottom"/>
            <w:hideMark/>
          </w:tcPr>
          <w:p w:rsidR="00AC4B8B" w:rsidRPr="00F935DC" w:rsidRDefault="00285176" w:rsidP="00AC4B8B">
            <w:pPr>
              <w:spacing w:before="20" w:after="20"/>
              <w:ind w:right="196"/>
              <w:jc w:val="right"/>
              <w:rPr>
                <w:rFonts w:cs="Arial"/>
                <w:color w:val="000000"/>
                <w:lang w:eastAsia="cs-CZ"/>
              </w:rPr>
            </w:pPr>
            <w:r>
              <w:rPr>
                <w:rFonts w:cs="Arial"/>
                <w:color w:val="000000"/>
                <w:lang w:eastAsia="cs-CZ"/>
              </w:rPr>
              <w:t>2</w:t>
            </w:r>
            <w:r w:rsidR="005E5DF2">
              <w:rPr>
                <w:rFonts w:cs="Arial"/>
                <w:color w:val="000000"/>
                <w:lang w:eastAsia="cs-CZ"/>
              </w:rPr>
              <w:t xml:space="preserve"> </w:t>
            </w:r>
            <w:r>
              <w:rPr>
                <w:rFonts w:cs="Arial"/>
                <w:color w:val="000000"/>
                <w:lang w:eastAsia="cs-CZ"/>
              </w:rPr>
              <w:t>000</w:t>
            </w:r>
            <w:r w:rsidR="005E5DF2">
              <w:rPr>
                <w:rFonts w:cs="Arial"/>
                <w:color w:val="000000"/>
                <w:lang w:eastAsia="cs-CZ"/>
              </w:rPr>
              <w:t xml:space="preserve"> </w:t>
            </w:r>
            <w:r w:rsidR="00A46270">
              <w:rPr>
                <w:rFonts w:cs="Arial"/>
                <w:color w:val="000000"/>
                <w:lang w:eastAsia="cs-CZ"/>
              </w:rPr>
              <w:t>000</w:t>
            </w:r>
            <w:r w:rsidR="00BC753C">
              <w:rPr>
                <w:rFonts w:cs="Arial"/>
                <w:color w:val="000000"/>
                <w:lang w:eastAsia="cs-CZ"/>
              </w:rPr>
              <w:t xml:space="preserve"> 000</w:t>
            </w:r>
            <w:r>
              <w:rPr>
                <w:rFonts w:cs="Arial"/>
                <w:color w:val="000000"/>
                <w:lang w:eastAsia="cs-CZ"/>
              </w:rPr>
              <w:t>,00</w:t>
            </w:r>
          </w:p>
        </w:tc>
        <w:tc>
          <w:tcPr>
            <w:tcW w:w="2891" w:type="dxa"/>
            <w:shd w:val="clear" w:color="auto" w:fill="auto"/>
            <w:noWrap/>
            <w:vAlign w:val="bottom"/>
            <w:hideMark/>
          </w:tcPr>
          <w:p w:rsidR="00AC4B8B" w:rsidRPr="00F935DC" w:rsidRDefault="004060A2" w:rsidP="00285176">
            <w:pPr>
              <w:spacing w:before="20" w:after="20"/>
              <w:ind w:right="201"/>
              <w:jc w:val="right"/>
              <w:rPr>
                <w:rFonts w:cs="Arial"/>
                <w:color w:val="000000"/>
                <w:lang w:eastAsia="cs-CZ"/>
              </w:rPr>
            </w:pPr>
            <w:r w:rsidRPr="004060A2">
              <w:rPr>
                <w:rFonts w:cs="Arial"/>
                <w:b/>
                <w:szCs w:val="22"/>
              </w:rPr>
              <w:t>694 701 874,90</w:t>
            </w:r>
          </w:p>
        </w:tc>
      </w:tr>
    </w:tbl>
    <w:p w:rsidR="00AC4B8B" w:rsidRPr="00D02661" w:rsidRDefault="00AC4B8B" w:rsidP="00271613">
      <w:pPr>
        <w:spacing w:before="40"/>
        <w:ind w:firstLine="0"/>
        <w:rPr>
          <w:rFonts w:cs="Arial"/>
          <w:color w:val="000000"/>
          <w:sz w:val="18"/>
          <w:szCs w:val="18"/>
        </w:rPr>
      </w:pPr>
      <w:r w:rsidRPr="00D02661">
        <w:rPr>
          <w:rFonts w:cs="Arial"/>
          <w:color w:val="000000"/>
          <w:sz w:val="18"/>
          <w:szCs w:val="18"/>
        </w:rPr>
        <w:t xml:space="preserve">* Údaje o nákladech byly čerpány </w:t>
      </w:r>
      <w:r w:rsidR="00F33867">
        <w:rPr>
          <w:rFonts w:cs="Arial"/>
          <w:color w:val="000000"/>
          <w:sz w:val="18"/>
          <w:szCs w:val="18"/>
        </w:rPr>
        <w:t>z </w:t>
      </w:r>
      <w:r w:rsidR="00AA148B">
        <w:rPr>
          <w:rFonts w:cs="Arial"/>
          <w:color w:val="000000"/>
          <w:sz w:val="18"/>
          <w:szCs w:val="18"/>
        </w:rPr>
        <w:t>v</w:t>
      </w:r>
      <w:r w:rsidRPr="00D02661">
        <w:rPr>
          <w:rFonts w:cs="Arial"/>
          <w:color w:val="000000"/>
          <w:sz w:val="18"/>
          <w:szCs w:val="18"/>
        </w:rPr>
        <w:t xml:space="preserve">ýkazu zisku a ztráty ČSSZ </w:t>
      </w:r>
      <w:r w:rsidR="00F33867">
        <w:rPr>
          <w:rFonts w:cs="Arial"/>
          <w:color w:val="000000"/>
          <w:sz w:val="18"/>
          <w:szCs w:val="18"/>
        </w:rPr>
        <w:t>k </w:t>
      </w:r>
      <w:r w:rsidRPr="00D02661">
        <w:rPr>
          <w:rFonts w:cs="Arial"/>
          <w:color w:val="000000"/>
          <w:sz w:val="18"/>
          <w:szCs w:val="18"/>
        </w:rPr>
        <w:t>31. prosinci 201</w:t>
      </w:r>
      <w:r w:rsidR="00285176" w:rsidRPr="00D02661">
        <w:rPr>
          <w:rFonts w:cs="Arial"/>
          <w:color w:val="000000"/>
          <w:sz w:val="18"/>
          <w:szCs w:val="18"/>
        </w:rPr>
        <w:t>1</w:t>
      </w:r>
      <w:r w:rsidRPr="00D02661">
        <w:rPr>
          <w:rFonts w:cs="Arial"/>
          <w:color w:val="000000"/>
          <w:sz w:val="18"/>
          <w:szCs w:val="18"/>
        </w:rPr>
        <w:t>.</w:t>
      </w:r>
    </w:p>
    <w:p w:rsidR="008F2B0F" w:rsidRPr="00C924D0" w:rsidRDefault="008F2B0F" w:rsidP="00AC4B8B">
      <w:pPr>
        <w:spacing w:before="40"/>
        <w:rPr>
          <w:rFonts w:cs="Arial"/>
          <w:color w:val="000000"/>
          <w:szCs w:val="22"/>
        </w:rPr>
      </w:pPr>
    </w:p>
    <w:p w:rsidR="00AC4B8B" w:rsidRDefault="008F2B0F" w:rsidP="002A76A7">
      <w:pPr>
        <w:ind w:firstLine="0"/>
        <w:rPr>
          <w:rFonts w:cs="Arial"/>
          <w:color w:val="000000"/>
        </w:rPr>
      </w:pPr>
      <w:r>
        <w:rPr>
          <w:rFonts w:cs="Arial"/>
          <w:color w:val="000000"/>
        </w:rPr>
        <w:t>Do celkové nesprávnosti není zahrnuta částka 419</w:t>
      </w:r>
      <w:r w:rsidR="005E5DF2">
        <w:rPr>
          <w:rFonts w:cs="Arial"/>
          <w:color w:val="000000"/>
        </w:rPr>
        <w:t xml:space="preserve"> </w:t>
      </w:r>
      <w:r>
        <w:rPr>
          <w:rFonts w:cs="Arial"/>
          <w:color w:val="000000"/>
        </w:rPr>
        <w:t>178</w:t>
      </w:r>
      <w:r w:rsidR="005E5DF2">
        <w:rPr>
          <w:rFonts w:cs="Arial"/>
          <w:color w:val="000000"/>
        </w:rPr>
        <w:t xml:space="preserve"> </w:t>
      </w:r>
      <w:r>
        <w:rPr>
          <w:rFonts w:cs="Arial"/>
          <w:color w:val="000000"/>
        </w:rPr>
        <w:t xml:space="preserve">148 </w:t>
      </w:r>
      <w:r w:rsidR="0074252F">
        <w:rPr>
          <w:rFonts w:cs="Arial"/>
          <w:color w:val="000000"/>
        </w:rPr>
        <w:t>K</w:t>
      </w:r>
      <w:r>
        <w:rPr>
          <w:rFonts w:cs="Arial"/>
          <w:color w:val="000000"/>
        </w:rPr>
        <w:t>č, která představuje nezaúčtované deponované částky exekučních srážek</w:t>
      </w:r>
      <w:r w:rsidR="006C4218">
        <w:rPr>
          <w:rFonts w:cs="Arial"/>
          <w:color w:val="000000"/>
        </w:rPr>
        <w:t xml:space="preserve"> </w:t>
      </w:r>
      <w:r w:rsidR="00F33867">
        <w:rPr>
          <w:rFonts w:cs="Arial"/>
          <w:color w:val="000000"/>
        </w:rPr>
        <w:t>k </w:t>
      </w:r>
      <w:r w:rsidR="006C4218">
        <w:rPr>
          <w:rFonts w:cs="Arial"/>
          <w:color w:val="000000"/>
        </w:rPr>
        <w:t>31. 12. 2011</w:t>
      </w:r>
      <w:r>
        <w:rPr>
          <w:rFonts w:cs="Arial"/>
          <w:color w:val="000000"/>
        </w:rPr>
        <w:t xml:space="preserve"> a která byl</w:t>
      </w:r>
      <w:r w:rsidR="0074252F">
        <w:rPr>
          <w:rFonts w:cs="Arial"/>
          <w:color w:val="000000"/>
        </w:rPr>
        <w:t>a</w:t>
      </w:r>
      <w:r>
        <w:rPr>
          <w:rFonts w:cs="Arial"/>
          <w:color w:val="000000"/>
        </w:rPr>
        <w:t xml:space="preserve"> stanovena kvalifikovaným odhadem, jak je uvedeno </w:t>
      </w:r>
      <w:r w:rsidR="00F33867">
        <w:rPr>
          <w:rFonts w:cs="Arial"/>
          <w:color w:val="000000"/>
        </w:rPr>
        <w:t>v </w:t>
      </w:r>
      <w:r>
        <w:rPr>
          <w:rFonts w:cs="Arial"/>
          <w:color w:val="000000"/>
        </w:rPr>
        <w:t>části 1.2.1.1 tohoto kontrolního závěru</w:t>
      </w:r>
      <w:r w:rsidR="0074252F">
        <w:rPr>
          <w:rFonts w:cs="Arial"/>
          <w:color w:val="000000"/>
        </w:rPr>
        <w:t>.</w:t>
      </w:r>
    </w:p>
    <w:p w:rsidR="008F2B0F" w:rsidRPr="00F935DC" w:rsidRDefault="008F2B0F" w:rsidP="00AC4B8B">
      <w:pPr>
        <w:rPr>
          <w:rFonts w:cs="Arial"/>
          <w:color w:val="000000"/>
        </w:rPr>
      </w:pPr>
    </w:p>
    <w:p w:rsidR="00AC4B8B" w:rsidRPr="00F935DC" w:rsidRDefault="00AC4B8B" w:rsidP="002A76A7">
      <w:pPr>
        <w:ind w:firstLine="0"/>
        <w:rPr>
          <w:rFonts w:cs="Arial"/>
          <w:color w:val="000000"/>
        </w:rPr>
      </w:pPr>
      <w:r w:rsidRPr="00F935DC">
        <w:rPr>
          <w:rFonts w:cs="Arial"/>
          <w:color w:val="000000"/>
        </w:rPr>
        <w:lastRenderedPageBreak/>
        <w:t>Pro účely posouzení spolehlivosti údajů účetní závěrky byla stanovena hladina významnosti</w:t>
      </w:r>
      <w:r w:rsidR="005E5DF2">
        <w:rPr>
          <w:rFonts w:cs="Arial"/>
          <w:color w:val="000000"/>
        </w:rPr>
        <w:t xml:space="preserve"> </w:t>
      </w:r>
      <w:r w:rsidR="00AA148B">
        <w:rPr>
          <w:rFonts w:cs="Arial"/>
          <w:color w:val="000000"/>
        </w:rPr>
        <w:t>(</w:t>
      </w:r>
      <w:r w:rsidRPr="00F935DC">
        <w:rPr>
          <w:rFonts w:cs="Arial"/>
          <w:color w:val="000000"/>
        </w:rPr>
        <w:t>nejvyšší možná míra špatné evidence, kterou uživatelé účetních výkazů mohou shledávat jako ještě přijatelnou</w:t>
      </w:r>
      <w:r w:rsidR="00AA148B">
        <w:rPr>
          <w:rFonts w:cs="Arial"/>
          <w:color w:val="000000"/>
        </w:rPr>
        <w:t>)</w:t>
      </w:r>
      <w:r>
        <w:rPr>
          <w:rFonts w:cs="Arial"/>
          <w:color w:val="000000"/>
        </w:rPr>
        <w:t xml:space="preserve"> </w:t>
      </w:r>
      <w:r w:rsidRPr="00F935DC">
        <w:rPr>
          <w:rFonts w:cs="Arial"/>
          <w:color w:val="000000"/>
        </w:rPr>
        <w:t xml:space="preserve">na úrovni 0,5 % </w:t>
      </w:r>
      <w:r w:rsidR="00F33867">
        <w:rPr>
          <w:rFonts w:cs="Arial"/>
          <w:color w:val="000000"/>
        </w:rPr>
        <w:t>z </w:t>
      </w:r>
      <w:r w:rsidRPr="00F935DC">
        <w:rPr>
          <w:rFonts w:cs="Arial"/>
          <w:color w:val="000000"/>
        </w:rPr>
        <w:t>celkových nákladů</w:t>
      </w:r>
      <w:r w:rsidRPr="00F935DC">
        <w:rPr>
          <w:rStyle w:val="Znakapoznpodarou"/>
          <w:rFonts w:cs="Arial"/>
          <w:color w:val="000000"/>
        </w:rPr>
        <w:footnoteReference w:id="11"/>
      </w:r>
      <w:r w:rsidRPr="00F935DC">
        <w:rPr>
          <w:rFonts w:cs="Arial"/>
          <w:color w:val="000000"/>
        </w:rPr>
        <w:t xml:space="preserve"> za rok 201</w:t>
      </w:r>
      <w:r w:rsidR="00285176">
        <w:rPr>
          <w:rFonts w:cs="Arial"/>
          <w:color w:val="000000"/>
        </w:rPr>
        <w:t>1</w:t>
      </w:r>
      <w:r w:rsidRPr="00F935DC">
        <w:rPr>
          <w:rFonts w:cs="Arial"/>
          <w:color w:val="000000"/>
        </w:rPr>
        <w:t xml:space="preserve"> a</w:t>
      </w:r>
      <w:r w:rsidR="005E5DF2">
        <w:rPr>
          <w:rFonts w:cs="Arial"/>
          <w:color w:val="000000"/>
        </w:rPr>
        <w:t xml:space="preserve"> </w:t>
      </w:r>
      <w:r w:rsidRPr="00F935DC">
        <w:rPr>
          <w:rFonts w:cs="Arial"/>
          <w:color w:val="000000"/>
        </w:rPr>
        <w:t xml:space="preserve">činila </w:t>
      </w:r>
      <w:r w:rsidR="00285176" w:rsidRPr="00285176">
        <w:rPr>
          <w:rFonts w:cs="Arial"/>
          <w:b/>
          <w:color w:val="000000"/>
        </w:rPr>
        <w:t>2 mld</w:t>
      </w:r>
      <w:r w:rsidR="00D54265" w:rsidRPr="00C924D0">
        <w:rPr>
          <w:rFonts w:cs="Arial"/>
          <w:b/>
          <w:color w:val="000000"/>
        </w:rPr>
        <w:t xml:space="preserve">. </w:t>
      </w:r>
      <w:r w:rsidRPr="00F935DC">
        <w:rPr>
          <w:rFonts w:cs="Arial"/>
          <w:b/>
          <w:color w:val="000000"/>
        </w:rPr>
        <w:t>Kč</w:t>
      </w:r>
      <w:r w:rsidR="00D54265" w:rsidRPr="00C924D0">
        <w:rPr>
          <w:rFonts w:cs="Arial"/>
          <w:b/>
          <w:color w:val="000000"/>
        </w:rPr>
        <w:t>.</w:t>
      </w:r>
    </w:p>
    <w:p w:rsidR="00AC4B8B" w:rsidRPr="00F935DC" w:rsidRDefault="00AC4B8B" w:rsidP="00AC4B8B">
      <w:pPr>
        <w:rPr>
          <w:rFonts w:cs="Arial"/>
          <w:color w:val="000000"/>
        </w:rPr>
      </w:pPr>
    </w:p>
    <w:p w:rsidR="00C8779C" w:rsidRPr="00C924D0" w:rsidRDefault="00F33867" w:rsidP="002A76A7">
      <w:pPr>
        <w:ind w:firstLine="0"/>
        <w:rPr>
          <w:rFonts w:cs="Arial"/>
          <w:b/>
          <w:bCs/>
          <w:color w:val="000000"/>
          <w:lang w:eastAsia="cs-CZ"/>
        </w:rPr>
      </w:pPr>
      <w:r>
        <w:rPr>
          <w:rFonts w:cs="Arial"/>
          <w:color w:val="000000"/>
        </w:rPr>
        <w:t>V </w:t>
      </w:r>
      <w:r w:rsidR="002E5510">
        <w:rPr>
          <w:rFonts w:cs="Arial"/>
          <w:color w:val="000000"/>
        </w:rPr>
        <w:t xml:space="preserve">účetní závěrce ČSSZ </w:t>
      </w:r>
      <w:r>
        <w:rPr>
          <w:rFonts w:cs="Arial"/>
          <w:color w:val="000000"/>
        </w:rPr>
        <w:t>k </w:t>
      </w:r>
      <w:r w:rsidR="002E5510">
        <w:rPr>
          <w:rFonts w:cs="Arial"/>
          <w:color w:val="000000"/>
        </w:rPr>
        <w:t xml:space="preserve">31. prosinci 2011 byla zjištěna </w:t>
      </w:r>
      <w:r w:rsidR="00AC4B8B" w:rsidRPr="00F935DC">
        <w:rPr>
          <w:rFonts w:cs="Arial"/>
          <w:color w:val="000000"/>
        </w:rPr>
        <w:t>celkov</w:t>
      </w:r>
      <w:r w:rsidR="002E5510">
        <w:rPr>
          <w:rFonts w:cs="Arial"/>
          <w:color w:val="000000"/>
        </w:rPr>
        <w:t>á</w:t>
      </w:r>
      <w:r w:rsidR="00AC4B8B" w:rsidRPr="00F935DC">
        <w:rPr>
          <w:rFonts w:cs="Arial"/>
          <w:color w:val="000000"/>
        </w:rPr>
        <w:t xml:space="preserve"> nesprávnost ve výši </w:t>
      </w:r>
      <w:r w:rsidR="004060A2" w:rsidRPr="004060A2">
        <w:rPr>
          <w:rFonts w:cs="Arial"/>
          <w:b/>
          <w:szCs w:val="22"/>
        </w:rPr>
        <w:t>694</w:t>
      </w:r>
      <w:r w:rsidR="002A76A7">
        <w:rPr>
          <w:rFonts w:cs="Arial"/>
          <w:b/>
          <w:szCs w:val="22"/>
        </w:rPr>
        <w:t> </w:t>
      </w:r>
      <w:r w:rsidR="004060A2" w:rsidRPr="004060A2">
        <w:rPr>
          <w:rFonts w:cs="Arial"/>
          <w:b/>
          <w:szCs w:val="22"/>
        </w:rPr>
        <w:t>701 874,90</w:t>
      </w:r>
      <w:r w:rsidR="00AC4B8B" w:rsidRPr="00F935DC">
        <w:rPr>
          <w:rFonts w:cs="Arial"/>
          <w:color w:val="000000"/>
        </w:rPr>
        <w:t xml:space="preserve"> </w:t>
      </w:r>
      <w:r w:rsidR="00AC4B8B" w:rsidRPr="00F935DC">
        <w:rPr>
          <w:rFonts w:cs="Arial"/>
          <w:b/>
          <w:bCs/>
          <w:color w:val="000000"/>
          <w:lang w:eastAsia="cs-CZ"/>
        </w:rPr>
        <w:t>Kč</w:t>
      </w:r>
      <w:r w:rsidR="00D54265" w:rsidRPr="00C924D0">
        <w:rPr>
          <w:rFonts w:cs="Arial"/>
          <w:b/>
          <w:bCs/>
          <w:color w:val="000000"/>
          <w:lang w:eastAsia="cs-CZ"/>
        </w:rPr>
        <w:t>.</w:t>
      </w:r>
    </w:p>
    <w:p w:rsidR="00C8779C" w:rsidRDefault="00C8779C">
      <w:pPr>
        <w:ind w:firstLine="0"/>
        <w:jc w:val="left"/>
        <w:rPr>
          <w:rFonts w:cs="Arial"/>
          <w:bCs/>
          <w:color w:val="000000"/>
          <w:lang w:eastAsia="cs-CZ"/>
        </w:rPr>
      </w:pPr>
    </w:p>
    <w:p w:rsidR="00AC4B8B" w:rsidRPr="00D50503" w:rsidRDefault="00AC4B8B" w:rsidP="00D50503">
      <w:pPr>
        <w:pStyle w:val="Nadpis2"/>
        <w:numPr>
          <w:ilvl w:val="0"/>
          <w:numId w:val="0"/>
        </w:numPr>
        <w:rPr>
          <w:sz w:val="22"/>
          <w:szCs w:val="22"/>
          <w:lang w:eastAsia="cs-CZ"/>
        </w:rPr>
      </w:pPr>
      <w:r w:rsidRPr="00D50503">
        <w:rPr>
          <w:sz w:val="22"/>
          <w:szCs w:val="22"/>
          <w:lang w:eastAsia="cs-CZ"/>
        </w:rPr>
        <w:t>2.1 Vyhodnocení</w:t>
      </w:r>
    </w:p>
    <w:p w:rsidR="00AC4B8B" w:rsidRDefault="00AC4B8B" w:rsidP="00AC4B8B">
      <w:pPr>
        <w:rPr>
          <w:rFonts w:cs="Arial"/>
          <w:color w:val="000000"/>
          <w:lang w:eastAsia="cs-CZ"/>
        </w:rPr>
      </w:pPr>
    </w:p>
    <w:p w:rsidR="001B7509" w:rsidRPr="00033E5F" w:rsidRDefault="001B7509" w:rsidP="00D50503">
      <w:pPr>
        <w:ind w:firstLine="0"/>
        <w:rPr>
          <w:rFonts w:cs="Arial"/>
          <w:szCs w:val="22"/>
        </w:rPr>
      </w:pPr>
      <w:r w:rsidRPr="00A60445">
        <w:rPr>
          <w:rFonts w:cs="Arial"/>
        </w:rPr>
        <w:t>ČSSZ</w:t>
      </w:r>
      <w:r>
        <w:rPr>
          <w:rFonts w:cs="Arial"/>
        </w:rPr>
        <w:t xml:space="preserve"> byla povinna </w:t>
      </w:r>
      <w:r w:rsidR="00F33867">
        <w:rPr>
          <w:rFonts w:cs="Arial"/>
        </w:rPr>
        <w:t>v </w:t>
      </w:r>
      <w:r>
        <w:rPr>
          <w:rFonts w:cs="Arial"/>
        </w:rPr>
        <w:t xml:space="preserve">rámci ÚZ </w:t>
      </w:r>
      <w:r w:rsidR="00F33867">
        <w:rPr>
          <w:rFonts w:cs="Arial"/>
          <w:szCs w:val="22"/>
        </w:rPr>
        <w:t>k </w:t>
      </w:r>
      <w:r w:rsidRPr="00A60445">
        <w:rPr>
          <w:rFonts w:cs="Arial"/>
          <w:szCs w:val="22"/>
        </w:rPr>
        <w:t>31. 12. 2011</w:t>
      </w:r>
      <w:r>
        <w:rPr>
          <w:rFonts w:cs="Arial"/>
        </w:rPr>
        <w:t xml:space="preserve"> sestavit </w:t>
      </w:r>
      <w:r w:rsidRPr="00A60445">
        <w:rPr>
          <w:rFonts w:cs="Arial"/>
          <w:szCs w:val="22"/>
        </w:rPr>
        <w:t>mj.</w:t>
      </w:r>
      <w:r>
        <w:rPr>
          <w:rFonts w:cs="Arial"/>
        </w:rPr>
        <w:t xml:space="preserve"> i</w:t>
      </w:r>
      <w:r w:rsidRPr="00A60445">
        <w:rPr>
          <w:rFonts w:cs="Arial"/>
          <w:szCs w:val="22"/>
        </w:rPr>
        <w:t xml:space="preserve"> </w:t>
      </w:r>
      <w:r w:rsidR="00AA148B">
        <w:rPr>
          <w:rFonts w:cs="Arial"/>
        </w:rPr>
        <w:t>p</w:t>
      </w:r>
      <w:r w:rsidRPr="00A60445">
        <w:rPr>
          <w:rFonts w:cs="Arial"/>
          <w:szCs w:val="22"/>
        </w:rPr>
        <w:t>řehled o peněžních tocích. Tento účetní výkaz sestavoval</w:t>
      </w:r>
      <w:r w:rsidRPr="00A60445">
        <w:rPr>
          <w:rFonts w:cs="Arial"/>
        </w:rPr>
        <w:t>a ČSSZ</w:t>
      </w:r>
      <w:r w:rsidRPr="00A60445">
        <w:rPr>
          <w:rFonts w:cs="Arial"/>
          <w:szCs w:val="22"/>
        </w:rPr>
        <w:t xml:space="preserve"> poprvé.</w:t>
      </w:r>
      <w:r>
        <w:rPr>
          <w:rFonts w:cs="Arial"/>
        </w:rPr>
        <w:t xml:space="preserve"> P</w:t>
      </w:r>
      <w:r w:rsidRPr="00A60445">
        <w:rPr>
          <w:rFonts w:cs="Arial"/>
        </w:rPr>
        <w:t xml:space="preserve">rávní úprava </w:t>
      </w:r>
      <w:r>
        <w:rPr>
          <w:rFonts w:cs="Arial"/>
        </w:rPr>
        <w:t xml:space="preserve">obsažená ve vyhlášce č. 410/2009 Sb. ve znění platném pro rok 2011 byla </w:t>
      </w:r>
      <w:r w:rsidR="00F33867">
        <w:rPr>
          <w:rFonts w:cs="Arial"/>
        </w:rPr>
        <w:t>v </w:t>
      </w:r>
      <w:r>
        <w:rPr>
          <w:rFonts w:cs="Arial"/>
        </w:rPr>
        <w:t xml:space="preserve">některých svých ustanoveních upravujících způsob sestavení </w:t>
      </w:r>
      <w:r w:rsidR="00AA148B">
        <w:rPr>
          <w:rFonts w:cs="Arial"/>
        </w:rPr>
        <w:t>p</w:t>
      </w:r>
      <w:r>
        <w:rPr>
          <w:rFonts w:cs="Arial"/>
        </w:rPr>
        <w:t xml:space="preserve">řehledu o peněžních tocích </w:t>
      </w:r>
      <w:r w:rsidRPr="00A6017C">
        <w:rPr>
          <w:rFonts w:cs="Arial"/>
        </w:rPr>
        <w:t>nedostatečně určitá</w:t>
      </w:r>
      <w:r w:rsidRPr="00A6017C">
        <w:rPr>
          <w:rFonts w:cs="Arial"/>
          <w:bCs/>
          <w:iCs/>
          <w:szCs w:val="22"/>
        </w:rPr>
        <w:t>.</w:t>
      </w:r>
      <w:r w:rsidRPr="00A60445">
        <w:rPr>
          <w:rFonts w:cs="Arial"/>
          <w:bCs/>
          <w:iCs/>
          <w:szCs w:val="22"/>
        </w:rPr>
        <w:t xml:space="preserve"> </w:t>
      </w:r>
      <w:r w:rsidRPr="00033E5F">
        <w:rPr>
          <w:rFonts w:cs="Arial"/>
        </w:rPr>
        <w:t xml:space="preserve">ČSSZ </w:t>
      </w:r>
      <w:r w:rsidRPr="00A6017C">
        <w:rPr>
          <w:rFonts w:cs="Arial"/>
        </w:rPr>
        <w:t>nevytvořila</w:t>
      </w:r>
      <w:r>
        <w:rPr>
          <w:rFonts w:cs="Arial"/>
        </w:rPr>
        <w:t xml:space="preserve"> </w:t>
      </w:r>
      <w:r w:rsidRPr="00033E5F">
        <w:rPr>
          <w:rFonts w:cs="Arial"/>
        </w:rPr>
        <w:t xml:space="preserve">datový podklad </w:t>
      </w:r>
      <w:r w:rsidR="00F33867">
        <w:rPr>
          <w:rFonts w:cs="Arial"/>
        </w:rPr>
        <w:t>v </w:t>
      </w:r>
      <w:r w:rsidRPr="00033E5F">
        <w:rPr>
          <w:rFonts w:cs="Arial"/>
        </w:rPr>
        <w:t xml:space="preserve">dostatečném analytickém členění nezbytném pro sestavení </w:t>
      </w:r>
      <w:r w:rsidR="00AA148B">
        <w:rPr>
          <w:rFonts w:cs="Arial"/>
        </w:rPr>
        <w:t>p</w:t>
      </w:r>
      <w:r w:rsidRPr="00033E5F">
        <w:rPr>
          <w:rFonts w:cs="Arial"/>
        </w:rPr>
        <w:t xml:space="preserve">řehledu o peněžních tocích, takže nebylo možné ze strany skupiny kontrolujících </w:t>
      </w:r>
      <w:r w:rsidR="00AA148B">
        <w:rPr>
          <w:rFonts w:cs="Arial"/>
        </w:rPr>
        <w:t>p</w:t>
      </w:r>
      <w:r w:rsidRPr="00033E5F">
        <w:rPr>
          <w:rFonts w:cs="Arial"/>
        </w:rPr>
        <w:t>řehled o</w:t>
      </w:r>
      <w:r w:rsidR="00632026">
        <w:rPr>
          <w:rFonts w:cs="Arial"/>
        </w:rPr>
        <w:t> </w:t>
      </w:r>
      <w:r w:rsidRPr="00033E5F">
        <w:rPr>
          <w:rFonts w:cs="Arial"/>
        </w:rPr>
        <w:t>peněžních tocích řádně sestavit</w:t>
      </w:r>
      <w:r>
        <w:rPr>
          <w:rFonts w:cs="Arial"/>
        </w:rPr>
        <w:t>, resp. rekonstruovat.</w:t>
      </w:r>
    </w:p>
    <w:p w:rsidR="001B7509" w:rsidRDefault="001B7509" w:rsidP="001B7509">
      <w:pPr>
        <w:ind w:firstLine="0"/>
        <w:rPr>
          <w:rFonts w:cs="Arial"/>
          <w:bCs/>
          <w:color w:val="000000"/>
          <w:szCs w:val="22"/>
          <w:lang w:eastAsia="cs-CZ"/>
        </w:rPr>
      </w:pPr>
    </w:p>
    <w:p w:rsidR="001B7509" w:rsidRPr="002D764D" w:rsidRDefault="001B7509" w:rsidP="00D50503">
      <w:pPr>
        <w:spacing w:after="120"/>
        <w:ind w:firstLine="0"/>
        <w:rPr>
          <w:rFonts w:cs="Arial"/>
          <w:szCs w:val="22"/>
          <w:lang w:eastAsia="cs-CZ"/>
        </w:rPr>
      </w:pPr>
      <w:r w:rsidRPr="009B5F37">
        <w:rPr>
          <w:rFonts w:cs="Arial"/>
          <w:lang w:eastAsia="cs-CZ"/>
        </w:rPr>
        <w:t xml:space="preserve">ČSSZ sestavila </w:t>
      </w:r>
      <w:r w:rsidR="00F33867">
        <w:rPr>
          <w:rFonts w:cs="Arial"/>
          <w:lang w:eastAsia="cs-CZ"/>
        </w:rPr>
        <w:t>v </w:t>
      </w:r>
      <w:r w:rsidRPr="009B5F37">
        <w:rPr>
          <w:rFonts w:cs="Arial"/>
          <w:lang w:eastAsia="cs-CZ"/>
        </w:rPr>
        <w:t xml:space="preserve">rámci účetní závěrky </w:t>
      </w:r>
      <w:r w:rsidR="00F33867">
        <w:rPr>
          <w:rFonts w:cs="Arial"/>
          <w:lang w:eastAsia="cs-CZ"/>
        </w:rPr>
        <w:t>k </w:t>
      </w:r>
      <w:r w:rsidRPr="009B5F37">
        <w:rPr>
          <w:rFonts w:cs="Arial"/>
          <w:lang w:eastAsia="cs-CZ"/>
        </w:rPr>
        <w:t xml:space="preserve">31. 12. 2011 i </w:t>
      </w:r>
      <w:r w:rsidR="00AA148B">
        <w:rPr>
          <w:rFonts w:cs="Arial"/>
          <w:lang w:eastAsia="cs-CZ"/>
        </w:rPr>
        <w:t>p</w:t>
      </w:r>
      <w:r w:rsidRPr="009B5F37">
        <w:rPr>
          <w:rFonts w:cs="Arial"/>
          <w:lang w:eastAsia="cs-CZ"/>
        </w:rPr>
        <w:t xml:space="preserve">řehled o změnách vlastního kapitálu. </w:t>
      </w:r>
      <w:r w:rsidRPr="002D764D">
        <w:rPr>
          <w:rFonts w:cs="Arial"/>
          <w:bCs/>
          <w:iCs/>
          <w:szCs w:val="22"/>
        </w:rPr>
        <w:t>ČSSZ</w:t>
      </w:r>
      <w:r w:rsidRPr="002D764D">
        <w:rPr>
          <w:rFonts w:cs="Arial"/>
          <w:bCs/>
          <w:iCs/>
        </w:rPr>
        <w:t xml:space="preserve"> při sestavování výkazu </w:t>
      </w:r>
      <w:r w:rsidRPr="002D764D">
        <w:rPr>
          <w:rFonts w:cs="Arial"/>
          <w:bCs/>
          <w:iCs/>
          <w:szCs w:val="22"/>
        </w:rPr>
        <w:t xml:space="preserve">nepostupovala </w:t>
      </w:r>
      <w:r w:rsidR="00F33867">
        <w:rPr>
          <w:rFonts w:cs="Arial"/>
          <w:bCs/>
          <w:iCs/>
          <w:szCs w:val="22"/>
        </w:rPr>
        <w:t>v </w:t>
      </w:r>
      <w:r w:rsidRPr="002D764D">
        <w:rPr>
          <w:rFonts w:cs="Arial"/>
          <w:bCs/>
          <w:iCs/>
          <w:szCs w:val="22"/>
        </w:rPr>
        <w:t xml:space="preserve">souladu </w:t>
      </w:r>
      <w:r w:rsidR="00F33867">
        <w:rPr>
          <w:rFonts w:cs="Arial"/>
          <w:bCs/>
          <w:iCs/>
          <w:szCs w:val="22"/>
        </w:rPr>
        <w:t>s </w:t>
      </w:r>
      <w:r w:rsidRPr="002D764D">
        <w:rPr>
          <w:rFonts w:cs="Arial"/>
          <w:bCs/>
          <w:iCs/>
          <w:szCs w:val="22"/>
        </w:rPr>
        <w:t>ustanovením §</w:t>
      </w:r>
      <w:r w:rsidR="005E5DF2">
        <w:rPr>
          <w:rFonts w:cs="Arial"/>
          <w:bCs/>
          <w:iCs/>
          <w:szCs w:val="22"/>
        </w:rPr>
        <w:t xml:space="preserve"> </w:t>
      </w:r>
      <w:r w:rsidRPr="002D764D">
        <w:rPr>
          <w:rFonts w:cs="Arial"/>
          <w:bCs/>
          <w:iCs/>
          <w:szCs w:val="22"/>
        </w:rPr>
        <w:t>44</w:t>
      </w:r>
      <w:r w:rsidR="005E5DF2">
        <w:rPr>
          <w:rFonts w:cs="Arial"/>
          <w:bCs/>
          <w:iCs/>
          <w:szCs w:val="22"/>
        </w:rPr>
        <w:t xml:space="preserve"> </w:t>
      </w:r>
      <w:r w:rsidRPr="002D764D">
        <w:rPr>
          <w:rFonts w:cs="Arial"/>
          <w:bCs/>
          <w:iCs/>
          <w:szCs w:val="22"/>
        </w:rPr>
        <w:t>vyhlášky č. 410/2009 Sb. Ve výkazu uvedené zvýšení a snížení stavu neodpovídá skutečnosti. Výkaz proto neposkytuje informace o změnách vlastního kapitálu, ale pouze o</w:t>
      </w:r>
      <w:r w:rsidR="00026CAD">
        <w:rPr>
          <w:rFonts w:cs="Arial"/>
          <w:bCs/>
          <w:iCs/>
          <w:szCs w:val="22"/>
        </w:rPr>
        <w:t> </w:t>
      </w:r>
      <w:r w:rsidRPr="002D764D">
        <w:rPr>
          <w:rFonts w:cs="Arial"/>
          <w:bCs/>
          <w:iCs/>
          <w:szCs w:val="22"/>
        </w:rPr>
        <w:t xml:space="preserve">stavu vlastního kapitálu </w:t>
      </w:r>
      <w:r w:rsidR="00F33867">
        <w:rPr>
          <w:rFonts w:cs="Arial"/>
          <w:bCs/>
          <w:iCs/>
          <w:szCs w:val="22"/>
        </w:rPr>
        <w:t>v </w:t>
      </w:r>
      <w:r w:rsidRPr="002D764D">
        <w:rPr>
          <w:rFonts w:cs="Arial"/>
          <w:bCs/>
          <w:iCs/>
          <w:szCs w:val="22"/>
        </w:rPr>
        <w:t xml:space="preserve">minulém a běžném období, </w:t>
      </w:r>
      <w:r w:rsidRPr="002D764D">
        <w:rPr>
          <w:rFonts w:cs="Arial"/>
          <w:bCs/>
          <w:iCs/>
        </w:rPr>
        <w:t>avšak</w:t>
      </w:r>
      <w:r w:rsidRPr="002D764D">
        <w:rPr>
          <w:rFonts w:cs="Arial"/>
          <w:bCs/>
          <w:iCs/>
          <w:szCs w:val="22"/>
        </w:rPr>
        <w:t xml:space="preserve"> ani tyto informace nebyly ČSSZ vyplněny správně. P</w:t>
      </w:r>
      <w:r w:rsidRPr="009B5F37">
        <w:rPr>
          <w:rFonts w:cs="Arial"/>
          <w:bCs/>
          <w:iCs/>
          <w:szCs w:val="22"/>
        </w:rPr>
        <w:t xml:space="preserve">rávní úprava </w:t>
      </w:r>
      <w:r w:rsidRPr="003D3B65">
        <w:rPr>
          <w:rFonts w:cs="Arial"/>
          <w:bCs/>
          <w:iCs/>
          <w:szCs w:val="22"/>
        </w:rPr>
        <w:t>nezbytná</w:t>
      </w:r>
      <w:r w:rsidRPr="009B5F37">
        <w:rPr>
          <w:rFonts w:cs="Arial"/>
          <w:bCs/>
          <w:iCs/>
          <w:szCs w:val="22"/>
        </w:rPr>
        <w:t xml:space="preserve"> pro správné sestavení </w:t>
      </w:r>
      <w:r w:rsidR="00AA148B">
        <w:rPr>
          <w:rFonts w:cs="Arial"/>
          <w:bCs/>
          <w:iCs/>
          <w:szCs w:val="22"/>
        </w:rPr>
        <w:t>p</w:t>
      </w:r>
      <w:r w:rsidRPr="009B5F37">
        <w:rPr>
          <w:rFonts w:cs="Arial"/>
          <w:bCs/>
          <w:iCs/>
          <w:szCs w:val="22"/>
        </w:rPr>
        <w:t>řehledu o</w:t>
      </w:r>
      <w:r w:rsidR="00026CAD">
        <w:rPr>
          <w:rFonts w:cs="Arial"/>
          <w:bCs/>
          <w:iCs/>
          <w:szCs w:val="22"/>
        </w:rPr>
        <w:t> </w:t>
      </w:r>
      <w:r w:rsidRPr="009B5F37">
        <w:rPr>
          <w:rFonts w:cs="Arial"/>
          <w:bCs/>
          <w:iCs/>
          <w:szCs w:val="22"/>
        </w:rPr>
        <w:t xml:space="preserve">změnách vlastního kapitálu </w:t>
      </w:r>
      <w:r w:rsidRPr="002D764D">
        <w:rPr>
          <w:rFonts w:cs="Arial"/>
          <w:bCs/>
          <w:iCs/>
          <w:szCs w:val="22"/>
        </w:rPr>
        <w:t xml:space="preserve">nebyla </w:t>
      </w:r>
      <w:r w:rsidR="00F33867">
        <w:rPr>
          <w:rFonts w:cs="Arial"/>
          <w:bCs/>
          <w:iCs/>
          <w:szCs w:val="22"/>
        </w:rPr>
        <w:t>v </w:t>
      </w:r>
      <w:r w:rsidRPr="002D764D">
        <w:rPr>
          <w:rFonts w:cs="Arial"/>
          <w:bCs/>
          <w:iCs/>
          <w:szCs w:val="22"/>
        </w:rPr>
        <w:t xml:space="preserve">roce 2011 </w:t>
      </w:r>
      <w:r w:rsidR="00F33867">
        <w:rPr>
          <w:rFonts w:cs="Arial"/>
          <w:bCs/>
          <w:iCs/>
          <w:szCs w:val="22"/>
        </w:rPr>
        <w:t>v </w:t>
      </w:r>
      <w:r w:rsidRPr="00B9167C">
        <w:rPr>
          <w:rFonts w:cs="Arial"/>
          <w:bCs/>
          <w:iCs/>
          <w:szCs w:val="22"/>
        </w:rPr>
        <w:t xml:space="preserve">ustanovení vymezujícím položku C.III. </w:t>
      </w:r>
      <w:r w:rsidR="00D54265" w:rsidRPr="00C924D0">
        <w:rPr>
          <w:rFonts w:cs="Arial"/>
          <w:bCs/>
          <w:i/>
          <w:iCs/>
          <w:szCs w:val="22"/>
        </w:rPr>
        <w:t>Výsledek hospodaření</w:t>
      </w:r>
      <w:r w:rsidRPr="00B9167C">
        <w:rPr>
          <w:rFonts w:cs="Arial"/>
          <w:bCs/>
          <w:iCs/>
          <w:szCs w:val="22"/>
        </w:rPr>
        <w:t xml:space="preserve"> zcela jednoznačná, takže nebylo možné jednoznačně vyhodnotit nesprávnosti</w:t>
      </w:r>
      <w:r w:rsidRPr="009B5F37">
        <w:rPr>
          <w:rFonts w:cs="Arial"/>
          <w:bCs/>
          <w:iCs/>
          <w:szCs w:val="22"/>
        </w:rPr>
        <w:t xml:space="preserve"> ses</w:t>
      </w:r>
      <w:r w:rsidRPr="002D764D">
        <w:rPr>
          <w:rFonts w:cs="Arial"/>
          <w:bCs/>
          <w:iCs/>
          <w:szCs w:val="22"/>
        </w:rPr>
        <w:t>tavení výkazu.</w:t>
      </w:r>
    </w:p>
    <w:p w:rsidR="001B7509" w:rsidRDefault="001B7509" w:rsidP="00D50503">
      <w:pPr>
        <w:spacing w:before="120"/>
        <w:ind w:firstLine="0"/>
        <w:rPr>
          <w:rFonts w:cs="Arial"/>
          <w:b/>
          <w:bCs/>
          <w:szCs w:val="22"/>
        </w:rPr>
      </w:pPr>
      <w:r>
        <w:rPr>
          <w:rFonts w:cs="Arial"/>
          <w:lang w:eastAsia="cs-CZ"/>
        </w:rPr>
        <w:t>Účetní závěrka ČSSZ sestavená</w:t>
      </w:r>
      <w:r w:rsidRPr="0060160A">
        <w:rPr>
          <w:rFonts w:cs="Arial"/>
          <w:lang w:eastAsia="cs-CZ"/>
        </w:rPr>
        <w:t xml:space="preserve"> </w:t>
      </w:r>
      <w:r w:rsidR="00F33867">
        <w:rPr>
          <w:rFonts w:cs="Arial"/>
          <w:lang w:eastAsia="cs-CZ"/>
        </w:rPr>
        <w:t>k </w:t>
      </w:r>
      <w:r w:rsidRPr="0060160A">
        <w:rPr>
          <w:rFonts w:cs="Arial"/>
          <w:lang w:eastAsia="cs-CZ"/>
        </w:rPr>
        <w:t>31.</w:t>
      </w:r>
      <w:r>
        <w:rPr>
          <w:rFonts w:cs="Arial"/>
          <w:lang w:eastAsia="cs-CZ"/>
        </w:rPr>
        <w:t xml:space="preserve"> </w:t>
      </w:r>
      <w:r w:rsidR="00EF5440">
        <w:rPr>
          <w:rFonts w:cs="Arial"/>
          <w:lang w:eastAsia="cs-CZ"/>
        </w:rPr>
        <w:t xml:space="preserve">prosinci </w:t>
      </w:r>
      <w:r w:rsidRPr="0060160A">
        <w:rPr>
          <w:rFonts w:cs="Arial"/>
          <w:lang w:eastAsia="cs-CZ"/>
        </w:rPr>
        <w:t>201</w:t>
      </w:r>
      <w:r>
        <w:rPr>
          <w:rFonts w:cs="Arial"/>
          <w:lang w:eastAsia="cs-CZ"/>
        </w:rPr>
        <w:t xml:space="preserve">1 </w:t>
      </w:r>
      <w:r w:rsidRPr="0060160A">
        <w:rPr>
          <w:rFonts w:cs="Arial"/>
          <w:b/>
          <w:bCs/>
          <w:szCs w:val="22"/>
        </w:rPr>
        <w:t>podává dle § 7 odst. 1 zákona o</w:t>
      </w:r>
      <w:r w:rsidR="00026CAD">
        <w:rPr>
          <w:rFonts w:cs="Arial"/>
          <w:b/>
          <w:bCs/>
          <w:szCs w:val="22"/>
        </w:rPr>
        <w:t> </w:t>
      </w:r>
      <w:r w:rsidRPr="0060160A">
        <w:rPr>
          <w:rFonts w:cs="Arial"/>
          <w:b/>
          <w:bCs/>
          <w:szCs w:val="22"/>
        </w:rPr>
        <w:t>účetnictví věrný a poctivý obraz předmětu účetnictví a finanční situace účetní jednotky</w:t>
      </w:r>
      <w:r w:rsidR="00497A96">
        <w:rPr>
          <w:rFonts w:cs="Arial"/>
          <w:b/>
          <w:bCs/>
          <w:szCs w:val="22"/>
        </w:rPr>
        <w:t>,</w:t>
      </w:r>
      <w:r w:rsidR="00AD1F2B">
        <w:rPr>
          <w:rFonts w:cs="Arial"/>
          <w:b/>
          <w:bCs/>
          <w:szCs w:val="22"/>
        </w:rPr>
        <w:t xml:space="preserve"> </w:t>
      </w:r>
      <w:r w:rsidR="00F33867">
        <w:rPr>
          <w:rFonts w:cs="Arial"/>
          <w:b/>
          <w:bCs/>
          <w:szCs w:val="22"/>
        </w:rPr>
        <w:t>s </w:t>
      </w:r>
      <w:r w:rsidR="00497A96">
        <w:rPr>
          <w:rFonts w:cs="Arial"/>
          <w:b/>
          <w:bCs/>
          <w:szCs w:val="22"/>
        </w:rPr>
        <w:t xml:space="preserve">výhradou </w:t>
      </w:r>
      <w:r w:rsidR="00AA148B">
        <w:rPr>
          <w:rFonts w:cs="Arial"/>
          <w:b/>
          <w:bCs/>
          <w:szCs w:val="22"/>
        </w:rPr>
        <w:t>p</w:t>
      </w:r>
      <w:r w:rsidR="00497A96">
        <w:rPr>
          <w:rFonts w:cs="Arial"/>
          <w:b/>
          <w:bCs/>
          <w:szCs w:val="22"/>
        </w:rPr>
        <w:t xml:space="preserve">řehledu o peněžních tocích a </w:t>
      </w:r>
      <w:r w:rsidR="00AA148B">
        <w:rPr>
          <w:rFonts w:cs="Arial"/>
          <w:b/>
          <w:bCs/>
          <w:szCs w:val="22"/>
        </w:rPr>
        <w:t>p</w:t>
      </w:r>
      <w:r w:rsidR="00497A96">
        <w:rPr>
          <w:rFonts w:cs="Arial"/>
          <w:b/>
          <w:bCs/>
          <w:szCs w:val="22"/>
        </w:rPr>
        <w:t>řehledu o změnách vlastního kapitálu</w:t>
      </w:r>
      <w:r w:rsidR="00585C6D">
        <w:rPr>
          <w:rFonts w:cs="Arial"/>
          <w:b/>
          <w:bCs/>
          <w:szCs w:val="22"/>
        </w:rPr>
        <w:t xml:space="preserve">, ke kterým se NKÚ </w:t>
      </w:r>
      <w:r w:rsidR="00F33867">
        <w:rPr>
          <w:rFonts w:cs="Arial"/>
          <w:b/>
          <w:bCs/>
          <w:szCs w:val="22"/>
        </w:rPr>
        <w:t>z </w:t>
      </w:r>
      <w:r w:rsidR="00585C6D">
        <w:rPr>
          <w:rFonts w:cs="Arial"/>
          <w:b/>
          <w:bCs/>
          <w:szCs w:val="22"/>
        </w:rPr>
        <w:t>výše uvedených důvodů nevyjadřuje.</w:t>
      </w:r>
    </w:p>
    <w:p w:rsidR="00AC4B8B" w:rsidRPr="00F935DC" w:rsidRDefault="00AC4B8B" w:rsidP="00AC4B8B">
      <w:pPr>
        <w:rPr>
          <w:rFonts w:cs="Arial"/>
          <w:bCs/>
          <w:color w:val="000000"/>
        </w:rPr>
      </w:pPr>
    </w:p>
    <w:p w:rsidR="001A1086" w:rsidRDefault="00D54265" w:rsidP="00C924D0">
      <w:pPr>
        <w:pStyle w:val="Nadpis1"/>
        <w:numPr>
          <w:ilvl w:val="0"/>
          <w:numId w:val="0"/>
        </w:numPr>
        <w:rPr>
          <w:sz w:val="22"/>
          <w:szCs w:val="22"/>
        </w:rPr>
      </w:pPr>
      <w:r w:rsidRPr="00C924D0">
        <w:rPr>
          <w:sz w:val="22"/>
          <w:szCs w:val="22"/>
        </w:rPr>
        <w:t xml:space="preserve">3. </w:t>
      </w:r>
      <w:r w:rsidR="00AC4B8B" w:rsidRPr="009B71D7">
        <w:rPr>
          <w:sz w:val="22"/>
          <w:szCs w:val="22"/>
        </w:rPr>
        <w:t xml:space="preserve">Správnost údajů ve </w:t>
      </w:r>
      <w:r w:rsidR="0082282A" w:rsidRPr="009B71D7">
        <w:rPr>
          <w:sz w:val="22"/>
          <w:szCs w:val="22"/>
        </w:rPr>
        <w:t xml:space="preserve">finančních výkazech </w:t>
      </w:r>
    </w:p>
    <w:p w:rsidR="0082282A" w:rsidRDefault="0082282A" w:rsidP="0082282A">
      <w:pPr>
        <w:rPr>
          <w:lang w:eastAsia="cs-CZ"/>
        </w:rPr>
      </w:pPr>
    </w:p>
    <w:p w:rsidR="001A1086" w:rsidRDefault="001F5837" w:rsidP="00591068">
      <w:pPr>
        <w:pStyle w:val="Nadpis2"/>
        <w:numPr>
          <w:ilvl w:val="0"/>
          <w:numId w:val="0"/>
        </w:numPr>
        <w:ind w:left="397" w:hanging="397"/>
        <w:jc w:val="left"/>
        <w:rPr>
          <w:sz w:val="22"/>
          <w:szCs w:val="22"/>
          <w:lang w:eastAsia="cs-CZ"/>
        </w:rPr>
      </w:pPr>
      <w:r>
        <w:rPr>
          <w:sz w:val="22"/>
          <w:szCs w:val="22"/>
          <w:lang w:eastAsia="cs-CZ"/>
        </w:rPr>
        <w:t xml:space="preserve">3.1 </w:t>
      </w:r>
      <w:r w:rsidR="00940F00" w:rsidRPr="009B71D7">
        <w:rPr>
          <w:sz w:val="22"/>
          <w:szCs w:val="22"/>
          <w:lang w:eastAsia="cs-CZ"/>
        </w:rPr>
        <w:t xml:space="preserve">Správnost údajů ve </w:t>
      </w:r>
      <w:r w:rsidR="00AA148B">
        <w:rPr>
          <w:sz w:val="22"/>
          <w:szCs w:val="22"/>
          <w:lang w:eastAsia="cs-CZ"/>
        </w:rPr>
        <w:t>v</w:t>
      </w:r>
      <w:r w:rsidR="00940F00" w:rsidRPr="009B71D7">
        <w:rPr>
          <w:sz w:val="22"/>
          <w:szCs w:val="22"/>
          <w:lang w:eastAsia="cs-CZ"/>
        </w:rPr>
        <w:t>ýkazu pro hodnocení plnění rozpočtu sestavené</w:t>
      </w:r>
      <w:r w:rsidR="00AA148B">
        <w:rPr>
          <w:sz w:val="22"/>
          <w:szCs w:val="22"/>
          <w:lang w:eastAsia="cs-CZ"/>
        </w:rPr>
        <w:t>m</w:t>
      </w:r>
      <w:r w:rsidR="00940F00" w:rsidRPr="009B71D7">
        <w:rPr>
          <w:sz w:val="22"/>
          <w:szCs w:val="22"/>
          <w:lang w:eastAsia="cs-CZ"/>
        </w:rPr>
        <w:t xml:space="preserve"> </w:t>
      </w:r>
      <w:r w:rsidR="00F33867">
        <w:rPr>
          <w:sz w:val="22"/>
          <w:szCs w:val="22"/>
          <w:lang w:eastAsia="cs-CZ"/>
        </w:rPr>
        <w:t>k </w:t>
      </w:r>
      <w:r w:rsidR="00940F00" w:rsidRPr="009B71D7">
        <w:rPr>
          <w:sz w:val="22"/>
          <w:szCs w:val="22"/>
          <w:lang w:eastAsia="cs-CZ"/>
        </w:rPr>
        <w:t>31.</w:t>
      </w:r>
      <w:r w:rsidR="00026CAD">
        <w:rPr>
          <w:sz w:val="22"/>
          <w:szCs w:val="22"/>
          <w:lang w:eastAsia="cs-CZ"/>
        </w:rPr>
        <w:t> </w:t>
      </w:r>
      <w:r w:rsidR="00940F00" w:rsidRPr="009B71D7">
        <w:rPr>
          <w:sz w:val="22"/>
          <w:szCs w:val="22"/>
          <w:lang w:eastAsia="cs-CZ"/>
        </w:rPr>
        <w:t>prosinci 2011</w:t>
      </w:r>
    </w:p>
    <w:p w:rsidR="0082282A" w:rsidRPr="0082282A" w:rsidRDefault="00940F00" w:rsidP="00940F00">
      <w:pPr>
        <w:ind w:left="360" w:firstLine="0"/>
        <w:rPr>
          <w:lang w:eastAsia="cs-CZ"/>
        </w:rPr>
      </w:pPr>
      <w:r>
        <w:rPr>
          <w:lang w:eastAsia="cs-CZ"/>
        </w:rPr>
        <w:t xml:space="preserve"> </w:t>
      </w:r>
    </w:p>
    <w:p w:rsidR="00AC4B8B" w:rsidRPr="00F935DC" w:rsidRDefault="00AC4B8B" w:rsidP="00D50503">
      <w:pPr>
        <w:ind w:firstLine="0"/>
        <w:rPr>
          <w:rFonts w:cs="Arial"/>
          <w:color w:val="000000"/>
          <w:lang w:eastAsia="cs-CZ"/>
        </w:rPr>
      </w:pPr>
      <w:r w:rsidRPr="00F935DC">
        <w:rPr>
          <w:rFonts w:cs="Arial"/>
          <w:color w:val="000000"/>
          <w:lang w:eastAsia="cs-CZ"/>
        </w:rPr>
        <w:t>Celková nesprávnost</w:t>
      </w:r>
      <w:r w:rsidR="00E7479F">
        <w:rPr>
          <w:rFonts w:cs="Arial"/>
          <w:color w:val="000000"/>
          <w:lang w:eastAsia="cs-CZ"/>
        </w:rPr>
        <w:t>,</w:t>
      </w:r>
      <w:r w:rsidRPr="00F935DC">
        <w:rPr>
          <w:rFonts w:cs="Arial"/>
          <w:color w:val="000000"/>
          <w:lang w:eastAsia="cs-CZ"/>
        </w:rPr>
        <w:t xml:space="preserve"> zjištěná </w:t>
      </w:r>
      <w:r w:rsidR="00E7479F">
        <w:rPr>
          <w:rFonts w:cs="Arial"/>
          <w:color w:val="000000"/>
          <w:lang w:eastAsia="cs-CZ"/>
        </w:rPr>
        <w:t xml:space="preserve">na vybraném vzorku dokladů, </w:t>
      </w:r>
      <w:r w:rsidRPr="00F935DC">
        <w:rPr>
          <w:rFonts w:cs="Arial"/>
          <w:color w:val="000000"/>
          <w:lang w:eastAsia="cs-CZ"/>
        </w:rPr>
        <w:t xml:space="preserve">ve </w:t>
      </w:r>
      <w:r w:rsidR="00AA148B">
        <w:rPr>
          <w:rFonts w:cs="Arial"/>
          <w:color w:val="000000"/>
          <w:lang w:eastAsia="cs-CZ"/>
        </w:rPr>
        <w:t>v</w:t>
      </w:r>
      <w:r w:rsidRPr="00F935DC">
        <w:rPr>
          <w:rFonts w:cs="Arial"/>
          <w:color w:val="000000"/>
          <w:lang w:eastAsia="cs-CZ"/>
        </w:rPr>
        <w:t>ýkazu pro hodnocení plnění rozpočtu sestavené</w:t>
      </w:r>
      <w:r w:rsidR="00AA148B">
        <w:rPr>
          <w:rFonts w:cs="Arial"/>
          <w:color w:val="000000"/>
          <w:lang w:eastAsia="cs-CZ"/>
        </w:rPr>
        <w:t>m</w:t>
      </w:r>
      <w:r w:rsidRPr="00F935DC">
        <w:rPr>
          <w:rFonts w:cs="Arial"/>
          <w:color w:val="000000"/>
          <w:lang w:eastAsia="cs-CZ"/>
        </w:rPr>
        <w:t xml:space="preserve"> </w:t>
      </w:r>
      <w:r w:rsidR="00F33867">
        <w:rPr>
          <w:rFonts w:cs="Arial"/>
          <w:color w:val="000000"/>
          <w:lang w:eastAsia="cs-CZ"/>
        </w:rPr>
        <w:t>k </w:t>
      </w:r>
      <w:r w:rsidRPr="00F935DC">
        <w:rPr>
          <w:rFonts w:cs="Arial"/>
          <w:color w:val="000000"/>
          <w:lang w:eastAsia="cs-CZ"/>
        </w:rPr>
        <w:t>31.</w:t>
      </w:r>
      <w:r w:rsidR="005E5DF2">
        <w:rPr>
          <w:rFonts w:cs="Arial"/>
          <w:color w:val="000000"/>
          <w:lang w:eastAsia="cs-CZ"/>
        </w:rPr>
        <w:t xml:space="preserve"> </w:t>
      </w:r>
      <w:r w:rsidRPr="00F935DC">
        <w:rPr>
          <w:rFonts w:cs="Arial"/>
          <w:color w:val="000000"/>
          <w:lang w:eastAsia="cs-CZ"/>
        </w:rPr>
        <w:t>prosinci 201</w:t>
      </w:r>
      <w:r w:rsidR="00940F00">
        <w:rPr>
          <w:rFonts w:cs="Arial"/>
          <w:color w:val="000000"/>
          <w:lang w:eastAsia="cs-CZ"/>
        </w:rPr>
        <w:t>1</w:t>
      </w:r>
      <w:r w:rsidRPr="00F935DC">
        <w:rPr>
          <w:rFonts w:cs="Arial"/>
          <w:color w:val="000000"/>
          <w:lang w:eastAsia="cs-CZ"/>
        </w:rPr>
        <w:t xml:space="preserve"> činila </w:t>
      </w:r>
      <w:r w:rsidR="00940F00" w:rsidRPr="00FD1C89">
        <w:rPr>
          <w:rFonts w:cs="Arial"/>
          <w:b/>
          <w:color w:val="000000"/>
        </w:rPr>
        <w:t>4</w:t>
      </w:r>
      <w:r w:rsidR="005E5DF2">
        <w:rPr>
          <w:rFonts w:cs="Arial"/>
          <w:b/>
          <w:color w:val="000000"/>
        </w:rPr>
        <w:t xml:space="preserve"> </w:t>
      </w:r>
      <w:r w:rsidR="00940F00" w:rsidRPr="00FD1C89">
        <w:rPr>
          <w:rFonts w:cs="Arial"/>
          <w:b/>
          <w:color w:val="000000"/>
        </w:rPr>
        <w:t xml:space="preserve">417,59 </w:t>
      </w:r>
      <w:r w:rsidR="00940F00" w:rsidRPr="00FD1C89">
        <w:rPr>
          <w:rFonts w:cs="Arial"/>
          <w:b/>
          <w:bCs/>
          <w:iCs/>
          <w:szCs w:val="22"/>
        </w:rPr>
        <w:t>Kč</w:t>
      </w:r>
      <w:r w:rsidRPr="00F935DC">
        <w:rPr>
          <w:rFonts w:cs="Arial"/>
          <w:b/>
          <w:color w:val="000000"/>
          <w:lang w:eastAsia="cs-CZ"/>
        </w:rPr>
        <w:t>.</w:t>
      </w:r>
    </w:p>
    <w:p w:rsidR="00AC4B8B" w:rsidRPr="00F935DC" w:rsidRDefault="00AC4B8B" w:rsidP="00AC4B8B">
      <w:pPr>
        <w:rPr>
          <w:rFonts w:cs="Arial"/>
          <w:color w:val="000000"/>
          <w:lang w:eastAsia="cs-CZ"/>
        </w:rPr>
      </w:pPr>
    </w:p>
    <w:p w:rsidR="00AC4B8B" w:rsidRPr="00F935DC" w:rsidRDefault="00F33867" w:rsidP="00D50503">
      <w:pPr>
        <w:ind w:firstLine="0"/>
        <w:rPr>
          <w:rFonts w:cs="Arial"/>
          <w:color w:val="000000"/>
          <w:lang w:eastAsia="cs-CZ"/>
        </w:rPr>
      </w:pPr>
      <w:r>
        <w:rPr>
          <w:rFonts w:cs="Arial"/>
          <w:color w:val="000000"/>
          <w:lang w:eastAsia="cs-CZ"/>
        </w:rPr>
        <w:t>V </w:t>
      </w:r>
      <w:r w:rsidR="00AC4B8B" w:rsidRPr="00F935DC">
        <w:rPr>
          <w:rFonts w:cs="Arial"/>
          <w:color w:val="000000"/>
          <w:lang w:eastAsia="cs-CZ"/>
        </w:rPr>
        <w:t>roce 201</w:t>
      </w:r>
      <w:r w:rsidR="00940F00">
        <w:rPr>
          <w:rFonts w:cs="Arial"/>
          <w:color w:val="000000"/>
          <w:lang w:eastAsia="cs-CZ"/>
        </w:rPr>
        <w:t>1</w:t>
      </w:r>
      <w:r w:rsidR="00AC4B8B" w:rsidRPr="00F935DC">
        <w:rPr>
          <w:rFonts w:cs="Arial"/>
          <w:color w:val="000000"/>
          <w:lang w:eastAsia="cs-CZ"/>
        </w:rPr>
        <w:t xml:space="preserve"> ČSSZ </w:t>
      </w:r>
      <w:r w:rsidR="00AA148B">
        <w:rPr>
          <w:rFonts w:cs="Arial"/>
          <w:color w:val="000000"/>
          <w:lang w:eastAsia="cs-CZ"/>
        </w:rPr>
        <w:t>provedla</w:t>
      </w:r>
      <w:r w:rsidR="00AC4B8B" w:rsidRPr="00F935DC">
        <w:rPr>
          <w:rFonts w:cs="Arial"/>
          <w:color w:val="000000"/>
          <w:lang w:eastAsia="cs-CZ"/>
        </w:rPr>
        <w:t xml:space="preserve"> exekuční srážky </w:t>
      </w:r>
      <w:r>
        <w:rPr>
          <w:rFonts w:cs="Arial"/>
          <w:color w:val="000000"/>
          <w:lang w:eastAsia="cs-CZ"/>
        </w:rPr>
        <w:t>z </w:t>
      </w:r>
      <w:r w:rsidR="00AC4B8B" w:rsidRPr="00F935DC">
        <w:rPr>
          <w:rFonts w:cs="Arial"/>
          <w:color w:val="000000"/>
          <w:lang w:eastAsia="cs-CZ"/>
        </w:rPr>
        <w:t xml:space="preserve">důchodů ve výši </w:t>
      </w:r>
      <w:r w:rsidR="00940F00" w:rsidRPr="00940F00">
        <w:rPr>
          <w:rFonts w:cs="Arial"/>
          <w:b/>
          <w:color w:val="000000"/>
          <w:lang w:eastAsia="cs-CZ"/>
        </w:rPr>
        <w:t>1</w:t>
      </w:r>
      <w:r w:rsidR="005E5DF2">
        <w:rPr>
          <w:rFonts w:cs="Arial"/>
          <w:b/>
          <w:color w:val="000000"/>
          <w:lang w:eastAsia="cs-CZ"/>
        </w:rPr>
        <w:t xml:space="preserve"> </w:t>
      </w:r>
      <w:r w:rsidR="00940F00" w:rsidRPr="00940F00">
        <w:rPr>
          <w:rFonts w:cs="Arial"/>
          <w:b/>
          <w:color w:val="000000"/>
          <w:lang w:eastAsia="cs-CZ"/>
        </w:rPr>
        <w:t>397</w:t>
      </w:r>
      <w:r w:rsidR="005E5DF2">
        <w:rPr>
          <w:rFonts w:cs="Arial"/>
          <w:b/>
          <w:color w:val="000000"/>
          <w:lang w:eastAsia="cs-CZ"/>
        </w:rPr>
        <w:t xml:space="preserve"> </w:t>
      </w:r>
      <w:r w:rsidR="00940F00" w:rsidRPr="00940F00">
        <w:rPr>
          <w:rFonts w:cs="Arial"/>
          <w:b/>
          <w:color w:val="000000"/>
          <w:lang w:eastAsia="cs-CZ"/>
        </w:rPr>
        <w:t>260</w:t>
      </w:r>
      <w:r w:rsidR="005E5DF2">
        <w:rPr>
          <w:rFonts w:cs="Arial"/>
          <w:b/>
          <w:color w:val="000000"/>
          <w:lang w:eastAsia="cs-CZ"/>
        </w:rPr>
        <w:t xml:space="preserve"> </w:t>
      </w:r>
      <w:r w:rsidR="00940F00" w:rsidRPr="00940F00">
        <w:rPr>
          <w:rFonts w:cs="Arial"/>
          <w:b/>
          <w:color w:val="000000"/>
          <w:lang w:eastAsia="cs-CZ"/>
        </w:rPr>
        <w:t xml:space="preserve">492,04 </w:t>
      </w:r>
      <w:r w:rsidR="00AC4B8B" w:rsidRPr="00940F00">
        <w:rPr>
          <w:rFonts w:cs="Arial"/>
          <w:b/>
          <w:color w:val="000000"/>
          <w:lang w:eastAsia="cs-CZ"/>
        </w:rPr>
        <w:t>Kč</w:t>
      </w:r>
      <w:r w:rsidR="00D54265" w:rsidRPr="00C924D0">
        <w:rPr>
          <w:rFonts w:cs="Arial"/>
          <w:b/>
          <w:color w:val="000000"/>
          <w:lang w:eastAsia="cs-CZ"/>
        </w:rPr>
        <w:t>.</w:t>
      </w:r>
      <w:r w:rsidR="00AC4B8B" w:rsidRPr="00F935DC">
        <w:rPr>
          <w:rFonts w:cs="Arial"/>
          <w:color w:val="000000"/>
          <w:lang w:eastAsia="cs-CZ"/>
        </w:rPr>
        <w:t xml:space="preserve"> Systém zpracování výdajů souvisejících </w:t>
      </w:r>
      <w:r>
        <w:rPr>
          <w:rFonts w:cs="Arial"/>
          <w:color w:val="000000"/>
          <w:lang w:eastAsia="cs-CZ"/>
        </w:rPr>
        <w:t>s </w:t>
      </w:r>
      <w:r w:rsidR="00AC4B8B" w:rsidRPr="00F935DC">
        <w:rPr>
          <w:rFonts w:cs="Arial"/>
          <w:color w:val="000000"/>
          <w:lang w:eastAsia="cs-CZ"/>
        </w:rPr>
        <w:t xml:space="preserve">exekucemi však nebyl nastaven tak, aby bylo zajištěno zatřiďování výdajů souvisejících </w:t>
      </w:r>
      <w:r>
        <w:rPr>
          <w:rFonts w:cs="Arial"/>
          <w:color w:val="000000"/>
          <w:lang w:eastAsia="cs-CZ"/>
        </w:rPr>
        <w:t>s </w:t>
      </w:r>
      <w:r w:rsidR="00AC4B8B" w:rsidRPr="00F935DC">
        <w:rPr>
          <w:rFonts w:cs="Arial"/>
          <w:color w:val="000000"/>
          <w:lang w:eastAsia="cs-CZ"/>
        </w:rPr>
        <w:t xml:space="preserve">provedenými exekucemi na správné paragrafy rozpočtové položky </w:t>
      </w:r>
      <w:r w:rsidR="00AC4B8B" w:rsidRPr="00E7479F">
        <w:rPr>
          <w:rFonts w:cs="Arial"/>
          <w:color w:val="000000"/>
          <w:lang w:eastAsia="cs-CZ"/>
        </w:rPr>
        <w:t xml:space="preserve">5410 – </w:t>
      </w:r>
      <w:r w:rsidR="00D54265" w:rsidRPr="00C924D0">
        <w:rPr>
          <w:rFonts w:cs="Arial"/>
          <w:i/>
          <w:color w:val="000000"/>
          <w:lang w:eastAsia="cs-CZ"/>
        </w:rPr>
        <w:t>Sociální dávky</w:t>
      </w:r>
      <w:r w:rsidR="00D54265" w:rsidRPr="00C924D0">
        <w:rPr>
          <w:rFonts w:cs="Arial"/>
          <w:color w:val="000000"/>
          <w:lang w:eastAsia="cs-CZ"/>
        </w:rPr>
        <w:t>.</w:t>
      </w:r>
      <w:r w:rsidR="00AC4B8B" w:rsidRPr="00F935DC">
        <w:rPr>
          <w:rFonts w:cs="Arial"/>
          <w:color w:val="000000"/>
          <w:lang w:eastAsia="cs-CZ"/>
        </w:rPr>
        <w:t xml:space="preserve"> Správnost zatřídění těchto výdajů nebylo možné ověřit.</w:t>
      </w:r>
    </w:p>
    <w:p w:rsidR="00AC4B8B" w:rsidRPr="00F935DC" w:rsidRDefault="00AC4B8B" w:rsidP="007A77D7">
      <w:pPr>
        <w:ind w:firstLine="0"/>
        <w:rPr>
          <w:rFonts w:cs="Arial"/>
          <w:color w:val="000000"/>
          <w:lang w:eastAsia="cs-CZ"/>
        </w:rPr>
      </w:pPr>
    </w:p>
    <w:p w:rsidR="00940F00" w:rsidRPr="00940F00" w:rsidRDefault="00940F00" w:rsidP="00D50503">
      <w:pPr>
        <w:ind w:firstLine="0"/>
      </w:pPr>
      <w:r w:rsidRPr="00940F00">
        <w:t xml:space="preserve">Exekuční srážky </w:t>
      </w:r>
      <w:r w:rsidR="00F33867">
        <w:t>z </w:t>
      </w:r>
      <w:r w:rsidRPr="00940F00">
        <w:t xml:space="preserve">důchodů představují pro ČSSZ velmi rozsáhlou agendu. Současná právní úprava </w:t>
      </w:r>
      <w:r w:rsidR="00F33867">
        <w:t>v </w:t>
      </w:r>
      <w:r w:rsidRPr="00940F00">
        <w:t xml:space="preserve">oblasti exekučních srážek (tj. občanský soudní řád a exekuční řád) upravuje nárok na úhradu nákladů exekuce jen ve vztahu </w:t>
      </w:r>
      <w:r w:rsidR="00F33867">
        <w:t>k </w:t>
      </w:r>
      <w:r w:rsidRPr="00940F00">
        <w:t xml:space="preserve">exekutorovi (náklady a odměna exekutora), ve vztahu </w:t>
      </w:r>
      <w:r w:rsidR="00F33867">
        <w:t>k </w:t>
      </w:r>
      <w:r w:rsidRPr="00940F00">
        <w:t>oprávněnému a dále také ke správci podniku (</w:t>
      </w:r>
      <w:r w:rsidR="00F33867">
        <w:t>v </w:t>
      </w:r>
      <w:r w:rsidRPr="00940F00">
        <w:t xml:space="preserve">případě konkurzu). Vztah </w:t>
      </w:r>
      <w:r w:rsidR="00F33867">
        <w:t>k </w:t>
      </w:r>
      <w:r w:rsidRPr="00940F00">
        <w:t>plátci mzdy právní předpisy neupravují.</w:t>
      </w:r>
    </w:p>
    <w:p w:rsidR="00940F00" w:rsidRPr="00940F00" w:rsidRDefault="00940F00" w:rsidP="00750D9E">
      <w:pPr>
        <w:ind w:firstLine="0"/>
      </w:pPr>
    </w:p>
    <w:p w:rsidR="00940F00" w:rsidRDefault="00940F00" w:rsidP="00D50503">
      <w:pPr>
        <w:ind w:firstLine="0"/>
      </w:pPr>
      <w:r w:rsidRPr="00940F00">
        <w:t xml:space="preserve">ČSSZ je </w:t>
      </w:r>
      <w:r w:rsidR="00F33867">
        <w:t>v </w:t>
      </w:r>
      <w:r w:rsidRPr="00940F00">
        <w:t xml:space="preserve">obdobném (specifickém) postavení jako plátce mzdy a spravuje desetitisíce exekučních případů měsíčně, </w:t>
      </w:r>
      <w:r w:rsidR="00F33867">
        <w:t>s </w:t>
      </w:r>
      <w:r w:rsidRPr="00940F00">
        <w:t xml:space="preserve">nimiž souvisejí náklady, které jsou hrazeny ze státního rozpočtu. Současná právní úprava však neumožňuje plátci mzdy uplatnit vůči povinnému nárok na úhradu nákladů. Případná změna právních předpisů, která by plátcům mzdy umožňovala uplatnit nárok na úhradu nákladů souvisejících </w:t>
      </w:r>
      <w:r w:rsidR="00F33867">
        <w:t>s </w:t>
      </w:r>
      <w:r w:rsidRPr="00940F00">
        <w:t>exekucí, by vedla k</w:t>
      </w:r>
      <w:r w:rsidR="00026CAD">
        <w:t> </w:t>
      </w:r>
      <w:r w:rsidRPr="00940F00">
        <w:t>hospodárnějšímu využívání státních prostředků.</w:t>
      </w:r>
      <w:r w:rsidR="0065646B">
        <w:t xml:space="preserve"> Na tuto skutečnost NKÚ upozornil již při </w:t>
      </w:r>
      <w:r w:rsidR="00EF5440">
        <w:t xml:space="preserve">kontrolní akci </w:t>
      </w:r>
      <w:r w:rsidR="0065646B" w:rsidRPr="00E50EB3">
        <w:t>č. 09/30.</w:t>
      </w:r>
    </w:p>
    <w:p w:rsidR="00093908" w:rsidRPr="00AC4B8B" w:rsidRDefault="00093908" w:rsidP="00AC4B8B"/>
    <w:sectPr w:rsidR="00093908" w:rsidRPr="00AC4B8B" w:rsidSect="0083725C">
      <w:footerReference w:type="default" r:id="rId13"/>
      <w:headerReference w:type="first" r:id="rId14"/>
      <w:pgSz w:w="11906" w:h="16838" w:code="9"/>
      <w:pgMar w:top="1418" w:right="1418" w:bottom="1418"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E4A" w:rsidRDefault="001B2E4A">
      <w:r>
        <w:separator/>
      </w:r>
    </w:p>
  </w:endnote>
  <w:endnote w:type="continuationSeparator" w:id="0">
    <w:p w:rsidR="001B2E4A" w:rsidRDefault="001B2E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241550"/>
      <w:docPartObj>
        <w:docPartGallery w:val="Page Numbers (Bottom of Page)"/>
        <w:docPartUnique/>
      </w:docPartObj>
    </w:sdtPr>
    <w:sdtContent>
      <w:p w:rsidR="00A1393A" w:rsidRDefault="0039555B">
        <w:pPr>
          <w:pStyle w:val="Zpat"/>
          <w:jc w:val="center"/>
        </w:pPr>
        <w:r>
          <w:fldChar w:fldCharType="begin"/>
        </w:r>
        <w:r w:rsidR="00A1393A">
          <w:instrText>PAGE   \* MERGEFORMAT</w:instrText>
        </w:r>
        <w:r>
          <w:fldChar w:fldCharType="separate"/>
        </w:r>
        <w:r w:rsidR="00B87166">
          <w:rPr>
            <w:noProof/>
          </w:rPr>
          <w:t>11</w:t>
        </w:r>
        <w:r>
          <w:rPr>
            <w:noProof/>
          </w:rPr>
          <w:fldChar w:fldCharType="end"/>
        </w:r>
      </w:p>
    </w:sdtContent>
  </w:sdt>
  <w:p w:rsidR="00A1393A" w:rsidRDefault="00A1393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E4A" w:rsidRDefault="001B2E4A">
      <w:r>
        <w:separator/>
      </w:r>
    </w:p>
  </w:footnote>
  <w:footnote w:type="continuationSeparator" w:id="0">
    <w:p w:rsidR="001B2E4A" w:rsidRDefault="001B2E4A">
      <w:r>
        <w:continuationSeparator/>
      </w:r>
    </w:p>
  </w:footnote>
  <w:footnote w:id="1">
    <w:p w:rsidR="00A1393A" w:rsidRPr="00F33867" w:rsidRDefault="00A1393A" w:rsidP="00F01974">
      <w:pPr>
        <w:pStyle w:val="Textpoznpodarou"/>
        <w:ind w:left="284" w:hanging="284"/>
        <w:rPr>
          <w:sz w:val="18"/>
          <w:szCs w:val="18"/>
        </w:rPr>
      </w:pPr>
      <w:r w:rsidRPr="00F33867">
        <w:rPr>
          <w:rStyle w:val="Znakapoznpodarou"/>
          <w:sz w:val="18"/>
          <w:szCs w:val="18"/>
        </w:rPr>
        <w:footnoteRef/>
      </w:r>
      <w:r w:rsidRPr="00F33867">
        <w:rPr>
          <w:sz w:val="18"/>
          <w:szCs w:val="18"/>
        </w:rPr>
        <w:t xml:space="preserve"> </w:t>
      </w:r>
      <w:r w:rsidRPr="00F33867">
        <w:rPr>
          <w:sz w:val="18"/>
          <w:szCs w:val="18"/>
        </w:rPr>
        <w:tab/>
      </w:r>
      <w:r w:rsidRPr="00F33867">
        <w:rPr>
          <w:sz w:val="18"/>
          <w:szCs w:val="18"/>
        </w:rPr>
        <w:tab/>
      </w:r>
      <w:r w:rsidRPr="00F33867">
        <w:rPr>
          <w:sz w:val="18"/>
          <w:szCs w:val="18"/>
        </w:rPr>
        <w:tab/>
        <w:t>Kontrolní závěr z KA č. 10/19 byl zveřejněn v část</w:t>
      </w:r>
      <w:r>
        <w:rPr>
          <w:sz w:val="18"/>
          <w:szCs w:val="18"/>
        </w:rPr>
        <w:t>ce</w:t>
      </w:r>
      <w:r w:rsidRPr="00F33867">
        <w:rPr>
          <w:sz w:val="18"/>
          <w:szCs w:val="18"/>
        </w:rPr>
        <w:t xml:space="preserve"> 3/2011</w:t>
      </w:r>
      <w:r>
        <w:rPr>
          <w:sz w:val="18"/>
          <w:szCs w:val="18"/>
        </w:rPr>
        <w:t xml:space="preserve"> </w:t>
      </w:r>
      <w:r w:rsidRPr="00164D44">
        <w:rPr>
          <w:i/>
          <w:sz w:val="18"/>
          <w:szCs w:val="18"/>
        </w:rPr>
        <w:t>Věstníku NKÚ</w:t>
      </w:r>
      <w:r>
        <w:rPr>
          <w:sz w:val="18"/>
          <w:szCs w:val="18"/>
        </w:rPr>
        <w:t>.</w:t>
      </w:r>
    </w:p>
  </w:footnote>
  <w:footnote w:id="2">
    <w:p w:rsidR="00A1393A" w:rsidRDefault="00A1393A" w:rsidP="00F01974">
      <w:pPr>
        <w:pStyle w:val="Textpoznpodarou"/>
        <w:ind w:left="284" w:hanging="284"/>
      </w:pPr>
      <w:r w:rsidRPr="00236A6E">
        <w:rPr>
          <w:rStyle w:val="Znakapoznpodarou"/>
          <w:rFonts w:cs="Arial"/>
          <w:sz w:val="18"/>
          <w:szCs w:val="18"/>
        </w:rPr>
        <w:footnoteRef/>
      </w:r>
      <w:r>
        <w:t xml:space="preserve"> </w:t>
      </w:r>
      <w:r>
        <w:tab/>
      </w:r>
      <w:r w:rsidRPr="00DB366E">
        <w:rPr>
          <w:rFonts w:cs="Arial"/>
          <w:sz w:val="18"/>
          <w:szCs w:val="18"/>
        </w:rPr>
        <w:t xml:space="preserve">Vybranými účetními jednotkami jsou podle § 1 odst. 3 zákona o účetnictví organizační složky státu, státní fondy podle rozpočtových pravidel, Pozemkový fond ČR, územní samosprávné celky, dobrovolné svazky obcí, </w:t>
      </w:r>
      <w:r>
        <w:rPr>
          <w:rFonts w:cs="Arial"/>
          <w:sz w:val="18"/>
          <w:szCs w:val="18"/>
        </w:rPr>
        <w:t>r</w:t>
      </w:r>
      <w:r w:rsidRPr="00DB366E">
        <w:rPr>
          <w:rFonts w:cs="Arial"/>
          <w:sz w:val="18"/>
          <w:szCs w:val="18"/>
        </w:rPr>
        <w:t>egionální rady regionů soudržnosti, příspěvkové organizace a zdravotní pojišťovny. České účetní standardy č</w:t>
      </w:r>
      <w:r>
        <w:rPr>
          <w:rFonts w:cs="Arial"/>
          <w:sz w:val="18"/>
          <w:szCs w:val="18"/>
        </w:rPr>
        <w:t>. </w:t>
      </w:r>
      <w:r w:rsidRPr="00DB366E">
        <w:rPr>
          <w:rFonts w:cs="Arial"/>
          <w:sz w:val="18"/>
          <w:szCs w:val="18"/>
        </w:rPr>
        <w:t>701 až 70</w:t>
      </w:r>
      <w:r>
        <w:rPr>
          <w:rFonts w:cs="Arial"/>
          <w:sz w:val="18"/>
          <w:szCs w:val="18"/>
        </w:rPr>
        <w:t>8</w:t>
      </w:r>
      <w:r w:rsidRPr="00DB366E">
        <w:rPr>
          <w:rFonts w:cs="Arial"/>
          <w:sz w:val="18"/>
          <w:szCs w:val="18"/>
        </w:rPr>
        <w:t xml:space="preserve"> v bodu 1. uvádějí, že jejich cílem je stanovit postupy účtování, a to „pro některé vybrané účetní jednotky“. Vyhláška</w:t>
      </w:r>
      <w:r>
        <w:rPr>
          <w:rFonts w:cs="Arial"/>
          <w:sz w:val="18"/>
          <w:szCs w:val="18"/>
        </w:rPr>
        <w:t xml:space="preserve"> č. 410/2009 Sb.</w:t>
      </w:r>
      <w:r w:rsidRPr="00DB366E">
        <w:rPr>
          <w:rFonts w:cs="Arial"/>
          <w:sz w:val="18"/>
          <w:szCs w:val="18"/>
        </w:rPr>
        <w:t xml:space="preserve"> v § 2 uvádí výčet vybraných účetních jednotek, na které se tato vyhláška vztahuje, jedná se o vybrané účetní jednotky kromě zdravotních pojišťoven. České účetní standardy č. 701 až 70</w:t>
      </w:r>
      <w:r>
        <w:rPr>
          <w:rFonts w:cs="Arial"/>
          <w:sz w:val="18"/>
          <w:szCs w:val="18"/>
        </w:rPr>
        <w:t>8</w:t>
      </w:r>
      <w:r w:rsidRPr="00DB366E">
        <w:rPr>
          <w:rFonts w:cs="Arial"/>
          <w:sz w:val="18"/>
          <w:szCs w:val="18"/>
        </w:rPr>
        <w:t xml:space="preserve"> se tak vztahují na vybrané účetní jednotky kromě zdravotních pojišťoven</w:t>
      </w:r>
      <w:r w:rsidRPr="00DB366E">
        <w:rPr>
          <w:sz w:val="18"/>
          <w:szCs w:val="18"/>
        </w:rPr>
        <w:t>.</w:t>
      </w:r>
    </w:p>
  </w:footnote>
  <w:footnote w:id="3">
    <w:p w:rsidR="00A1393A" w:rsidRPr="004259B1" w:rsidRDefault="00A1393A" w:rsidP="004259B1">
      <w:pPr>
        <w:pStyle w:val="Textpoznpodarou"/>
        <w:ind w:firstLine="0"/>
        <w:rPr>
          <w:sz w:val="18"/>
          <w:szCs w:val="18"/>
        </w:rPr>
      </w:pPr>
      <w:r w:rsidRPr="004259B1">
        <w:rPr>
          <w:rStyle w:val="Znakapoznpodarou"/>
          <w:sz w:val="18"/>
          <w:szCs w:val="18"/>
        </w:rPr>
        <w:footnoteRef/>
      </w:r>
      <w:r w:rsidRPr="004259B1">
        <w:rPr>
          <w:sz w:val="18"/>
          <w:szCs w:val="18"/>
        </w:rPr>
        <w:t xml:space="preserve"> FKSP – Fond kulturních a sociálních potřeb.</w:t>
      </w:r>
    </w:p>
  </w:footnote>
  <w:footnote w:id="4">
    <w:p w:rsidR="00A1393A" w:rsidRPr="00102A96" w:rsidRDefault="00A1393A" w:rsidP="004259B1">
      <w:pPr>
        <w:pStyle w:val="Textpoznpodarou"/>
        <w:ind w:firstLine="0"/>
        <w:rPr>
          <w:sz w:val="18"/>
          <w:szCs w:val="18"/>
        </w:rPr>
      </w:pPr>
      <w:r w:rsidRPr="00102A96">
        <w:rPr>
          <w:rStyle w:val="Znakapoznpodarou"/>
          <w:sz w:val="18"/>
          <w:szCs w:val="18"/>
        </w:rPr>
        <w:footnoteRef/>
      </w:r>
      <w:r w:rsidRPr="00102A96">
        <w:rPr>
          <w:sz w:val="18"/>
          <w:szCs w:val="18"/>
        </w:rPr>
        <w:t xml:space="preserve"> OSVČ – osoby samostatně výdělečně činné.</w:t>
      </w:r>
    </w:p>
  </w:footnote>
  <w:footnote w:id="5">
    <w:p w:rsidR="00A1393A" w:rsidRPr="00F01974" w:rsidRDefault="00A1393A" w:rsidP="007A77D7">
      <w:pPr>
        <w:pStyle w:val="Textpoznpodarou"/>
        <w:ind w:left="284" w:hanging="284"/>
        <w:rPr>
          <w:sz w:val="18"/>
          <w:szCs w:val="18"/>
        </w:rPr>
      </w:pPr>
      <w:r w:rsidRPr="00F01974">
        <w:rPr>
          <w:rStyle w:val="Znakapoznpodarou"/>
          <w:sz w:val="18"/>
          <w:szCs w:val="18"/>
        </w:rPr>
        <w:footnoteRef/>
      </w:r>
      <w:r w:rsidRPr="00F01974">
        <w:rPr>
          <w:sz w:val="18"/>
          <w:szCs w:val="18"/>
        </w:rPr>
        <w:t xml:space="preserve"> </w:t>
      </w:r>
      <w:r>
        <w:rPr>
          <w:sz w:val="18"/>
          <w:szCs w:val="18"/>
        </w:rPr>
        <w:tab/>
      </w:r>
      <w:r w:rsidRPr="00F01974">
        <w:rPr>
          <w:sz w:val="18"/>
          <w:szCs w:val="18"/>
        </w:rPr>
        <w:t xml:space="preserve">Vzhledem k podvojnému účtování na podrozvahové účty se nesprávnost promítá i </w:t>
      </w:r>
      <w:r>
        <w:rPr>
          <w:sz w:val="18"/>
          <w:szCs w:val="18"/>
        </w:rPr>
        <w:t>do</w:t>
      </w:r>
      <w:r w:rsidRPr="00F01974">
        <w:rPr>
          <w:sz w:val="18"/>
          <w:szCs w:val="18"/>
        </w:rPr>
        <w:t xml:space="preserve"> úč</w:t>
      </w:r>
      <w:r>
        <w:rPr>
          <w:sz w:val="18"/>
          <w:szCs w:val="18"/>
        </w:rPr>
        <w:t>tu</w:t>
      </w:r>
      <w:r w:rsidRPr="00F01974">
        <w:rPr>
          <w:sz w:val="18"/>
          <w:szCs w:val="18"/>
        </w:rPr>
        <w:t xml:space="preserve"> </w:t>
      </w:r>
      <w:r w:rsidRPr="003317E8">
        <w:rPr>
          <w:sz w:val="18"/>
          <w:szCs w:val="18"/>
        </w:rPr>
        <w:t xml:space="preserve">999 </w:t>
      </w:r>
      <w:r w:rsidRPr="00F01974">
        <w:rPr>
          <w:i/>
          <w:sz w:val="18"/>
          <w:szCs w:val="18"/>
        </w:rPr>
        <w:t xml:space="preserve">– Vyrovnávací účet k podrozvahovým účtům, </w:t>
      </w:r>
      <w:r w:rsidRPr="00F01974">
        <w:rPr>
          <w:sz w:val="18"/>
          <w:szCs w:val="18"/>
        </w:rPr>
        <w:t xml:space="preserve">který je stejně jako ostatní podrozvahové účty vykazován </w:t>
      </w:r>
      <w:r w:rsidRPr="001A1086">
        <w:rPr>
          <w:spacing w:val="-2"/>
          <w:sz w:val="18"/>
          <w:szCs w:val="18"/>
        </w:rPr>
        <w:t>v příloze ÚZ. Vzhledem k charakteru účtu 999 (technický vyrovnávací účet), kdy v situaci ČSSZ odepsané, resp.</w:t>
      </w:r>
      <w:r w:rsidRPr="00F01974">
        <w:rPr>
          <w:sz w:val="18"/>
          <w:szCs w:val="18"/>
        </w:rPr>
        <w:t xml:space="preserve"> podmíněné pohledávky a jiný drobný majetek převyšují podmíněné závazky a ostatní podmíněná pasiva, je na </w:t>
      </w:r>
      <w:r>
        <w:rPr>
          <w:sz w:val="18"/>
          <w:szCs w:val="18"/>
        </w:rPr>
        <w:t xml:space="preserve">tento </w:t>
      </w:r>
      <w:r w:rsidRPr="00F01974">
        <w:rPr>
          <w:sz w:val="18"/>
          <w:szCs w:val="18"/>
        </w:rPr>
        <w:t xml:space="preserve">účet </w:t>
      </w:r>
      <w:r>
        <w:rPr>
          <w:sz w:val="18"/>
          <w:szCs w:val="18"/>
        </w:rPr>
        <w:t>(</w:t>
      </w:r>
      <w:r w:rsidRPr="00F01974">
        <w:rPr>
          <w:sz w:val="18"/>
          <w:szCs w:val="18"/>
        </w:rPr>
        <w:t>999</w:t>
      </w:r>
      <w:r>
        <w:rPr>
          <w:sz w:val="18"/>
          <w:szCs w:val="18"/>
        </w:rPr>
        <w:t>)</w:t>
      </w:r>
      <w:r w:rsidRPr="00F01974">
        <w:rPr>
          <w:sz w:val="18"/>
          <w:szCs w:val="18"/>
        </w:rPr>
        <w:t xml:space="preserve"> pohlíženo jako na obdobu pasivního účtu.</w:t>
      </w:r>
    </w:p>
  </w:footnote>
  <w:footnote w:id="6">
    <w:p w:rsidR="00A1393A" w:rsidRPr="00271613" w:rsidRDefault="00A1393A" w:rsidP="00271613">
      <w:pPr>
        <w:pStyle w:val="Textpoznpodarou"/>
        <w:ind w:left="284" w:hanging="284"/>
        <w:rPr>
          <w:sz w:val="18"/>
          <w:szCs w:val="18"/>
        </w:rPr>
      </w:pPr>
      <w:r w:rsidRPr="00271613">
        <w:rPr>
          <w:rStyle w:val="Znakapoznpodarou"/>
          <w:sz w:val="18"/>
          <w:szCs w:val="18"/>
        </w:rPr>
        <w:footnoteRef/>
      </w:r>
      <w:r w:rsidRPr="00271613">
        <w:rPr>
          <w:sz w:val="18"/>
          <w:szCs w:val="18"/>
        </w:rPr>
        <w:t xml:space="preserve"> </w:t>
      </w:r>
      <w:r>
        <w:rPr>
          <w:sz w:val="18"/>
          <w:szCs w:val="18"/>
        </w:rPr>
        <w:tab/>
      </w:r>
      <w:r w:rsidRPr="00271613">
        <w:rPr>
          <w:sz w:val="18"/>
          <w:szCs w:val="18"/>
        </w:rPr>
        <w:t xml:space="preserve">Tato částka nebyla započítána do celkových nesprávností, neboť neměla vliv na správnost konečného zůstatku účtu 401 – </w:t>
      </w:r>
      <w:r w:rsidRPr="00C96D3B">
        <w:rPr>
          <w:i/>
          <w:sz w:val="18"/>
          <w:szCs w:val="18"/>
        </w:rPr>
        <w:t>Jmění účetní jednotky</w:t>
      </w:r>
      <w:r w:rsidRPr="00271613">
        <w:rPr>
          <w:sz w:val="18"/>
          <w:szCs w:val="18"/>
        </w:rPr>
        <w:t>.</w:t>
      </w:r>
    </w:p>
  </w:footnote>
  <w:footnote w:id="7">
    <w:p w:rsidR="00A1393A" w:rsidRPr="00271613" w:rsidRDefault="00A1393A" w:rsidP="00271613">
      <w:pPr>
        <w:pStyle w:val="Textpoznpodarou"/>
        <w:ind w:left="284" w:hanging="284"/>
        <w:rPr>
          <w:sz w:val="18"/>
          <w:szCs w:val="18"/>
        </w:rPr>
      </w:pPr>
      <w:r w:rsidRPr="00271613">
        <w:rPr>
          <w:rStyle w:val="Znakapoznpodarou"/>
          <w:sz w:val="18"/>
          <w:szCs w:val="18"/>
        </w:rPr>
        <w:footnoteRef/>
      </w:r>
      <w:r w:rsidRPr="00271613">
        <w:rPr>
          <w:sz w:val="18"/>
          <w:szCs w:val="18"/>
        </w:rPr>
        <w:t xml:space="preserve"> </w:t>
      </w:r>
      <w:r>
        <w:rPr>
          <w:sz w:val="18"/>
          <w:szCs w:val="18"/>
        </w:rPr>
        <w:tab/>
      </w:r>
      <w:r w:rsidRPr="00271613">
        <w:rPr>
          <w:sz w:val="18"/>
          <w:szCs w:val="18"/>
        </w:rPr>
        <w:t>Vstupní údaje výkazů jsou předkládány do CSÚIS v Kč s přesností na dvě desetinná místa.</w:t>
      </w:r>
    </w:p>
  </w:footnote>
  <w:footnote w:id="8">
    <w:p w:rsidR="00A1393A" w:rsidRPr="00271613" w:rsidRDefault="00A1393A" w:rsidP="004C028D">
      <w:pPr>
        <w:pStyle w:val="Textpoznpodarou"/>
        <w:ind w:left="284" w:hanging="283"/>
        <w:rPr>
          <w:sz w:val="18"/>
          <w:szCs w:val="18"/>
        </w:rPr>
      </w:pPr>
      <w:r w:rsidRPr="00271613">
        <w:rPr>
          <w:rStyle w:val="Znakapoznpodarou"/>
          <w:sz w:val="18"/>
          <w:szCs w:val="18"/>
        </w:rPr>
        <w:footnoteRef/>
      </w:r>
      <w:r w:rsidRPr="00271613">
        <w:rPr>
          <w:sz w:val="18"/>
          <w:szCs w:val="18"/>
        </w:rPr>
        <w:t xml:space="preserve"> </w:t>
      </w:r>
      <w:r>
        <w:tab/>
      </w:r>
      <w:r w:rsidRPr="00271613">
        <w:rPr>
          <w:sz w:val="18"/>
          <w:szCs w:val="18"/>
        </w:rPr>
        <w:t xml:space="preserve">K 31. prosinci 2011 ČSSZ evidovala 8 772 zaměstnanců, z toho 2 618 byl počet zaměstnanců pracujících na </w:t>
      </w:r>
      <w:r>
        <w:rPr>
          <w:sz w:val="18"/>
          <w:szCs w:val="18"/>
        </w:rPr>
        <w:t>ú</w:t>
      </w:r>
      <w:r w:rsidRPr="00271613">
        <w:rPr>
          <w:sz w:val="18"/>
          <w:szCs w:val="18"/>
        </w:rPr>
        <w:t xml:space="preserve">středí, vzorek pro kontrolu mzdových nákladů/výdajů činil 39 zaměstnanců </w:t>
      </w:r>
      <w:r>
        <w:rPr>
          <w:sz w:val="18"/>
          <w:szCs w:val="18"/>
        </w:rPr>
        <w:t>ú</w:t>
      </w:r>
      <w:r w:rsidRPr="00271613">
        <w:rPr>
          <w:sz w:val="18"/>
          <w:szCs w:val="18"/>
        </w:rPr>
        <w:t>středí.</w:t>
      </w:r>
    </w:p>
  </w:footnote>
  <w:footnote w:id="9">
    <w:p w:rsidR="00A1393A" w:rsidRPr="00BE3A5D" w:rsidRDefault="00A1393A" w:rsidP="004C028D">
      <w:pPr>
        <w:pStyle w:val="Textpoznpodarou"/>
        <w:ind w:left="284" w:hanging="284"/>
        <w:rPr>
          <w:sz w:val="18"/>
          <w:szCs w:val="18"/>
        </w:rPr>
      </w:pPr>
      <w:r w:rsidRPr="00271613">
        <w:rPr>
          <w:rStyle w:val="Znakapoznpodarou"/>
          <w:sz w:val="18"/>
          <w:szCs w:val="18"/>
        </w:rPr>
        <w:footnoteRef/>
      </w:r>
      <w:r w:rsidRPr="00271613">
        <w:rPr>
          <w:sz w:val="18"/>
          <w:szCs w:val="18"/>
        </w:rPr>
        <w:t xml:space="preserve"> </w:t>
      </w:r>
      <w:r w:rsidRPr="00271613">
        <w:rPr>
          <w:sz w:val="18"/>
          <w:szCs w:val="18"/>
        </w:rPr>
        <w:tab/>
        <w:t xml:space="preserve">Administrativní registr ekonomických subjektů </w:t>
      </w:r>
      <w:r>
        <w:rPr>
          <w:sz w:val="18"/>
          <w:szCs w:val="18"/>
        </w:rPr>
        <w:t xml:space="preserve">(ARES) </w:t>
      </w:r>
      <w:r w:rsidRPr="00271613">
        <w:rPr>
          <w:sz w:val="18"/>
          <w:szCs w:val="18"/>
        </w:rPr>
        <w:t xml:space="preserve">je informační systém, který umožňuje vyhledávání </w:t>
      </w:r>
      <w:r>
        <w:rPr>
          <w:sz w:val="18"/>
          <w:szCs w:val="18"/>
        </w:rPr>
        <w:t>informací</w:t>
      </w:r>
      <w:r w:rsidRPr="00271613">
        <w:rPr>
          <w:sz w:val="18"/>
          <w:szCs w:val="18"/>
        </w:rPr>
        <w:t xml:space="preserve"> </w:t>
      </w:r>
      <w:r>
        <w:rPr>
          <w:sz w:val="18"/>
          <w:szCs w:val="18"/>
        </w:rPr>
        <w:t>o </w:t>
      </w:r>
      <w:r w:rsidRPr="00271613">
        <w:rPr>
          <w:sz w:val="18"/>
          <w:szCs w:val="18"/>
        </w:rPr>
        <w:t>ekonomický</w:t>
      </w:r>
      <w:r>
        <w:rPr>
          <w:sz w:val="18"/>
          <w:szCs w:val="18"/>
        </w:rPr>
        <w:t>ch</w:t>
      </w:r>
      <w:r w:rsidRPr="00271613">
        <w:rPr>
          <w:sz w:val="18"/>
          <w:szCs w:val="18"/>
        </w:rPr>
        <w:t xml:space="preserve"> subjekt</w:t>
      </w:r>
      <w:r>
        <w:rPr>
          <w:sz w:val="18"/>
          <w:szCs w:val="18"/>
        </w:rPr>
        <w:t>ech</w:t>
      </w:r>
      <w:r w:rsidRPr="00271613">
        <w:rPr>
          <w:sz w:val="18"/>
          <w:szCs w:val="18"/>
        </w:rPr>
        <w:t xml:space="preserve"> registrovaný</w:t>
      </w:r>
      <w:r>
        <w:rPr>
          <w:sz w:val="18"/>
          <w:szCs w:val="18"/>
        </w:rPr>
        <w:t>ch</w:t>
      </w:r>
      <w:r w:rsidRPr="00271613">
        <w:rPr>
          <w:sz w:val="18"/>
          <w:szCs w:val="18"/>
        </w:rPr>
        <w:t xml:space="preserve"> v České republice. Zprostředkovává zobrazení údajů vedených v jednotlivých registrech státní správy, ze kterých čerpá data (tzv. zdrojové registry).</w:t>
      </w:r>
    </w:p>
  </w:footnote>
  <w:footnote w:id="10">
    <w:p w:rsidR="00A1393A" w:rsidRPr="00271613" w:rsidRDefault="00A1393A" w:rsidP="004C028D">
      <w:pPr>
        <w:pStyle w:val="Textpoznpodarou"/>
        <w:ind w:left="284" w:hanging="284"/>
        <w:rPr>
          <w:sz w:val="18"/>
          <w:szCs w:val="18"/>
        </w:rPr>
      </w:pPr>
      <w:r w:rsidRPr="00271613">
        <w:rPr>
          <w:rStyle w:val="Znakapoznpodarou"/>
          <w:sz w:val="18"/>
          <w:szCs w:val="18"/>
        </w:rPr>
        <w:footnoteRef/>
      </w:r>
      <w:r w:rsidRPr="00271613">
        <w:rPr>
          <w:sz w:val="18"/>
          <w:szCs w:val="18"/>
        </w:rPr>
        <w:t xml:space="preserve"> </w:t>
      </w:r>
      <w:r w:rsidRPr="00271613">
        <w:rPr>
          <w:sz w:val="18"/>
          <w:szCs w:val="18"/>
        </w:rPr>
        <w:tab/>
      </w:r>
      <w:r w:rsidRPr="00271613">
        <w:rPr>
          <w:rFonts w:cs="Arial"/>
          <w:color w:val="000000"/>
          <w:sz w:val="18"/>
          <w:szCs w:val="18"/>
        </w:rPr>
        <w:t xml:space="preserve">Z vybraného vzorku o velikosti 39 zaměstnanců ČSSZ bylo identifikováno 15 zaměstnanců ČSSZ, kteří byli v roce 2011 evidováni v systému ARES jako osoby vykonávající souběžně </w:t>
      </w:r>
      <w:r>
        <w:rPr>
          <w:rFonts w:cs="Arial"/>
          <w:color w:val="000000"/>
          <w:sz w:val="18"/>
          <w:szCs w:val="18"/>
        </w:rPr>
        <w:t>s </w:t>
      </w:r>
      <w:r w:rsidRPr="00271613">
        <w:rPr>
          <w:rFonts w:cs="Arial"/>
          <w:color w:val="000000"/>
          <w:sz w:val="18"/>
          <w:szCs w:val="18"/>
        </w:rPr>
        <w:t>pracovním poměrem také podnikatelskou činnost.</w:t>
      </w:r>
      <w:r w:rsidRPr="00271613">
        <w:rPr>
          <w:sz w:val="18"/>
          <w:szCs w:val="18"/>
        </w:rPr>
        <w:t xml:space="preserve"> </w:t>
      </w:r>
      <w:r w:rsidRPr="00271613">
        <w:rPr>
          <w:rFonts w:cs="Arial"/>
          <w:color w:val="000000"/>
          <w:sz w:val="18"/>
          <w:szCs w:val="18"/>
        </w:rPr>
        <w:t>Z toho u 6 zaměst</w:t>
      </w:r>
      <w:r>
        <w:rPr>
          <w:rFonts w:cs="Arial"/>
          <w:color w:val="000000"/>
          <w:sz w:val="18"/>
          <w:szCs w:val="18"/>
        </w:rPr>
        <w:t xml:space="preserve">nanců </w:t>
      </w:r>
      <w:r w:rsidRPr="00271613">
        <w:rPr>
          <w:rFonts w:cs="Arial"/>
          <w:color w:val="000000"/>
          <w:sz w:val="18"/>
          <w:szCs w:val="18"/>
        </w:rPr>
        <w:t xml:space="preserve">se </w:t>
      </w:r>
      <w:r>
        <w:rPr>
          <w:rFonts w:cs="Arial"/>
          <w:color w:val="000000"/>
          <w:sz w:val="18"/>
          <w:szCs w:val="18"/>
        </w:rPr>
        <w:t xml:space="preserve">druh evidované činnosti </w:t>
      </w:r>
      <w:r w:rsidRPr="00271613">
        <w:rPr>
          <w:rFonts w:cs="Arial"/>
          <w:color w:val="000000"/>
          <w:sz w:val="18"/>
          <w:szCs w:val="18"/>
        </w:rPr>
        <w:t>týkal poskytování finančních služeb (poskytování/zprostředkování úvěru nebo výhradní/podřízený pojišťovací agent) a u 9 zaměstnanců pak oblasti jiné (poradenství, zprostředkování obchodu a služeb aj.)</w:t>
      </w:r>
      <w:r>
        <w:rPr>
          <w:rFonts w:cs="Arial"/>
          <w:color w:val="000000"/>
          <w:sz w:val="18"/>
          <w:szCs w:val="18"/>
        </w:rPr>
        <w:t>.</w:t>
      </w:r>
    </w:p>
  </w:footnote>
  <w:footnote w:id="11">
    <w:p w:rsidR="00A1393A" w:rsidRPr="0098135A" w:rsidRDefault="00A1393A" w:rsidP="00271613">
      <w:pPr>
        <w:pStyle w:val="Textpoznpodarou"/>
        <w:ind w:left="284" w:hanging="284"/>
        <w:rPr>
          <w:sz w:val="18"/>
          <w:szCs w:val="18"/>
        </w:rPr>
      </w:pPr>
      <w:r w:rsidRPr="0098135A">
        <w:rPr>
          <w:rStyle w:val="Znakapoznpodarou"/>
          <w:sz w:val="18"/>
          <w:szCs w:val="18"/>
        </w:rPr>
        <w:footnoteRef/>
      </w:r>
      <w:r w:rsidRPr="0098135A">
        <w:rPr>
          <w:sz w:val="18"/>
          <w:szCs w:val="18"/>
        </w:rPr>
        <w:tab/>
      </w:r>
      <w:r w:rsidRPr="0098135A">
        <w:rPr>
          <w:rFonts w:cs="Arial"/>
          <w:sz w:val="18"/>
          <w:szCs w:val="18"/>
          <w:lang w:eastAsia="cs-CZ"/>
        </w:rPr>
        <w:t>C</w:t>
      </w:r>
      <w:r w:rsidRPr="0098135A">
        <w:rPr>
          <w:rFonts w:cs="Arial"/>
          <w:bCs/>
          <w:iCs/>
          <w:sz w:val="18"/>
          <w:szCs w:val="18"/>
        </w:rPr>
        <w:t xml:space="preserve">elkové náklady ČSSZ </w:t>
      </w:r>
      <w:r w:rsidRPr="0098135A">
        <w:rPr>
          <w:rFonts w:cs="Arial"/>
          <w:color w:val="000000"/>
          <w:sz w:val="18"/>
          <w:szCs w:val="18"/>
          <w:lang w:eastAsia="cs-CZ"/>
        </w:rPr>
        <w:t>jsou charakteristikou, která ve finančním vyjádření</w:t>
      </w:r>
      <w:r w:rsidRPr="0098135A">
        <w:rPr>
          <w:rFonts w:cs="Arial"/>
          <w:sz w:val="18"/>
          <w:szCs w:val="18"/>
        </w:rPr>
        <w:t xml:space="preserve"> nejpř</w:t>
      </w:r>
      <w:r>
        <w:rPr>
          <w:rFonts w:cs="Arial"/>
          <w:sz w:val="18"/>
          <w:szCs w:val="18"/>
        </w:rPr>
        <w:t>iměřeněji zobrazuje charakter a </w:t>
      </w:r>
      <w:r w:rsidRPr="0098135A">
        <w:rPr>
          <w:rFonts w:cs="Arial"/>
          <w:sz w:val="18"/>
          <w:szCs w:val="18"/>
        </w:rPr>
        <w:t xml:space="preserve">rozsah činnosti kontrolované osoby ve vztahu k předmětu kontroly, kterým jsou účetní výkazy sestavené Českou správou sociálního zabezpečení v kapitole státního rozpočtu </w:t>
      </w:r>
      <w:r>
        <w:rPr>
          <w:rFonts w:cs="Arial"/>
          <w:sz w:val="18"/>
          <w:szCs w:val="18"/>
        </w:rPr>
        <w:t xml:space="preserve">313 – </w:t>
      </w:r>
      <w:r w:rsidRPr="00863D86">
        <w:rPr>
          <w:rFonts w:cs="Arial"/>
          <w:i/>
          <w:sz w:val="18"/>
          <w:szCs w:val="18"/>
        </w:rPr>
        <w:t>Ministerstvo práce a sociálních věcí</w:t>
      </w:r>
      <w:r w:rsidRPr="0098135A">
        <w:rPr>
          <w:rFonts w:cs="Arial"/>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93A" w:rsidRDefault="00A1393A">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BD07520"/>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FFFFFF89"/>
    <w:multiLevelType w:val="singleLevel"/>
    <w:tmpl w:val="0C3A9212"/>
    <w:lvl w:ilvl="0">
      <w:start w:val="1"/>
      <w:numFmt w:val="bullet"/>
      <w:pStyle w:val="Seznamsodrkami"/>
      <w:lvlText w:val=""/>
      <w:lvlJc w:val="left"/>
      <w:pPr>
        <w:tabs>
          <w:tab w:val="num" w:pos="360"/>
        </w:tabs>
        <w:ind w:left="360" w:hanging="360"/>
      </w:pPr>
      <w:rPr>
        <w:rFonts w:ascii="Symbol" w:hAnsi="Symbol" w:hint="default"/>
      </w:rPr>
    </w:lvl>
  </w:abstractNum>
  <w:abstractNum w:abstractNumId="2">
    <w:nsid w:val="058F7EEA"/>
    <w:multiLevelType w:val="hybridMultilevel"/>
    <w:tmpl w:val="415CE80C"/>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3">
    <w:nsid w:val="19662035"/>
    <w:multiLevelType w:val="hybridMultilevel"/>
    <w:tmpl w:val="E2F0D1AE"/>
    <w:lvl w:ilvl="0" w:tplc="02AA803C">
      <w:start w:val="30"/>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
    <w:nsid w:val="20756443"/>
    <w:multiLevelType w:val="hybridMultilevel"/>
    <w:tmpl w:val="56042760"/>
    <w:lvl w:ilvl="0" w:tplc="0405000B">
      <w:start w:val="1"/>
      <w:numFmt w:val="bullet"/>
      <w:lvlText w:val=""/>
      <w:lvlJc w:val="left"/>
      <w:pPr>
        <w:ind w:left="928" w:hanging="360"/>
      </w:pPr>
      <w:rPr>
        <w:rFonts w:ascii="Wingdings" w:hAnsi="Wingdings" w:hint="default"/>
      </w:rPr>
    </w:lvl>
    <w:lvl w:ilvl="1" w:tplc="04050003" w:tentative="1">
      <w:start w:val="1"/>
      <w:numFmt w:val="bullet"/>
      <w:lvlText w:val="o"/>
      <w:lvlJc w:val="left"/>
      <w:pPr>
        <w:ind w:left="1725" w:hanging="360"/>
      </w:pPr>
      <w:rPr>
        <w:rFonts w:ascii="Courier New" w:hAnsi="Courier New" w:cs="Courier New" w:hint="default"/>
      </w:rPr>
    </w:lvl>
    <w:lvl w:ilvl="2" w:tplc="04050005" w:tentative="1">
      <w:start w:val="1"/>
      <w:numFmt w:val="bullet"/>
      <w:lvlText w:val=""/>
      <w:lvlJc w:val="left"/>
      <w:pPr>
        <w:ind w:left="2445" w:hanging="360"/>
      </w:pPr>
      <w:rPr>
        <w:rFonts w:ascii="Wingdings" w:hAnsi="Wingdings" w:hint="default"/>
      </w:rPr>
    </w:lvl>
    <w:lvl w:ilvl="3" w:tplc="04050001" w:tentative="1">
      <w:start w:val="1"/>
      <w:numFmt w:val="bullet"/>
      <w:lvlText w:val=""/>
      <w:lvlJc w:val="left"/>
      <w:pPr>
        <w:ind w:left="3165" w:hanging="360"/>
      </w:pPr>
      <w:rPr>
        <w:rFonts w:ascii="Symbol" w:hAnsi="Symbol" w:hint="default"/>
      </w:rPr>
    </w:lvl>
    <w:lvl w:ilvl="4" w:tplc="04050003" w:tentative="1">
      <w:start w:val="1"/>
      <w:numFmt w:val="bullet"/>
      <w:lvlText w:val="o"/>
      <w:lvlJc w:val="left"/>
      <w:pPr>
        <w:ind w:left="3885" w:hanging="360"/>
      </w:pPr>
      <w:rPr>
        <w:rFonts w:ascii="Courier New" w:hAnsi="Courier New" w:cs="Courier New" w:hint="default"/>
      </w:rPr>
    </w:lvl>
    <w:lvl w:ilvl="5" w:tplc="04050005" w:tentative="1">
      <w:start w:val="1"/>
      <w:numFmt w:val="bullet"/>
      <w:lvlText w:val=""/>
      <w:lvlJc w:val="left"/>
      <w:pPr>
        <w:ind w:left="4605" w:hanging="360"/>
      </w:pPr>
      <w:rPr>
        <w:rFonts w:ascii="Wingdings" w:hAnsi="Wingdings" w:hint="default"/>
      </w:rPr>
    </w:lvl>
    <w:lvl w:ilvl="6" w:tplc="04050001" w:tentative="1">
      <w:start w:val="1"/>
      <w:numFmt w:val="bullet"/>
      <w:lvlText w:val=""/>
      <w:lvlJc w:val="left"/>
      <w:pPr>
        <w:ind w:left="5325" w:hanging="360"/>
      </w:pPr>
      <w:rPr>
        <w:rFonts w:ascii="Symbol" w:hAnsi="Symbol" w:hint="default"/>
      </w:rPr>
    </w:lvl>
    <w:lvl w:ilvl="7" w:tplc="04050003" w:tentative="1">
      <w:start w:val="1"/>
      <w:numFmt w:val="bullet"/>
      <w:lvlText w:val="o"/>
      <w:lvlJc w:val="left"/>
      <w:pPr>
        <w:ind w:left="6045" w:hanging="360"/>
      </w:pPr>
      <w:rPr>
        <w:rFonts w:ascii="Courier New" w:hAnsi="Courier New" w:cs="Courier New" w:hint="default"/>
      </w:rPr>
    </w:lvl>
    <w:lvl w:ilvl="8" w:tplc="04050005" w:tentative="1">
      <w:start w:val="1"/>
      <w:numFmt w:val="bullet"/>
      <w:lvlText w:val=""/>
      <w:lvlJc w:val="left"/>
      <w:pPr>
        <w:ind w:left="6765" w:hanging="360"/>
      </w:pPr>
      <w:rPr>
        <w:rFonts w:ascii="Wingdings" w:hAnsi="Wingdings" w:hint="default"/>
      </w:rPr>
    </w:lvl>
  </w:abstractNum>
  <w:abstractNum w:abstractNumId="5">
    <w:nsid w:val="20D421C1"/>
    <w:multiLevelType w:val="hybridMultilevel"/>
    <w:tmpl w:val="7AF80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3C16619"/>
    <w:multiLevelType w:val="hybridMultilevel"/>
    <w:tmpl w:val="9910A1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6BECACA0">
      <w:start w:val="3"/>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3F40F2C"/>
    <w:multiLevelType w:val="hybridMultilevel"/>
    <w:tmpl w:val="9DD0E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1AA0ED7"/>
    <w:multiLevelType w:val="hybridMultilevel"/>
    <w:tmpl w:val="BCF69AF6"/>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9366CB2"/>
    <w:multiLevelType w:val="multilevel"/>
    <w:tmpl w:val="652831C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isLg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dpis6"/>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0186F03"/>
    <w:multiLevelType w:val="hybridMultilevel"/>
    <w:tmpl w:val="2DA217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0D7957"/>
    <w:multiLevelType w:val="hybridMultilevel"/>
    <w:tmpl w:val="E6F029BA"/>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154892"/>
    <w:multiLevelType w:val="hybridMultilevel"/>
    <w:tmpl w:val="9D984B1A"/>
    <w:lvl w:ilvl="0" w:tplc="4C14E8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94D1805"/>
    <w:multiLevelType w:val="hybridMultilevel"/>
    <w:tmpl w:val="5290EF6A"/>
    <w:lvl w:ilvl="0" w:tplc="E1CE5622">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5C874DC"/>
    <w:multiLevelType w:val="hybridMultilevel"/>
    <w:tmpl w:val="D73EEA3E"/>
    <w:lvl w:ilvl="0" w:tplc="0405000B">
      <w:start w:val="1"/>
      <w:numFmt w:val="bullet"/>
      <w:lvlText w:val=""/>
      <w:lvlJc w:val="left"/>
      <w:pPr>
        <w:ind w:left="1320" w:hanging="360"/>
      </w:pPr>
      <w:rPr>
        <w:rFonts w:ascii="Wingdings" w:hAnsi="Wingdings" w:hint="default"/>
      </w:rPr>
    </w:lvl>
    <w:lvl w:ilvl="1" w:tplc="04050003" w:tentative="1">
      <w:start w:val="1"/>
      <w:numFmt w:val="bullet"/>
      <w:lvlText w:val="o"/>
      <w:lvlJc w:val="left"/>
      <w:pPr>
        <w:ind w:left="2040" w:hanging="360"/>
      </w:pPr>
      <w:rPr>
        <w:rFonts w:ascii="Courier New" w:hAnsi="Courier New" w:cs="Courier New" w:hint="default"/>
      </w:rPr>
    </w:lvl>
    <w:lvl w:ilvl="2" w:tplc="04050005" w:tentative="1">
      <w:start w:val="1"/>
      <w:numFmt w:val="bullet"/>
      <w:lvlText w:val=""/>
      <w:lvlJc w:val="left"/>
      <w:pPr>
        <w:ind w:left="2760" w:hanging="360"/>
      </w:pPr>
      <w:rPr>
        <w:rFonts w:ascii="Wingdings" w:hAnsi="Wingdings" w:hint="default"/>
      </w:rPr>
    </w:lvl>
    <w:lvl w:ilvl="3" w:tplc="04050001" w:tentative="1">
      <w:start w:val="1"/>
      <w:numFmt w:val="bullet"/>
      <w:lvlText w:val=""/>
      <w:lvlJc w:val="left"/>
      <w:pPr>
        <w:ind w:left="3480" w:hanging="360"/>
      </w:pPr>
      <w:rPr>
        <w:rFonts w:ascii="Symbol" w:hAnsi="Symbol" w:hint="default"/>
      </w:rPr>
    </w:lvl>
    <w:lvl w:ilvl="4" w:tplc="04050003" w:tentative="1">
      <w:start w:val="1"/>
      <w:numFmt w:val="bullet"/>
      <w:lvlText w:val="o"/>
      <w:lvlJc w:val="left"/>
      <w:pPr>
        <w:ind w:left="4200" w:hanging="360"/>
      </w:pPr>
      <w:rPr>
        <w:rFonts w:ascii="Courier New" w:hAnsi="Courier New" w:cs="Courier New" w:hint="default"/>
      </w:rPr>
    </w:lvl>
    <w:lvl w:ilvl="5" w:tplc="04050005" w:tentative="1">
      <w:start w:val="1"/>
      <w:numFmt w:val="bullet"/>
      <w:lvlText w:val=""/>
      <w:lvlJc w:val="left"/>
      <w:pPr>
        <w:ind w:left="4920" w:hanging="360"/>
      </w:pPr>
      <w:rPr>
        <w:rFonts w:ascii="Wingdings" w:hAnsi="Wingdings" w:hint="default"/>
      </w:rPr>
    </w:lvl>
    <w:lvl w:ilvl="6" w:tplc="04050001" w:tentative="1">
      <w:start w:val="1"/>
      <w:numFmt w:val="bullet"/>
      <w:lvlText w:val=""/>
      <w:lvlJc w:val="left"/>
      <w:pPr>
        <w:ind w:left="5640" w:hanging="360"/>
      </w:pPr>
      <w:rPr>
        <w:rFonts w:ascii="Symbol" w:hAnsi="Symbol" w:hint="default"/>
      </w:rPr>
    </w:lvl>
    <w:lvl w:ilvl="7" w:tplc="04050003" w:tentative="1">
      <w:start w:val="1"/>
      <w:numFmt w:val="bullet"/>
      <w:lvlText w:val="o"/>
      <w:lvlJc w:val="left"/>
      <w:pPr>
        <w:ind w:left="6360" w:hanging="360"/>
      </w:pPr>
      <w:rPr>
        <w:rFonts w:ascii="Courier New" w:hAnsi="Courier New" w:cs="Courier New" w:hint="default"/>
      </w:rPr>
    </w:lvl>
    <w:lvl w:ilvl="8" w:tplc="04050005" w:tentative="1">
      <w:start w:val="1"/>
      <w:numFmt w:val="bullet"/>
      <w:lvlText w:val=""/>
      <w:lvlJc w:val="left"/>
      <w:pPr>
        <w:ind w:left="7080" w:hanging="360"/>
      </w:pPr>
      <w:rPr>
        <w:rFonts w:ascii="Wingdings" w:hAnsi="Wingdings" w:hint="default"/>
      </w:rPr>
    </w:lvl>
  </w:abstractNum>
  <w:abstractNum w:abstractNumId="15">
    <w:nsid w:val="68A72059"/>
    <w:multiLevelType w:val="hybridMultilevel"/>
    <w:tmpl w:val="69CEA122"/>
    <w:lvl w:ilvl="0" w:tplc="0405000B">
      <w:start w:val="1"/>
      <w:numFmt w:val="bullet"/>
      <w:lvlText w:val=""/>
      <w:lvlJc w:val="left"/>
      <w:pPr>
        <w:ind w:left="1920" w:hanging="360"/>
      </w:pPr>
      <w:rPr>
        <w:rFonts w:ascii="Wingdings" w:hAnsi="Wingding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6">
    <w:nsid w:val="6B4E5223"/>
    <w:multiLevelType w:val="hybridMultilevel"/>
    <w:tmpl w:val="9EAA8CB8"/>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7">
    <w:nsid w:val="70914BBF"/>
    <w:multiLevelType w:val="multilevel"/>
    <w:tmpl w:val="D8DAB40E"/>
    <w:lvl w:ilvl="0">
      <w:start w:val="1"/>
      <w:numFmt w:val="decimal"/>
      <w:pStyle w:val="Nadpis1"/>
      <w:lvlText w:val="%1."/>
      <w:lvlJc w:val="left"/>
      <w:pPr>
        <w:tabs>
          <w:tab w:val="num" w:pos="432"/>
        </w:tabs>
        <w:ind w:left="432" w:hanging="432"/>
      </w:pPr>
      <w:rPr>
        <w:rFonts w:hint="default"/>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start w:val="1"/>
      <w:numFmt w:val="decimal"/>
      <w:pStyle w:val="Nadpis2"/>
      <w:lvlText w:val="%1.%2"/>
      <w:lvlJc w:val="left"/>
      <w:pPr>
        <w:tabs>
          <w:tab w:val="num" w:pos="576"/>
        </w:tabs>
        <w:ind w:left="576" w:hanging="576"/>
      </w:pPr>
      <w:rPr>
        <w:rFonts w:hint="default"/>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decimal"/>
      <w:pStyle w:val="Nadpis3"/>
      <w:lvlText w:val="%1.%2.%3"/>
      <w:lvlJc w:val="left"/>
      <w:pPr>
        <w:tabs>
          <w:tab w:val="num" w:pos="1004"/>
        </w:tabs>
        <w:ind w:left="1004" w:hanging="720"/>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Nadpis4"/>
      <w:isLgl/>
      <w:lvlText w:val="%1.%2.%3.%4"/>
      <w:lvlJc w:val="left"/>
      <w:pPr>
        <w:tabs>
          <w:tab w:val="num" w:pos="1574"/>
        </w:tabs>
        <w:ind w:left="1574" w:hanging="864"/>
      </w:pPr>
      <w:rPr>
        <w:rFonts w:hint="default"/>
        <w:i w:val="0"/>
      </w:rPr>
    </w:lvl>
    <w:lvl w:ilvl="4">
      <w:start w:val="1"/>
      <w:numFmt w:val="decimal"/>
      <w:pStyle w:val="Nadpis5"/>
      <w:lvlText w:val="%1.%2.%3.%4.%5"/>
      <w:lvlJc w:val="left"/>
      <w:pPr>
        <w:tabs>
          <w:tab w:val="num" w:pos="1008"/>
        </w:tabs>
        <w:ind w:left="1008" w:hanging="1008"/>
      </w:pPr>
      <w:rPr>
        <w:rFonts w:hint="default"/>
        <w:i w:val="0"/>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nsid w:val="79160D51"/>
    <w:multiLevelType w:val="multilevel"/>
    <w:tmpl w:val="900E0EA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9"/>
  </w:num>
  <w:num w:numId="3">
    <w:abstractNumId w:val="1"/>
  </w:num>
  <w:num w:numId="4">
    <w:abstractNumId w:val="0"/>
  </w:num>
  <w:num w:numId="5">
    <w:abstractNumId w:val="8"/>
  </w:num>
  <w:num w:numId="6">
    <w:abstractNumId w:val="13"/>
  </w:num>
  <w:num w:numId="7">
    <w:abstractNumId w:val="11"/>
  </w:num>
  <w:num w:numId="8">
    <w:abstractNumId w:val="7"/>
  </w:num>
  <w:num w:numId="9">
    <w:abstractNumId w:val="12"/>
  </w:num>
  <w:num w:numId="10">
    <w:abstractNumId w:val="10"/>
  </w:num>
  <w:num w:numId="11">
    <w:abstractNumId w:val="5"/>
  </w:num>
  <w:num w:numId="12">
    <w:abstractNumId w:val="4"/>
  </w:num>
  <w:num w:numId="13">
    <w:abstractNumId w:val="3"/>
  </w:num>
  <w:num w:numId="14">
    <w:abstractNumId w:val="15"/>
  </w:num>
  <w:num w:numId="15">
    <w:abstractNumId w:val="17"/>
  </w:num>
  <w:num w:numId="16">
    <w:abstractNumId w:val="17"/>
  </w:num>
  <w:num w:numId="17">
    <w:abstractNumId w:val="14"/>
  </w:num>
  <w:num w:numId="18">
    <w:abstractNumId w:val="17"/>
  </w:num>
  <w:num w:numId="19">
    <w:abstractNumId w:val="17"/>
  </w:num>
  <w:num w:numId="20">
    <w:abstractNumId w:val="17"/>
  </w:num>
  <w:num w:numId="21">
    <w:abstractNumId w:val="18"/>
  </w:num>
  <w:num w:numId="22">
    <w:abstractNumId w:val="17"/>
  </w:num>
  <w:num w:numId="23">
    <w:abstractNumId w:val="17"/>
  </w:num>
  <w:num w:numId="24">
    <w:abstractNumId w:val="17"/>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7"/>
  </w:num>
  <w:num w:numId="29">
    <w:abstractNumId w:val="17"/>
  </w:num>
  <w:num w:numId="30">
    <w:abstractNumId w:val="17"/>
  </w:num>
  <w:num w:numId="31">
    <w:abstractNumId w:val="17"/>
  </w:num>
  <w:num w:numId="32">
    <w:abstractNumId w:val="6"/>
  </w:num>
  <w:num w:numId="3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0"/>
  <w:hyphenationZone w:val="425"/>
  <w:drawingGridHorizontalSpacing w:val="110"/>
  <w:displayHorizontalDrawingGridEvery w:val="2"/>
  <w:noPunctuationKerning/>
  <w:characterSpacingControl w:val="doNotCompress"/>
  <w:hdrShapeDefaults>
    <o:shapedefaults v:ext="edit" spidmax="76802"/>
  </w:hdrShapeDefaults>
  <w:footnotePr>
    <w:footnote w:id="-1"/>
    <w:footnote w:id="0"/>
  </w:footnotePr>
  <w:endnotePr>
    <w:endnote w:id="-1"/>
    <w:endnote w:id="0"/>
  </w:endnotePr>
  <w:compat/>
  <w:rsids>
    <w:rsidRoot w:val="0095280E"/>
    <w:rsid w:val="00000848"/>
    <w:rsid w:val="00000F36"/>
    <w:rsid w:val="000011BB"/>
    <w:rsid w:val="00001F76"/>
    <w:rsid w:val="00003125"/>
    <w:rsid w:val="00003E25"/>
    <w:rsid w:val="000044CA"/>
    <w:rsid w:val="00004A8B"/>
    <w:rsid w:val="00004BFA"/>
    <w:rsid w:val="00005F34"/>
    <w:rsid w:val="000062EA"/>
    <w:rsid w:val="00006B9C"/>
    <w:rsid w:val="00006DFC"/>
    <w:rsid w:val="00006FDF"/>
    <w:rsid w:val="000071A7"/>
    <w:rsid w:val="00007D01"/>
    <w:rsid w:val="00007F12"/>
    <w:rsid w:val="0001171B"/>
    <w:rsid w:val="00011886"/>
    <w:rsid w:val="00012AB8"/>
    <w:rsid w:val="00012B40"/>
    <w:rsid w:val="00012FEE"/>
    <w:rsid w:val="000147CE"/>
    <w:rsid w:val="0001486F"/>
    <w:rsid w:val="0001588F"/>
    <w:rsid w:val="00016195"/>
    <w:rsid w:val="000163AE"/>
    <w:rsid w:val="00017CA1"/>
    <w:rsid w:val="00017E0A"/>
    <w:rsid w:val="00017FBB"/>
    <w:rsid w:val="0002012A"/>
    <w:rsid w:val="00021FDB"/>
    <w:rsid w:val="00023910"/>
    <w:rsid w:val="0002407A"/>
    <w:rsid w:val="0002485A"/>
    <w:rsid w:val="00024A1B"/>
    <w:rsid w:val="00025171"/>
    <w:rsid w:val="00025352"/>
    <w:rsid w:val="00025534"/>
    <w:rsid w:val="00025538"/>
    <w:rsid w:val="0002590D"/>
    <w:rsid w:val="00025B69"/>
    <w:rsid w:val="00026402"/>
    <w:rsid w:val="00026CAD"/>
    <w:rsid w:val="00030840"/>
    <w:rsid w:val="000309F2"/>
    <w:rsid w:val="00030D4F"/>
    <w:rsid w:val="00031077"/>
    <w:rsid w:val="00031386"/>
    <w:rsid w:val="00031468"/>
    <w:rsid w:val="000330E1"/>
    <w:rsid w:val="00034188"/>
    <w:rsid w:val="00034271"/>
    <w:rsid w:val="00035D10"/>
    <w:rsid w:val="00036B11"/>
    <w:rsid w:val="00040409"/>
    <w:rsid w:val="00040B79"/>
    <w:rsid w:val="00040FFE"/>
    <w:rsid w:val="000428FF"/>
    <w:rsid w:val="00042F1C"/>
    <w:rsid w:val="000432BD"/>
    <w:rsid w:val="00043724"/>
    <w:rsid w:val="00043EBD"/>
    <w:rsid w:val="00043F0D"/>
    <w:rsid w:val="0004408F"/>
    <w:rsid w:val="000451FA"/>
    <w:rsid w:val="0004557A"/>
    <w:rsid w:val="000458E8"/>
    <w:rsid w:val="000460F9"/>
    <w:rsid w:val="00046A35"/>
    <w:rsid w:val="00047AD9"/>
    <w:rsid w:val="00047ADD"/>
    <w:rsid w:val="000501DB"/>
    <w:rsid w:val="0005033A"/>
    <w:rsid w:val="00051C3E"/>
    <w:rsid w:val="0005224E"/>
    <w:rsid w:val="00052A56"/>
    <w:rsid w:val="00052E48"/>
    <w:rsid w:val="000533C5"/>
    <w:rsid w:val="000536A0"/>
    <w:rsid w:val="00053945"/>
    <w:rsid w:val="00053DCA"/>
    <w:rsid w:val="00054690"/>
    <w:rsid w:val="00054D79"/>
    <w:rsid w:val="0005558A"/>
    <w:rsid w:val="00056E49"/>
    <w:rsid w:val="000602B0"/>
    <w:rsid w:val="00060903"/>
    <w:rsid w:val="00060918"/>
    <w:rsid w:val="0006105A"/>
    <w:rsid w:val="000611D8"/>
    <w:rsid w:val="00061529"/>
    <w:rsid w:val="00063048"/>
    <w:rsid w:val="00064336"/>
    <w:rsid w:val="000644A3"/>
    <w:rsid w:val="0006471F"/>
    <w:rsid w:val="00065310"/>
    <w:rsid w:val="00065359"/>
    <w:rsid w:val="000658FF"/>
    <w:rsid w:val="00065E20"/>
    <w:rsid w:val="00065EE0"/>
    <w:rsid w:val="0006634D"/>
    <w:rsid w:val="000669E0"/>
    <w:rsid w:val="00066B07"/>
    <w:rsid w:val="0006722F"/>
    <w:rsid w:val="000676F9"/>
    <w:rsid w:val="00070284"/>
    <w:rsid w:val="000703E5"/>
    <w:rsid w:val="0007054D"/>
    <w:rsid w:val="00070E28"/>
    <w:rsid w:val="000716F9"/>
    <w:rsid w:val="00071AF6"/>
    <w:rsid w:val="00071E2F"/>
    <w:rsid w:val="00071FDE"/>
    <w:rsid w:val="00072479"/>
    <w:rsid w:val="00073903"/>
    <w:rsid w:val="000740C9"/>
    <w:rsid w:val="00074F21"/>
    <w:rsid w:val="00075CB7"/>
    <w:rsid w:val="000765C6"/>
    <w:rsid w:val="00077F37"/>
    <w:rsid w:val="0008157D"/>
    <w:rsid w:val="00082100"/>
    <w:rsid w:val="00082B06"/>
    <w:rsid w:val="000832FA"/>
    <w:rsid w:val="00085DAC"/>
    <w:rsid w:val="000862E0"/>
    <w:rsid w:val="000868B5"/>
    <w:rsid w:val="00086B24"/>
    <w:rsid w:val="00086D36"/>
    <w:rsid w:val="00087DAE"/>
    <w:rsid w:val="00090342"/>
    <w:rsid w:val="000906F7"/>
    <w:rsid w:val="00091C31"/>
    <w:rsid w:val="00093908"/>
    <w:rsid w:val="00093B2C"/>
    <w:rsid w:val="000945EC"/>
    <w:rsid w:val="00094831"/>
    <w:rsid w:val="0009535C"/>
    <w:rsid w:val="00095943"/>
    <w:rsid w:val="00096260"/>
    <w:rsid w:val="000975DE"/>
    <w:rsid w:val="000A01A8"/>
    <w:rsid w:val="000A05CA"/>
    <w:rsid w:val="000A0E0D"/>
    <w:rsid w:val="000A3A1A"/>
    <w:rsid w:val="000A3B04"/>
    <w:rsid w:val="000A4289"/>
    <w:rsid w:val="000A6631"/>
    <w:rsid w:val="000A67A2"/>
    <w:rsid w:val="000A6EA5"/>
    <w:rsid w:val="000A72B1"/>
    <w:rsid w:val="000B083D"/>
    <w:rsid w:val="000B0E4B"/>
    <w:rsid w:val="000B2076"/>
    <w:rsid w:val="000B29F9"/>
    <w:rsid w:val="000B2AA7"/>
    <w:rsid w:val="000B355F"/>
    <w:rsid w:val="000B4925"/>
    <w:rsid w:val="000B4A76"/>
    <w:rsid w:val="000B5AC8"/>
    <w:rsid w:val="000B5E69"/>
    <w:rsid w:val="000B68EC"/>
    <w:rsid w:val="000B6CE3"/>
    <w:rsid w:val="000C0F66"/>
    <w:rsid w:val="000C1C10"/>
    <w:rsid w:val="000C2DDF"/>
    <w:rsid w:val="000C30EE"/>
    <w:rsid w:val="000C3134"/>
    <w:rsid w:val="000C3B81"/>
    <w:rsid w:val="000C42A5"/>
    <w:rsid w:val="000C4547"/>
    <w:rsid w:val="000C4E07"/>
    <w:rsid w:val="000C654A"/>
    <w:rsid w:val="000C6CE1"/>
    <w:rsid w:val="000D02F8"/>
    <w:rsid w:val="000D056C"/>
    <w:rsid w:val="000D058B"/>
    <w:rsid w:val="000D1DE5"/>
    <w:rsid w:val="000D319F"/>
    <w:rsid w:val="000D44CE"/>
    <w:rsid w:val="000D4B28"/>
    <w:rsid w:val="000D50BD"/>
    <w:rsid w:val="000D51AD"/>
    <w:rsid w:val="000D53F4"/>
    <w:rsid w:val="000D66D8"/>
    <w:rsid w:val="000D69A6"/>
    <w:rsid w:val="000D6C36"/>
    <w:rsid w:val="000D7D64"/>
    <w:rsid w:val="000D7E53"/>
    <w:rsid w:val="000E0816"/>
    <w:rsid w:val="000E0956"/>
    <w:rsid w:val="000E0972"/>
    <w:rsid w:val="000E0CCE"/>
    <w:rsid w:val="000E15B2"/>
    <w:rsid w:val="000E181A"/>
    <w:rsid w:val="000E1BB5"/>
    <w:rsid w:val="000E2896"/>
    <w:rsid w:val="000E38F9"/>
    <w:rsid w:val="000E4AB1"/>
    <w:rsid w:val="000E7276"/>
    <w:rsid w:val="000E7AEB"/>
    <w:rsid w:val="000E7FA4"/>
    <w:rsid w:val="000F18A6"/>
    <w:rsid w:val="000F2101"/>
    <w:rsid w:val="000F2EA5"/>
    <w:rsid w:val="000F2EC0"/>
    <w:rsid w:val="000F3664"/>
    <w:rsid w:val="000F3707"/>
    <w:rsid w:val="000F397B"/>
    <w:rsid w:val="000F3B7F"/>
    <w:rsid w:val="000F412C"/>
    <w:rsid w:val="000F4D0B"/>
    <w:rsid w:val="000F5EC6"/>
    <w:rsid w:val="000F6227"/>
    <w:rsid w:val="000F7390"/>
    <w:rsid w:val="000F7689"/>
    <w:rsid w:val="000F7DB3"/>
    <w:rsid w:val="000F7EA7"/>
    <w:rsid w:val="0010041F"/>
    <w:rsid w:val="00100455"/>
    <w:rsid w:val="00101F81"/>
    <w:rsid w:val="00102A31"/>
    <w:rsid w:val="00102A96"/>
    <w:rsid w:val="00102FA6"/>
    <w:rsid w:val="00103E68"/>
    <w:rsid w:val="00103FEB"/>
    <w:rsid w:val="00104BA0"/>
    <w:rsid w:val="00104C96"/>
    <w:rsid w:val="0010503D"/>
    <w:rsid w:val="0010529C"/>
    <w:rsid w:val="00105ADB"/>
    <w:rsid w:val="00106DFD"/>
    <w:rsid w:val="00107733"/>
    <w:rsid w:val="0010795F"/>
    <w:rsid w:val="00107B32"/>
    <w:rsid w:val="00107F58"/>
    <w:rsid w:val="00107F8D"/>
    <w:rsid w:val="00110EAD"/>
    <w:rsid w:val="00111717"/>
    <w:rsid w:val="001122AE"/>
    <w:rsid w:val="001123CD"/>
    <w:rsid w:val="00112D14"/>
    <w:rsid w:val="00113A8D"/>
    <w:rsid w:val="00114388"/>
    <w:rsid w:val="001157C9"/>
    <w:rsid w:val="00115989"/>
    <w:rsid w:val="001159AD"/>
    <w:rsid w:val="00116112"/>
    <w:rsid w:val="0011620A"/>
    <w:rsid w:val="00116413"/>
    <w:rsid w:val="00117269"/>
    <w:rsid w:val="001173C7"/>
    <w:rsid w:val="00117535"/>
    <w:rsid w:val="00120A07"/>
    <w:rsid w:val="00120B4B"/>
    <w:rsid w:val="00120BC3"/>
    <w:rsid w:val="00121825"/>
    <w:rsid w:val="00122581"/>
    <w:rsid w:val="00122ACC"/>
    <w:rsid w:val="0012318C"/>
    <w:rsid w:val="00123276"/>
    <w:rsid w:val="00123D6E"/>
    <w:rsid w:val="00123F6F"/>
    <w:rsid w:val="00124404"/>
    <w:rsid w:val="00124468"/>
    <w:rsid w:val="00125528"/>
    <w:rsid w:val="00125C42"/>
    <w:rsid w:val="00126014"/>
    <w:rsid w:val="001271D0"/>
    <w:rsid w:val="00127BDC"/>
    <w:rsid w:val="0013037E"/>
    <w:rsid w:val="00130591"/>
    <w:rsid w:val="0013084E"/>
    <w:rsid w:val="00131226"/>
    <w:rsid w:val="00131D36"/>
    <w:rsid w:val="0013243D"/>
    <w:rsid w:val="0013245B"/>
    <w:rsid w:val="00132728"/>
    <w:rsid w:val="00132EA9"/>
    <w:rsid w:val="001333F7"/>
    <w:rsid w:val="00133511"/>
    <w:rsid w:val="00133C95"/>
    <w:rsid w:val="00134D66"/>
    <w:rsid w:val="00135172"/>
    <w:rsid w:val="00135776"/>
    <w:rsid w:val="0013689C"/>
    <w:rsid w:val="0013720C"/>
    <w:rsid w:val="00137A5E"/>
    <w:rsid w:val="00140EE2"/>
    <w:rsid w:val="001420C9"/>
    <w:rsid w:val="001439C0"/>
    <w:rsid w:val="00143B45"/>
    <w:rsid w:val="00143C34"/>
    <w:rsid w:val="0014464B"/>
    <w:rsid w:val="00144B6C"/>
    <w:rsid w:val="00144F0D"/>
    <w:rsid w:val="00146525"/>
    <w:rsid w:val="001466EB"/>
    <w:rsid w:val="001469DA"/>
    <w:rsid w:val="00147406"/>
    <w:rsid w:val="001478D6"/>
    <w:rsid w:val="00147BD0"/>
    <w:rsid w:val="00150342"/>
    <w:rsid w:val="001503E4"/>
    <w:rsid w:val="00152049"/>
    <w:rsid w:val="00152BA4"/>
    <w:rsid w:val="00152E20"/>
    <w:rsid w:val="00153206"/>
    <w:rsid w:val="00153C1A"/>
    <w:rsid w:val="00154638"/>
    <w:rsid w:val="0015491A"/>
    <w:rsid w:val="00154C29"/>
    <w:rsid w:val="00155131"/>
    <w:rsid w:val="00156264"/>
    <w:rsid w:val="001569A4"/>
    <w:rsid w:val="00157A09"/>
    <w:rsid w:val="00157AA4"/>
    <w:rsid w:val="00157B2B"/>
    <w:rsid w:val="001617C3"/>
    <w:rsid w:val="00162554"/>
    <w:rsid w:val="001628AA"/>
    <w:rsid w:val="00162FFC"/>
    <w:rsid w:val="0016329B"/>
    <w:rsid w:val="001632CB"/>
    <w:rsid w:val="0016377F"/>
    <w:rsid w:val="00163A2A"/>
    <w:rsid w:val="00163AAD"/>
    <w:rsid w:val="001646DB"/>
    <w:rsid w:val="00164850"/>
    <w:rsid w:val="00164D44"/>
    <w:rsid w:val="00165757"/>
    <w:rsid w:val="00166684"/>
    <w:rsid w:val="00166D6C"/>
    <w:rsid w:val="001676DD"/>
    <w:rsid w:val="00167955"/>
    <w:rsid w:val="00167A97"/>
    <w:rsid w:val="00167E59"/>
    <w:rsid w:val="00170660"/>
    <w:rsid w:val="00170E58"/>
    <w:rsid w:val="001725DD"/>
    <w:rsid w:val="0017280A"/>
    <w:rsid w:val="0017288F"/>
    <w:rsid w:val="00172B9F"/>
    <w:rsid w:val="00172F3E"/>
    <w:rsid w:val="0017319A"/>
    <w:rsid w:val="0017337C"/>
    <w:rsid w:val="001746BA"/>
    <w:rsid w:val="001753BA"/>
    <w:rsid w:val="00175D92"/>
    <w:rsid w:val="00175DE1"/>
    <w:rsid w:val="0017662F"/>
    <w:rsid w:val="0018004D"/>
    <w:rsid w:val="0018078C"/>
    <w:rsid w:val="00180CEC"/>
    <w:rsid w:val="00180ED6"/>
    <w:rsid w:val="001811F6"/>
    <w:rsid w:val="00181A62"/>
    <w:rsid w:val="00181CBB"/>
    <w:rsid w:val="0018252B"/>
    <w:rsid w:val="00182635"/>
    <w:rsid w:val="00184605"/>
    <w:rsid w:val="0018471F"/>
    <w:rsid w:val="00184CD8"/>
    <w:rsid w:val="00186F97"/>
    <w:rsid w:val="0018705B"/>
    <w:rsid w:val="00187FC0"/>
    <w:rsid w:val="00190C26"/>
    <w:rsid w:val="00192333"/>
    <w:rsid w:val="00192665"/>
    <w:rsid w:val="001929EF"/>
    <w:rsid w:val="00192FF4"/>
    <w:rsid w:val="001938DE"/>
    <w:rsid w:val="00194A7D"/>
    <w:rsid w:val="00194B18"/>
    <w:rsid w:val="00195215"/>
    <w:rsid w:val="0019539A"/>
    <w:rsid w:val="0019594B"/>
    <w:rsid w:val="00196B81"/>
    <w:rsid w:val="00196F0D"/>
    <w:rsid w:val="001A00C8"/>
    <w:rsid w:val="001A0959"/>
    <w:rsid w:val="001A1086"/>
    <w:rsid w:val="001A22D1"/>
    <w:rsid w:val="001A26B8"/>
    <w:rsid w:val="001A310A"/>
    <w:rsid w:val="001A325D"/>
    <w:rsid w:val="001A3723"/>
    <w:rsid w:val="001A46C9"/>
    <w:rsid w:val="001A4D86"/>
    <w:rsid w:val="001A5014"/>
    <w:rsid w:val="001A675E"/>
    <w:rsid w:val="001A77E3"/>
    <w:rsid w:val="001B1012"/>
    <w:rsid w:val="001B174D"/>
    <w:rsid w:val="001B272F"/>
    <w:rsid w:val="001B28AE"/>
    <w:rsid w:val="001B2D5B"/>
    <w:rsid w:val="001B2E4A"/>
    <w:rsid w:val="001B2F27"/>
    <w:rsid w:val="001B3717"/>
    <w:rsid w:val="001B376E"/>
    <w:rsid w:val="001B3A11"/>
    <w:rsid w:val="001B3D07"/>
    <w:rsid w:val="001B3E7A"/>
    <w:rsid w:val="001B4654"/>
    <w:rsid w:val="001B49AF"/>
    <w:rsid w:val="001B4DD4"/>
    <w:rsid w:val="001B4F83"/>
    <w:rsid w:val="001B535E"/>
    <w:rsid w:val="001B586E"/>
    <w:rsid w:val="001B7509"/>
    <w:rsid w:val="001B7FA7"/>
    <w:rsid w:val="001B7FCA"/>
    <w:rsid w:val="001B7FCD"/>
    <w:rsid w:val="001C0A4C"/>
    <w:rsid w:val="001C183B"/>
    <w:rsid w:val="001C4B13"/>
    <w:rsid w:val="001C6A2E"/>
    <w:rsid w:val="001C7013"/>
    <w:rsid w:val="001C705A"/>
    <w:rsid w:val="001C7EA7"/>
    <w:rsid w:val="001D08B8"/>
    <w:rsid w:val="001D1BA7"/>
    <w:rsid w:val="001D2A87"/>
    <w:rsid w:val="001D3868"/>
    <w:rsid w:val="001D46DE"/>
    <w:rsid w:val="001D51AD"/>
    <w:rsid w:val="001D5E40"/>
    <w:rsid w:val="001D60F4"/>
    <w:rsid w:val="001D69C2"/>
    <w:rsid w:val="001D6C5C"/>
    <w:rsid w:val="001D7211"/>
    <w:rsid w:val="001D7968"/>
    <w:rsid w:val="001D7F01"/>
    <w:rsid w:val="001E0CAD"/>
    <w:rsid w:val="001E17EE"/>
    <w:rsid w:val="001E187F"/>
    <w:rsid w:val="001E1E67"/>
    <w:rsid w:val="001E1ECF"/>
    <w:rsid w:val="001E2392"/>
    <w:rsid w:val="001E3877"/>
    <w:rsid w:val="001E4CFE"/>
    <w:rsid w:val="001E5875"/>
    <w:rsid w:val="001E6D86"/>
    <w:rsid w:val="001E718C"/>
    <w:rsid w:val="001E789A"/>
    <w:rsid w:val="001E7961"/>
    <w:rsid w:val="001F0A03"/>
    <w:rsid w:val="001F121D"/>
    <w:rsid w:val="001F15BB"/>
    <w:rsid w:val="001F1B81"/>
    <w:rsid w:val="001F27C0"/>
    <w:rsid w:val="001F3327"/>
    <w:rsid w:val="001F4C26"/>
    <w:rsid w:val="001F4E2F"/>
    <w:rsid w:val="001F4E33"/>
    <w:rsid w:val="001F518B"/>
    <w:rsid w:val="001F5837"/>
    <w:rsid w:val="001F666C"/>
    <w:rsid w:val="001F7B49"/>
    <w:rsid w:val="00200951"/>
    <w:rsid w:val="00200BCF"/>
    <w:rsid w:val="00201021"/>
    <w:rsid w:val="002013F3"/>
    <w:rsid w:val="00202197"/>
    <w:rsid w:val="00206151"/>
    <w:rsid w:val="002063FB"/>
    <w:rsid w:val="0020649E"/>
    <w:rsid w:val="00206787"/>
    <w:rsid w:val="0020732D"/>
    <w:rsid w:val="00207BF6"/>
    <w:rsid w:val="00211BF8"/>
    <w:rsid w:val="00212A34"/>
    <w:rsid w:val="00212B9C"/>
    <w:rsid w:val="002139DD"/>
    <w:rsid w:val="00214BC4"/>
    <w:rsid w:val="002155EC"/>
    <w:rsid w:val="00216405"/>
    <w:rsid w:val="0021692F"/>
    <w:rsid w:val="00216ACC"/>
    <w:rsid w:val="00217466"/>
    <w:rsid w:val="00217786"/>
    <w:rsid w:val="00220523"/>
    <w:rsid w:val="002207CD"/>
    <w:rsid w:val="0022087A"/>
    <w:rsid w:val="00220D45"/>
    <w:rsid w:val="00220E57"/>
    <w:rsid w:val="0022133C"/>
    <w:rsid w:val="002221B1"/>
    <w:rsid w:val="00222752"/>
    <w:rsid w:val="0022347D"/>
    <w:rsid w:val="00224215"/>
    <w:rsid w:val="00224637"/>
    <w:rsid w:val="00224CDC"/>
    <w:rsid w:val="00224E83"/>
    <w:rsid w:val="00224F08"/>
    <w:rsid w:val="00225E84"/>
    <w:rsid w:val="00225FEB"/>
    <w:rsid w:val="0022668C"/>
    <w:rsid w:val="002269BF"/>
    <w:rsid w:val="00227268"/>
    <w:rsid w:val="002273E5"/>
    <w:rsid w:val="00230859"/>
    <w:rsid w:val="00231793"/>
    <w:rsid w:val="00232674"/>
    <w:rsid w:val="00233357"/>
    <w:rsid w:val="00235596"/>
    <w:rsid w:val="0023636A"/>
    <w:rsid w:val="002364BD"/>
    <w:rsid w:val="0023661A"/>
    <w:rsid w:val="00236CA0"/>
    <w:rsid w:val="00237808"/>
    <w:rsid w:val="002379E3"/>
    <w:rsid w:val="00237B3F"/>
    <w:rsid w:val="0024014E"/>
    <w:rsid w:val="002401D5"/>
    <w:rsid w:val="002402D6"/>
    <w:rsid w:val="00240910"/>
    <w:rsid w:val="00240A13"/>
    <w:rsid w:val="00240E82"/>
    <w:rsid w:val="00241CA7"/>
    <w:rsid w:val="00241D1F"/>
    <w:rsid w:val="00241FF5"/>
    <w:rsid w:val="002426A5"/>
    <w:rsid w:val="00244EB9"/>
    <w:rsid w:val="002450BF"/>
    <w:rsid w:val="0024682D"/>
    <w:rsid w:val="00246A12"/>
    <w:rsid w:val="00246F26"/>
    <w:rsid w:val="00247519"/>
    <w:rsid w:val="0025161F"/>
    <w:rsid w:val="00252F73"/>
    <w:rsid w:val="002537D4"/>
    <w:rsid w:val="0025410C"/>
    <w:rsid w:val="002553B0"/>
    <w:rsid w:val="0025552C"/>
    <w:rsid w:val="002561ED"/>
    <w:rsid w:val="00256257"/>
    <w:rsid w:val="00256A85"/>
    <w:rsid w:val="00256CD2"/>
    <w:rsid w:val="00260D52"/>
    <w:rsid w:val="00262487"/>
    <w:rsid w:val="00263DDC"/>
    <w:rsid w:val="00264798"/>
    <w:rsid w:val="00266096"/>
    <w:rsid w:val="00267872"/>
    <w:rsid w:val="002701DA"/>
    <w:rsid w:val="00270439"/>
    <w:rsid w:val="00271003"/>
    <w:rsid w:val="002711A8"/>
    <w:rsid w:val="00271613"/>
    <w:rsid w:val="002716C1"/>
    <w:rsid w:val="00271B05"/>
    <w:rsid w:val="00272461"/>
    <w:rsid w:val="00272474"/>
    <w:rsid w:val="00272478"/>
    <w:rsid w:val="00272812"/>
    <w:rsid w:val="002737A7"/>
    <w:rsid w:val="00274146"/>
    <w:rsid w:val="002747B1"/>
    <w:rsid w:val="00274C01"/>
    <w:rsid w:val="00274C93"/>
    <w:rsid w:val="00275F4C"/>
    <w:rsid w:val="00276669"/>
    <w:rsid w:val="0027684E"/>
    <w:rsid w:val="00276D6A"/>
    <w:rsid w:val="002778FA"/>
    <w:rsid w:val="00280260"/>
    <w:rsid w:val="00280843"/>
    <w:rsid w:val="00281244"/>
    <w:rsid w:val="0028149B"/>
    <w:rsid w:val="0028162F"/>
    <w:rsid w:val="00282ADD"/>
    <w:rsid w:val="0028320A"/>
    <w:rsid w:val="00283EB2"/>
    <w:rsid w:val="00285176"/>
    <w:rsid w:val="00285630"/>
    <w:rsid w:val="002857A8"/>
    <w:rsid w:val="00285B83"/>
    <w:rsid w:val="002865D5"/>
    <w:rsid w:val="00287134"/>
    <w:rsid w:val="0029036D"/>
    <w:rsid w:val="00290C4D"/>
    <w:rsid w:val="00290EBF"/>
    <w:rsid w:val="002916EE"/>
    <w:rsid w:val="00291CB1"/>
    <w:rsid w:val="002924A0"/>
    <w:rsid w:val="00293DDC"/>
    <w:rsid w:val="00294898"/>
    <w:rsid w:val="00294EFA"/>
    <w:rsid w:val="002964BA"/>
    <w:rsid w:val="0029769E"/>
    <w:rsid w:val="002A01FF"/>
    <w:rsid w:val="002A0D9F"/>
    <w:rsid w:val="002A14A1"/>
    <w:rsid w:val="002A155D"/>
    <w:rsid w:val="002A20F8"/>
    <w:rsid w:val="002A2179"/>
    <w:rsid w:val="002A3510"/>
    <w:rsid w:val="002A3587"/>
    <w:rsid w:val="002A4415"/>
    <w:rsid w:val="002A44BF"/>
    <w:rsid w:val="002A45C0"/>
    <w:rsid w:val="002A4AB4"/>
    <w:rsid w:val="002A534C"/>
    <w:rsid w:val="002A5EA8"/>
    <w:rsid w:val="002A6954"/>
    <w:rsid w:val="002A76A7"/>
    <w:rsid w:val="002B0FA0"/>
    <w:rsid w:val="002B1EF7"/>
    <w:rsid w:val="002B53AB"/>
    <w:rsid w:val="002B7C02"/>
    <w:rsid w:val="002C01D9"/>
    <w:rsid w:val="002C0DC3"/>
    <w:rsid w:val="002C0FBE"/>
    <w:rsid w:val="002C1143"/>
    <w:rsid w:val="002C1D80"/>
    <w:rsid w:val="002C236E"/>
    <w:rsid w:val="002C2D3A"/>
    <w:rsid w:val="002C3D2E"/>
    <w:rsid w:val="002C3EE9"/>
    <w:rsid w:val="002C5B00"/>
    <w:rsid w:val="002C6DA6"/>
    <w:rsid w:val="002C79FC"/>
    <w:rsid w:val="002D0BD0"/>
    <w:rsid w:val="002D2A75"/>
    <w:rsid w:val="002D2ADC"/>
    <w:rsid w:val="002D3B9F"/>
    <w:rsid w:val="002D3F5F"/>
    <w:rsid w:val="002D4345"/>
    <w:rsid w:val="002D4B20"/>
    <w:rsid w:val="002D4B5A"/>
    <w:rsid w:val="002D5274"/>
    <w:rsid w:val="002D6B73"/>
    <w:rsid w:val="002D6DE0"/>
    <w:rsid w:val="002D764D"/>
    <w:rsid w:val="002D7A07"/>
    <w:rsid w:val="002D7D63"/>
    <w:rsid w:val="002E0EEE"/>
    <w:rsid w:val="002E14B8"/>
    <w:rsid w:val="002E1A50"/>
    <w:rsid w:val="002E1E3F"/>
    <w:rsid w:val="002E2511"/>
    <w:rsid w:val="002E26CC"/>
    <w:rsid w:val="002E3684"/>
    <w:rsid w:val="002E3923"/>
    <w:rsid w:val="002E41E8"/>
    <w:rsid w:val="002E422C"/>
    <w:rsid w:val="002E5510"/>
    <w:rsid w:val="002E65B3"/>
    <w:rsid w:val="002E6C66"/>
    <w:rsid w:val="002F138A"/>
    <w:rsid w:val="002F1D05"/>
    <w:rsid w:val="002F1F25"/>
    <w:rsid w:val="002F29CF"/>
    <w:rsid w:val="002F2FA7"/>
    <w:rsid w:val="002F30FD"/>
    <w:rsid w:val="002F346F"/>
    <w:rsid w:val="002F365D"/>
    <w:rsid w:val="002F38BA"/>
    <w:rsid w:val="002F434A"/>
    <w:rsid w:val="002F49E5"/>
    <w:rsid w:val="002F52B6"/>
    <w:rsid w:val="002F55B1"/>
    <w:rsid w:val="002F583B"/>
    <w:rsid w:val="002F59E6"/>
    <w:rsid w:val="002F600F"/>
    <w:rsid w:val="002F6A39"/>
    <w:rsid w:val="002F7765"/>
    <w:rsid w:val="002F79CD"/>
    <w:rsid w:val="00300122"/>
    <w:rsid w:val="00300716"/>
    <w:rsid w:val="003022C4"/>
    <w:rsid w:val="003024FA"/>
    <w:rsid w:val="003030DC"/>
    <w:rsid w:val="003039C6"/>
    <w:rsid w:val="0030446D"/>
    <w:rsid w:val="00304D66"/>
    <w:rsid w:val="003051F6"/>
    <w:rsid w:val="00310765"/>
    <w:rsid w:val="00310F65"/>
    <w:rsid w:val="00311B47"/>
    <w:rsid w:val="003120B3"/>
    <w:rsid w:val="00313FE6"/>
    <w:rsid w:val="0031406E"/>
    <w:rsid w:val="00314519"/>
    <w:rsid w:val="00314AD8"/>
    <w:rsid w:val="00314BB3"/>
    <w:rsid w:val="00315228"/>
    <w:rsid w:val="0031598B"/>
    <w:rsid w:val="00315FB5"/>
    <w:rsid w:val="003161C7"/>
    <w:rsid w:val="00316318"/>
    <w:rsid w:val="003164D4"/>
    <w:rsid w:val="0031734C"/>
    <w:rsid w:val="003177FA"/>
    <w:rsid w:val="00317F6E"/>
    <w:rsid w:val="003205C2"/>
    <w:rsid w:val="00321999"/>
    <w:rsid w:val="00321F53"/>
    <w:rsid w:val="00322F9C"/>
    <w:rsid w:val="003245FA"/>
    <w:rsid w:val="00324D7C"/>
    <w:rsid w:val="0032535A"/>
    <w:rsid w:val="00325EE0"/>
    <w:rsid w:val="0032692C"/>
    <w:rsid w:val="00327CB1"/>
    <w:rsid w:val="003317E8"/>
    <w:rsid w:val="00331968"/>
    <w:rsid w:val="00332017"/>
    <w:rsid w:val="00332055"/>
    <w:rsid w:val="003323FD"/>
    <w:rsid w:val="00332B82"/>
    <w:rsid w:val="00333BDE"/>
    <w:rsid w:val="00333C30"/>
    <w:rsid w:val="0033488E"/>
    <w:rsid w:val="00334F18"/>
    <w:rsid w:val="003351D7"/>
    <w:rsid w:val="003353F3"/>
    <w:rsid w:val="00336B17"/>
    <w:rsid w:val="00336C6A"/>
    <w:rsid w:val="00340030"/>
    <w:rsid w:val="003420A1"/>
    <w:rsid w:val="0034238A"/>
    <w:rsid w:val="003436D4"/>
    <w:rsid w:val="00347C62"/>
    <w:rsid w:val="00347D2F"/>
    <w:rsid w:val="003500BD"/>
    <w:rsid w:val="0035058E"/>
    <w:rsid w:val="00350FAD"/>
    <w:rsid w:val="00351507"/>
    <w:rsid w:val="003515CE"/>
    <w:rsid w:val="00351A27"/>
    <w:rsid w:val="0035218B"/>
    <w:rsid w:val="0035312F"/>
    <w:rsid w:val="00354502"/>
    <w:rsid w:val="0035465C"/>
    <w:rsid w:val="003549BD"/>
    <w:rsid w:val="00355106"/>
    <w:rsid w:val="0035513C"/>
    <w:rsid w:val="00356A06"/>
    <w:rsid w:val="00357128"/>
    <w:rsid w:val="0035744C"/>
    <w:rsid w:val="003578AA"/>
    <w:rsid w:val="00357A63"/>
    <w:rsid w:val="00360398"/>
    <w:rsid w:val="003608D9"/>
    <w:rsid w:val="00361305"/>
    <w:rsid w:val="003621B4"/>
    <w:rsid w:val="003622B9"/>
    <w:rsid w:val="00362626"/>
    <w:rsid w:val="0036521C"/>
    <w:rsid w:val="00365616"/>
    <w:rsid w:val="00365D3B"/>
    <w:rsid w:val="00366455"/>
    <w:rsid w:val="003664AB"/>
    <w:rsid w:val="003668DD"/>
    <w:rsid w:val="003669DF"/>
    <w:rsid w:val="00367096"/>
    <w:rsid w:val="00367779"/>
    <w:rsid w:val="00370558"/>
    <w:rsid w:val="00371BB5"/>
    <w:rsid w:val="00372189"/>
    <w:rsid w:val="003722D8"/>
    <w:rsid w:val="003737C9"/>
    <w:rsid w:val="0037446F"/>
    <w:rsid w:val="00375254"/>
    <w:rsid w:val="00375526"/>
    <w:rsid w:val="00375BE7"/>
    <w:rsid w:val="00375C36"/>
    <w:rsid w:val="003768E0"/>
    <w:rsid w:val="003770F2"/>
    <w:rsid w:val="00377D32"/>
    <w:rsid w:val="00380EBB"/>
    <w:rsid w:val="00380F21"/>
    <w:rsid w:val="00380F62"/>
    <w:rsid w:val="003814EC"/>
    <w:rsid w:val="003817D9"/>
    <w:rsid w:val="00381D3A"/>
    <w:rsid w:val="00381ED2"/>
    <w:rsid w:val="00382484"/>
    <w:rsid w:val="00382975"/>
    <w:rsid w:val="00382B5D"/>
    <w:rsid w:val="0038337B"/>
    <w:rsid w:val="00383801"/>
    <w:rsid w:val="0038389A"/>
    <w:rsid w:val="003838FE"/>
    <w:rsid w:val="00383DBE"/>
    <w:rsid w:val="00384A7B"/>
    <w:rsid w:val="0038670B"/>
    <w:rsid w:val="003879E4"/>
    <w:rsid w:val="00394D51"/>
    <w:rsid w:val="0039555B"/>
    <w:rsid w:val="003975B5"/>
    <w:rsid w:val="00397FDC"/>
    <w:rsid w:val="003A0AAD"/>
    <w:rsid w:val="003A0C93"/>
    <w:rsid w:val="003A1126"/>
    <w:rsid w:val="003A222D"/>
    <w:rsid w:val="003A303B"/>
    <w:rsid w:val="003A3EDE"/>
    <w:rsid w:val="003A41BA"/>
    <w:rsid w:val="003A5020"/>
    <w:rsid w:val="003A5081"/>
    <w:rsid w:val="003A561B"/>
    <w:rsid w:val="003A5640"/>
    <w:rsid w:val="003A6D99"/>
    <w:rsid w:val="003A7301"/>
    <w:rsid w:val="003A740E"/>
    <w:rsid w:val="003A7D23"/>
    <w:rsid w:val="003B0B0E"/>
    <w:rsid w:val="003B1440"/>
    <w:rsid w:val="003B1DAC"/>
    <w:rsid w:val="003B2367"/>
    <w:rsid w:val="003B3CAE"/>
    <w:rsid w:val="003B43FD"/>
    <w:rsid w:val="003B457E"/>
    <w:rsid w:val="003B4C18"/>
    <w:rsid w:val="003B5509"/>
    <w:rsid w:val="003B56B4"/>
    <w:rsid w:val="003B5FA7"/>
    <w:rsid w:val="003B7953"/>
    <w:rsid w:val="003C05D0"/>
    <w:rsid w:val="003C12C5"/>
    <w:rsid w:val="003C2EBC"/>
    <w:rsid w:val="003C3782"/>
    <w:rsid w:val="003C378E"/>
    <w:rsid w:val="003C407C"/>
    <w:rsid w:val="003C4620"/>
    <w:rsid w:val="003C54AF"/>
    <w:rsid w:val="003C5645"/>
    <w:rsid w:val="003C6540"/>
    <w:rsid w:val="003C6BC2"/>
    <w:rsid w:val="003C7866"/>
    <w:rsid w:val="003C790A"/>
    <w:rsid w:val="003D1101"/>
    <w:rsid w:val="003D23A4"/>
    <w:rsid w:val="003D3B65"/>
    <w:rsid w:val="003D4BCA"/>
    <w:rsid w:val="003D6187"/>
    <w:rsid w:val="003D62B5"/>
    <w:rsid w:val="003D658C"/>
    <w:rsid w:val="003D68F3"/>
    <w:rsid w:val="003D7611"/>
    <w:rsid w:val="003E0C9A"/>
    <w:rsid w:val="003E1D1C"/>
    <w:rsid w:val="003E30C3"/>
    <w:rsid w:val="003E5657"/>
    <w:rsid w:val="003E5EDD"/>
    <w:rsid w:val="003E6BF8"/>
    <w:rsid w:val="003F0DB4"/>
    <w:rsid w:val="003F13AC"/>
    <w:rsid w:val="003F1B10"/>
    <w:rsid w:val="003F1FED"/>
    <w:rsid w:val="003F2A75"/>
    <w:rsid w:val="003F31FC"/>
    <w:rsid w:val="003F49F3"/>
    <w:rsid w:val="003F4DAA"/>
    <w:rsid w:val="00400684"/>
    <w:rsid w:val="004011C6"/>
    <w:rsid w:val="00401480"/>
    <w:rsid w:val="004015A7"/>
    <w:rsid w:val="0040222D"/>
    <w:rsid w:val="00402705"/>
    <w:rsid w:val="00403870"/>
    <w:rsid w:val="00403B3F"/>
    <w:rsid w:val="00404857"/>
    <w:rsid w:val="004053CD"/>
    <w:rsid w:val="004056A5"/>
    <w:rsid w:val="00405868"/>
    <w:rsid w:val="004060A2"/>
    <w:rsid w:val="00406548"/>
    <w:rsid w:val="0040750F"/>
    <w:rsid w:val="004075DE"/>
    <w:rsid w:val="00407CC8"/>
    <w:rsid w:val="00410FFA"/>
    <w:rsid w:val="00411AD3"/>
    <w:rsid w:val="004135F1"/>
    <w:rsid w:val="0041364A"/>
    <w:rsid w:val="00413903"/>
    <w:rsid w:val="004142A6"/>
    <w:rsid w:val="00414EAF"/>
    <w:rsid w:val="00415031"/>
    <w:rsid w:val="00416572"/>
    <w:rsid w:val="00416CA7"/>
    <w:rsid w:val="00417455"/>
    <w:rsid w:val="00417589"/>
    <w:rsid w:val="004179EF"/>
    <w:rsid w:val="00420565"/>
    <w:rsid w:val="004210B3"/>
    <w:rsid w:val="00421101"/>
    <w:rsid w:val="004216F9"/>
    <w:rsid w:val="0042180F"/>
    <w:rsid w:val="00421866"/>
    <w:rsid w:val="00422102"/>
    <w:rsid w:val="00424FD0"/>
    <w:rsid w:val="00425252"/>
    <w:rsid w:val="00425296"/>
    <w:rsid w:val="0042589F"/>
    <w:rsid w:val="004259B1"/>
    <w:rsid w:val="0042689F"/>
    <w:rsid w:val="004317F1"/>
    <w:rsid w:val="00432663"/>
    <w:rsid w:val="004327D9"/>
    <w:rsid w:val="004350F4"/>
    <w:rsid w:val="004354D5"/>
    <w:rsid w:val="00435DA4"/>
    <w:rsid w:val="004373D8"/>
    <w:rsid w:val="00437FF4"/>
    <w:rsid w:val="00440532"/>
    <w:rsid w:val="00440827"/>
    <w:rsid w:val="004411AB"/>
    <w:rsid w:val="004429B9"/>
    <w:rsid w:val="004429E7"/>
    <w:rsid w:val="00443345"/>
    <w:rsid w:val="00443E08"/>
    <w:rsid w:val="004444EB"/>
    <w:rsid w:val="00444A24"/>
    <w:rsid w:val="00444D20"/>
    <w:rsid w:val="00444E38"/>
    <w:rsid w:val="00445E64"/>
    <w:rsid w:val="00445E70"/>
    <w:rsid w:val="0044644A"/>
    <w:rsid w:val="004466E9"/>
    <w:rsid w:val="00447C4B"/>
    <w:rsid w:val="00450B96"/>
    <w:rsid w:val="00451D33"/>
    <w:rsid w:val="0045291C"/>
    <w:rsid w:val="00452A92"/>
    <w:rsid w:val="004536C0"/>
    <w:rsid w:val="00453881"/>
    <w:rsid w:val="0045406C"/>
    <w:rsid w:val="004541AF"/>
    <w:rsid w:val="004542DA"/>
    <w:rsid w:val="00454532"/>
    <w:rsid w:val="00455027"/>
    <w:rsid w:val="00455AD5"/>
    <w:rsid w:val="00455C95"/>
    <w:rsid w:val="00456912"/>
    <w:rsid w:val="0045719E"/>
    <w:rsid w:val="00457577"/>
    <w:rsid w:val="00460213"/>
    <w:rsid w:val="00460A33"/>
    <w:rsid w:val="004614F5"/>
    <w:rsid w:val="00461E49"/>
    <w:rsid w:val="00462240"/>
    <w:rsid w:val="0046241F"/>
    <w:rsid w:val="00462EA4"/>
    <w:rsid w:val="00463D5E"/>
    <w:rsid w:val="0046450A"/>
    <w:rsid w:val="00466B00"/>
    <w:rsid w:val="0046756F"/>
    <w:rsid w:val="00467D65"/>
    <w:rsid w:val="00470F45"/>
    <w:rsid w:val="00471C38"/>
    <w:rsid w:val="00472333"/>
    <w:rsid w:val="004729E9"/>
    <w:rsid w:val="00472DD4"/>
    <w:rsid w:val="004737E7"/>
    <w:rsid w:val="004739E5"/>
    <w:rsid w:val="00473CDF"/>
    <w:rsid w:val="00476BC6"/>
    <w:rsid w:val="004770B7"/>
    <w:rsid w:val="0047726E"/>
    <w:rsid w:val="0047792A"/>
    <w:rsid w:val="00477CA1"/>
    <w:rsid w:val="00480657"/>
    <w:rsid w:val="004807D9"/>
    <w:rsid w:val="00480A7A"/>
    <w:rsid w:val="00480D18"/>
    <w:rsid w:val="004826FD"/>
    <w:rsid w:val="00482A13"/>
    <w:rsid w:val="00482D05"/>
    <w:rsid w:val="004837FF"/>
    <w:rsid w:val="00483AFC"/>
    <w:rsid w:val="00484267"/>
    <w:rsid w:val="00485346"/>
    <w:rsid w:val="004853C1"/>
    <w:rsid w:val="004867CA"/>
    <w:rsid w:val="00487610"/>
    <w:rsid w:val="00487B23"/>
    <w:rsid w:val="0049007C"/>
    <w:rsid w:val="00490BE6"/>
    <w:rsid w:val="00491192"/>
    <w:rsid w:val="00491541"/>
    <w:rsid w:val="00491953"/>
    <w:rsid w:val="0049201A"/>
    <w:rsid w:val="004920D9"/>
    <w:rsid w:val="0049235A"/>
    <w:rsid w:val="0049290C"/>
    <w:rsid w:val="00493034"/>
    <w:rsid w:val="004935E2"/>
    <w:rsid w:val="0049377F"/>
    <w:rsid w:val="00493799"/>
    <w:rsid w:val="00494320"/>
    <w:rsid w:val="0049459C"/>
    <w:rsid w:val="00494B73"/>
    <w:rsid w:val="00494D4A"/>
    <w:rsid w:val="004956D3"/>
    <w:rsid w:val="00495B32"/>
    <w:rsid w:val="00495F11"/>
    <w:rsid w:val="0049602D"/>
    <w:rsid w:val="00496AA1"/>
    <w:rsid w:val="00497A96"/>
    <w:rsid w:val="00497BEF"/>
    <w:rsid w:val="004A0E5C"/>
    <w:rsid w:val="004A274B"/>
    <w:rsid w:val="004A276D"/>
    <w:rsid w:val="004A3BBB"/>
    <w:rsid w:val="004A3D2E"/>
    <w:rsid w:val="004A3EEF"/>
    <w:rsid w:val="004A4191"/>
    <w:rsid w:val="004A429C"/>
    <w:rsid w:val="004A4456"/>
    <w:rsid w:val="004A44EB"/>
    <w:rsid w:val="004A4719"/>
    <w:rsid w:val="004A48B8"/>
    <w:rsid w:val="004A5AE4"/>
    <w:rsid w:val="004A6098"/>
    <w:rsid w:val="004A6A32"/>
    <w:rsid w:val="004A6ED3"/>
    <w:rsid w:val="004A737B"/>
    <w:rsid w:val="004B0CFE"/>
    <w:rsid w:val="004B112F"/>
    <w:rsid w:val="004B1682"/>
    <w:rsid w:val="004B23EB"/>
    <w:rsid w:val="004B28C7"/>
    <w:rsid w:val="004B388A"/>
    <w:rsid w:val="004B43E8"/>
    <w:rsid w:val="004B4EBE"/>
    <w:rsid w:val="004B5257"/>
    <w:rsid w:val="004B57A8"/>
    <w:rsid w:val="004B5837"/>
    <w:rsid w:val="004B5D1E"/>
    <w:rsid w:val="004B643C"/>
    <w:rsid w:val="004B74B7"/>
    <w:rsid w:val="004B7548"/>
    <w:rsid w:val="004B79B9"/>
    <w:rsid w:val="004C0036"/>
    <w:rsid w:val="004C028D"/>
    <w:rsid w:val="004C052B"/>
    <w:rsid w:val="004C0580"/>
    <w:rsid w:val="004C147D"/>
    <w:rsid w:val="004C2DB5"/>
    <w:rsid w:val="004C5680"/>
    <w:rsid w:val="004C5881"/>
    <w:rsid w:val="004C6DC6"/>
    <w:rsid w:val="004C74A1"/>
    <w:rsid w:val="004C74B5"/>
    <w:rsid w:val="004C7E64"/>
    <w:rsid w:val="004D062A"/>
    <w:rsid w:val="004D0799"/>
    <w:rsid w:val="004D0DBC"/>
    <w:rsid w:val="004D1128"/>
    <w:rsid w:val="004D1817"/>
    <w:rsid w:val="004D1A77"/>
    <w:rsid w:val="004D1EE8"/>
    <w:rsid w:val="004D2C43"/>
    <w:rsid w:val="004D3474"/>
    <w:rsid w:val="004D3778"/>
    <w:rsid w:val="004D3DBC"/>
    <w:rsid w:val="004D5885"/>
    <w:rsid w:val="004D5EF5"/>
    <w:rsid w:val="004D6982"/>
    <w:rsid w:val="004D6CFB"/>
    <w:rsid w:val="004D7FD1"/>
    <w:rsid w:val="004E08DA"/>
    <w:rsid w:val="004E1F47"/>
    <w:rsid w:val="004E1F7D"/>
    <w:rsid w:val="004E27C4"/>
    <w:rsid w:val="004E3626"/>
    <w:rsid w:val="004E40ED"/>
    <w:rsid w:val="004E6127"/>
    <w:rsid w:val="004E64DA"/>
    <w:rsid w:val="004E6B73"/>
    <w:rsid w:val="004E6DDA"/>
    <w:rsid w:val="004E6FCD"/>
    <w:rsid w:val="004E76E4"/>
    <w:rsid w:val="004E77A4"/>
    <w:rsid w:val="004E7C38"/>
    <w:rsid w:val="004F02D3"/>
    <w:rsid w:val="004F0E9C"/>
    <w:rsid w:val="004F1101"/>
    <w:rsid w:val="004F165C"/>
    <w:rsid w:val="004F2411"/>
    <w:rsid w:val="004F257B"/>
    <w:rsid w:val="004F3BE6"/>
    <w:rsid w:val="004F3F1B"/>
    <w:rsid w:val="004F3F3B"/>
    <w:rsid w:val="004F4127"/>
    <w:rsid w:val="004F5B3E"/>
    <w:rsid w:val="004F5BE2"/>
    <w:rsid w:val="004F600C"/>
    <w:rsid w:val="004F6803"/>
    <w:rsid w:val="004F6E21"/>
    <w:rsid w:val="004F7CAF"/>
    <w:rsid w:val="004F7DF5"/>
    <w:rsid w:val="005002EA"/>
    <w:rsid w:val="00500ABA"/>
    <w:rsid w:val="00501D7E"/>
    <w:rsid w:val="00502FDB"/>
    <w:rsid w:val="00503004"/>
    <w:rsid w:val="005041A5"/>
    <w:rsid w:val="00504749"/>
    <w:rsid w:val="00504750"/>
    <w:rsid w:val="005050D1"/>
    <w:rsid w:val="005059DF"/>
    <w:rsid w:val="005067D5"/>
    <w:rsid w:val="00507048"/>
    <w:rsid w:val="005073E1"/>
    <w:rsid w:val="00507E54"/>
    <w:rsid w:val="00510D53"/>
    <w:rsid w:val="00511D64"/>
    <w:rsid w:val="00513397"/>
    <w:rsid w:val="00513887"/>
    <w:rsid w:val="005148E8"/>
    <w:rsid w:val="00514B9F"/>
    <w:rsid w:val="00514D93"/>
    <w:rsid w:val="00515C8C"/>
    <w:rsid w:val="00516720"/>
    <w:rsid w:val="0052042F"/>
    <w:rsid w:val="005207E2"/>
    <w:rsid w:val="0052110C"/>
    <w:rsid w:val="00521EF4"/>
    <w:rsid w:val="0052229E"/>
    <w:rsid w:val="00522744"/>
    <w:rsid w:val="00523912"/>
    <w:rsid w:val="00523F6D"/>
    <w:rsid w:val="005246A2"/>
    <w:rsid w:val="00524DB0"/>
    <w:rsid w:val="005254B8"/>
    <w:rsid w:val="00525BAB"/>
    <w:rsid w:val="005267A6"/>
    <w:rsid w:val="00526B89"/>
    <w:rsid w:val="00527050"/>
    <w:rsid w:val="005274F9"/>
    <w:rsid w:val="0053095A"/>
    <w:rsid w:val="005315E6"/>
    <w:rsid w:val="00532091"/>
    <w:rsid w:val="00532534"/>
    <w:rsid w:val="0053286A"/>
    <w:rsid w:val="00532B12"/>
    <w:rsid w:val="00532D03"/>
    <w:rsid w:val="00533C43"/>
    <w:rsid w:val="00535223"/>
    <w:rsid w:val="0053545A"/>
    <w:rsid w:val="005355C9"/>
    <w:rsid w:val="00535A80"/>
    <w:rsid w:val="005368B3"/>
    <w:rsid w:val="00537D80"/>
    <w:rsid w:val="00540075"/>
    <w:rsid w:val="00540496"/>
    <w:rsid w:val="005413F6"/>
    <w:rsid w:val="0054146D"/>
    <w:rsid w:val="0054210C"/>
    <w:rsid w:val="00542605"/>
    <w:rsid w:val="0054260B"/>
    <w:rsid w:val="00542682"/>
    <w:rsid w:val="00542842"/>
    <w:rsid w:val="00542A82"/>
    <w:rsid w:val="005435D3"/>
    <w:rsid w:val="00544740"/>
    <w:rsid w:val="005448BD"/>
    <w:rsid w:val="005459B5"/>
    <w:rsid w:val="00546BCF"/>
    <w:rsid w:val="00550761"/>
    <w:rsid w:val="005514BF"/>
    <w:rsid w:val="00551616"/>
    <w:rsid w:val="005526D3"/>
    <w:rsid w:val="005529F6"/>
    <w:rsid w:val="005536E4"/>
    <w:rsid w:val="005547FB"/>
    <w:rsid w:val="00554844"/>
    <w:rsid w:val="005548A9"/>
    <w:rsid w:val="0055679F"/>
    <w:rsid w:val="005572F4"/>
    <w:rsid w:val="00557EAA"/>
    <w:rsid w:val="005602C8"/>
    <w:rsid w:val="00562C73"/>
    <w:rsid w:val="005632F1"/>
    <w:rsid w:val="00563DB1"/>
    <w:rsid w:val="00563E98"/>
    <w:rsid w:val="00564134"/>
    <w:rsid w:val="005642A8"/>
    <w:rsid w:val="00565BA2"/>
    <w:rsid w:val="00566D15"/>
    <w:rsid w:val="00570599"/>
    <w:rsid w:val="0057194B"/>
    <w:rsid w:val="00571B6F"/>
    <w:rsid w:val="00571D60"/>
    <w:rsid w:val="00571DCD"/>
    <w:rsid w:val="00571E8C"/>
    <w:rsid w:val="005725E4"/>
    <w:rsid w:val="00572D06"/>
    <w:rsid w:val="005733D8"/>
    <w:rsid w:val="00573C19"/>
    <w:rsid w:val="00573F16"/>
    <w:rsid w:val="0057544A"/>
    <w:rsid w:val="00575964"/>
    <w:rsid w:val="0057600B"/>
    <w:rsid w:val="005762D2"/>
    <w:rsid w:val="0057638E"/>
    <w:rsid w:val="005774F8"/>
    <w:rsid w:val="0058110B"/>
    <w:rsid w:val="0058180E"/>
    <w:rsid w:val="0058228B"/>
    <w:rsid w:val="0058230B"/>
    <w:rsid w:val="00583188"/>
    <w:rsid w:val="00583865"/>
    <w:rsid w:val="00584312"/>
    <w:rsid w:val="0058468A"/>
    <w:rsid w:val="00585C6D"/>
    <w:rsid w:val="00586167"/>
    <w:rsid w:val="005861AF"/>
    <w:rsid w:val="00587232"/>
    <w:rsid w:val="0058726B"/>
    <w:rsid w:val="005873B9"/>
    <w:rsid w:val="005875B7"/>
    <w:rsid w:val="00591068"/>
    <w:rsid w:val="005916D5"/>
    <w:rsid w:val="0059257E"/>
    <w:rsid w:val="0059258F"/>
    <w:rsid w:val="0059351B"/>
    <w:rsid w:val="00593C3F"/>
    <w:rsid w:val="00594E1C"/>
    <w:rsid w:val="005951E6"/>
    <w:rsid w:val="0059581B"/>
    <w:rsid w:val="00595ADF"/>
    <w:rsid w:val="00596ECB"/>
    <w:rsid w:val="00597923"/>
    <w:rsid w:val="005A245E"/>
    <w:rsid w:val="005A27F3"/>
    <w:rsid w:val="005A319B"/>
    <w:rsid w:val="005A33E8"/>
    <w:rsid w:val="005A36ED"/>
    <w:rsid w:val="005A3853"/>
    <w:rsid w:val="005A5876"/>
    <w:rsid w:val="005A61FA"/>
    <w:rsid w:val="005A6DF7"/>
    <w:rsid w:val="005A6EB4"/>
    <w:rsid w:val="005A75AC"/>
    <w:rsid w:val="005A7846"/>
    <w:rsid w:val="005B0480"/>
    <w:rsid w:val="005B0EA0"/>
    <w:rsid w:val="005B10EA"/>
    <w:rsid w:val="005B11B7"/>
    <w:rsid w:val="005B176D"/>
    <w:rsid w:val="005B221B"/>
    <w:rsid w:val="005B2297"/>
    <w:rsid w:val="005B29FA"/>
    <w:rsid w:val="005B3244"/>
    <w:rsid w:val="005B38C4"/>
    <w:rsid w:val="005B4613"/>
    <w:rsid w:val="005B4871"/>
    <w:rsid w:val="005B4E37"/>
    <w:rsid w:val="005B5E5C"/>
    <w:rsid w:val="005B650D"/>
    <w:rsid w:val="005B6B1E"/>
    <w:rsid w:val="005B6CC0"/>
    <w:rsid w:val="005B733C"/>
    <w:rsid w:val="005B75CA"/>
    <w:rsid w:val="005C0A4F"/>
    <w:rsid w:val="005C1910"/>
    <w:rsid w:val="005C2182"/>
    <w:rsid w:val="005C2DA2"/>
    <w:rsid w:val="005C2E30"/>
    <w:rsid w:val="005C2F2B"/>
    <w:rsid w:val="005C2FFE"/>
    <w:rsid w:val="005C323B"/>
    <w:rsid w:val="005C5A07"/>
    <w:rsid w:val="005C5B78"/>
    <w:rsid w:val="005C6273"/>
    <w:rsid w:val="005C6326"/>
    <w:rsid w:val="005C6E7A"/>
    <w:rsid w:val="005C723C"/>
    <w:rsid w:val="005C7309"/>
    <w:rsid w:val="005D0BD0"/>
    <w:rsid w:val="005D1A4C"/>
    <w:rsid w:val="005D1BF3"/>
    <w:rsid w:val="005D22AE"/>
    <w:rsid w:val="005D3075"/>
    <w:rsid w:val="005D377E"/>
    <w:rsid w:val="005D4784"/>
    <w:rsid w:val="005D579C"/>
    <w:rsid w:val="005D79C0"/>
    <w:rsid w:val="005E0D6F"/>
    <w:rsid w:val="005E12C9"/>
    <w:rsid w:val="005E3392"/>
    <w:rsid w:val="005E351D"/>
    <w:rsid w:val="005E3647"/>
    <w:rsid w:val="005E4245"/>
    <w:rsid w:val="005E4C29"/>
    <w:rsid w:val="005E4D1F"/>
    <w:rsid w:val="005E5795"/>
    <w:rsid w:val="005E5BEB"/>
    <w:rsid w:val="005E5DF2"/>
    <w:rsid w:val="005E5E3F"/>
    <w:rsid w:val="005E6323"/>
    <w:rsid w:val="005F1685"/>
    <w:rsid w:val="005F19AE"/>
    <w:rsid w:val="005F19B6"/>
    <w:rsid w:val="005F1E9E"/>
    <w:rsid w:val="005F31C2"/>
    <w:rsid w:val="005F323B"/>
    <w:rsid w:val="005F3FEF"/>
    <w:rsid w:val="005F4165"/>
    <w:rsid w:val="005F469F"/>
    <w:rsid w:val="005F5355"/>
    <w:rsid w:val="005F660B"/>
    <w:rsid w:val="005F6958"/>
    <w:rsid w:val="00600CA2"/>
    <w:rsid w:val="0060202E"/>
    <w:rsid w:val="006023A6"/>
    <w:rsid w:val="00603CD0"/>
    <w:rsid w:val="00603D6F"/>
    <w:rsid w:val="00603F36"/>
    <w:rsid w:val="00604904"/>
    <w:rsid w:val="00606294"/>
    <w:rsid w:val="006063D3"/>
    <w:rsid w:val="006070B7"/>
    <w:rsid w:val="006079EC"/>
    <w:rsid w:val="00607CCC"/>
    <w:rsid w:val="00607E9A"/>
    <w:rsid w:val="00610965"/>
    <w:rsid w:val="006118C0"/>
    <w:rsid w:val="00611AF6"/>
    <w:rsid w:val="00611F10"/>
    <w:rsid w:val="00612B8B"/>
    <w:rsid w:val="00612CFF"/>
    <w:rsid w:val="00612FA8"/>
    <w:rsid w:val="00614017"/>
    <w:rsid w:val="006146A8"/>
    <w:rsid w:val="00615FBC"/>
    <w:rsid w:val="00616738"/>
    <w:rsid w:val="00616B95"/>
    <w:rsid w:val="00617466"/>
    <w:rsid w:val="00617481"/>
    <w:rsid w:val="0061761A"/>
    <w:rsid w:val="00620536"/>
    <w:rsid w:val="00620922"/>
    <w:rsid w:val="00620983"/>
    <w:rsid w:val="00620D08"/>
    <w:rsid w:val="00621C12"/>
    <w:rsid w:val="0062258B"/>
    <w:rsid w:val="00622590"/>
    <w:rsid w:val="00622E15"/>
    <w:rsid w:val="00622F86"/>
    <w:rsid w:val="0062302A"/>
    <w:rsid w:val="006235EA"/>
    <w:rsid w:val="006236E5"/>
    <w:rsid w:val="006241F1"/>
    <w:rsid w:val="00625086"/>
    <w:rsid w:val="00625639"/>
    <w:rsid w:val="006258DA"/>
    <w:rsid w:val="00625FCD"/>
    <w:rsid w:val="00627E74"/>
    <w:rsid w:val="00630377"/>
    <w:rsid w:val="00630A67"/>
    <w:rsid w:val="0063191C"/>
    <w:rsid w:val="00632026"/>
    <w:rsid w:val="006324D1"/>
    <w:rsid w:val="00633603"/>
    <w:rsid w:val="00637435"/>
    <w:rsid w:val="006375C2"/>
    <w:rsid w:val="00637C6F"/>
    <w:rsid w:val="00637D25"/>
    <w:rsid w:val="00640BD9"/>
    <w:rsid w:val="00640F7B"/>
    <w:rsid w:val="006423BA"/>
    <w:rsid w:val="0064275C"/>
    <w:rsid w:val="0064352C"/>
    <w:rsid w:val="0064372C"/>
    <w:rsid w:val="00643743"/>
    <w:rsid w:val="00644233"/>
    <w:rsid w:val="006504CA"/>
    <w:rsid w:val="006507BB"/>
    <w:rsid w:val="00653931"/>
    <w:rsid w:val="00653A09"/>
    <w:rsid w:val="006541F3"/>
    <w:rsid w:val="00654803"/>
    <w:rsid w:val="006556A9"/>
    <w:rsid w:val="00655705"/>
    <w:rsid w:val="006560E6"/>
    <w:rsid w:val="0065646B"/>
    <w:rsid w:val="006564A5"/>
    <w:rsid w:val="00656904"/>
    <w:rsid w:val="00656D51"/>
    <w:rsid w:val="00657EFA"/>
    <w:rsid w:val="00657FE5"/>
    <w:rsid w:val="00660BCF"/>
    <w:rsid w:val="00661846"/>
    <w:rsid w:val="006627EB"/>
    <w:rsid w:val="00663F80"/>
    <w:rsid w:val="00665793"/>
    <w:rsid w:val="00665D7C"/>
    <w:rsid w:val="0066603E"/>
    <w:rsid w:val="00666B92"/>
    <w:rsid w:val="006673FE"/>
    <w:rsid w:val="0066746A"/>
    <w:rsid w:val="0066784B"/>
    <w:rsid w:val="00667ED4"/>
    <w:rsid w:val="00667F22"/>
    <w:rsid w:val="0067086C"/>
    <w:rsid w:val="00670AE9"/>
    <w:rsid w:val="0067304E"/>
    <w:rsid w:val="00673C71"/>
    <w:rsid w:val="006742E4"/>
    <w:rsid w:val="00674D57"/>
    <w:rsid w:val="006760EA"/>
    <w:rsid w:val="00677AC9"/>
    <w:rsid w:val="00677E1B"/>
    <w:rsid w:val="00680D7C"/>
    <w:rsid w:val="00680E89"/>
    <w:rsid w:val="0068127A"/>
    <w:rsid w:val="006822C3"/>
    <w:rsid w:val="00683029"/>
    <w:rsid w:val="0068321E"/>
    <w:rsid w:val="006832FA"/>
    <w:rsid w:val="00683828"/>
    <w:rsid w:val="00683950"/>
    <w:rsid w:val="00683E2F"/>
    <w:rsid w:val="00683EAE"/>
    <w:rsid w:val="00684A72"/>
    <w:rsid w:val="00685B76"/>
    <w:rsid w:val="00686451"/>
    <w:rsid w:val="0068696C"/>
    <w:rsid w:val="00686D59"/>
    <w:rsid w:val="00687818"/>
    <w:rsid w:val="00687889"/>
    <w:rsid w:val="006907D5"/>
    <w:rsid w:val="006907FD"/>
    <w:rsid w:val="00690F02"/>
    <w:rsid w:val="00692145"/>
    <w:rsid w:val="00692CB1"/>
    <w:rsid w:val="006938C2"/>
    <w:rsid w:val="00693926"/>
    <w:rsid w:val="00694703"/>
    <w:rsid w:val="00694D94"/>
    <w:rsid w:val="00695DEB"/>
    <w:rsid w:val="00696303"/>
    <w:rsid w:val="00696780"/>
    <w:rsid w:val="006967DE"/>
    <w:rsid w:val="00697496"/>
    <w:rsid w:val="006A0297"/>
    <w:rsid w:val="006A049D"/>
    <w:rsid w:val="006A0F16"/>
    <w:rsid w:val="006A1944"/>
    <w:rsid w:val="006A219C"/>
    <w:rsid w:val="006A6FCD"/>
    <w:rsid w:val="006B08DA"/>
    <w:rsid w:val="006B0C43"/>
    <w:rsid w:val="006B0F12"/>
    <w:rsid w:val="006B1079"/>
    <w:rsid w:val="006B1D6A"/>
    <w:rsid w:val="006B1F36"/>
    <w:rsid w:val="006B36FE"/>
    <w:rsid w:val="006B3812"/>
    <w:rsid w:val="006B3BE5"/>
    <w:rsid w:val="006B443B"/>
    <w:rsid w:val="006B47CC"/>
    <w:rsid w:val="006B4AED"/>
    <w:rsid w:val="006B4F11"/>
    <w:rsid w:val="006B516B"/>
    <w:rsid w:val="006B54DA"/>
    <w:rsid w:val="006B6291"/>
    <w:rsid w:val="006B684D"/>
    <w:rsid w:val="006B7A43"/>
    <w:rsid w:val="006B7CF6"/>
    <w:rsid w:val="006B7D4F"/>
    <w:rsid w:val="006C0725"/>
    <w:rsid w:val="006C0D9D"/>
    <w:rsid w:val="006C12CE"/>
    <w:rsid w:val="006C194A"/>
    <w:rsid w:val="006C1A93"/>
    <w:rsid w:val="006C1ABE"/>
    <w:rsid w:val="006C2048"/>
    <w:rsid w:val="006C2C8B"/>
    <w:rsid w:val="006C2DC8"/>
    <w:rsid w:val="006C304E"/>
    <w:rsid w:val="006C4081"/>
    <w:rsid w:val="006C4218"/>
    <w:rsid w:val="006C4422"/>
    <w:rsid w:val="006C4B46"/>
    <w:rsid w:val="006C4FD3"/>
    <w:rsid w:val="006C564C"/>
    <w:rsid w:val="006C5F48"/>
    <w:rsid w:val="006C6330"/>
    <w:rsid w:val="006C6F8A"/>
    <w:rsid w:val="006D0192"/>
    <w:rsid w:val="006D03D7"/>
    <w:rsid w:val="006D122E"/>
    <w:rsid w:val="006D1681"/>
    <w:rsid w:val="006D236A"/>
    <w:rsid w:val="006D2FD2"/>
    <w:rsid w:val="006D5F8C"/>
    <w:rsid w:val="006D6186"/>
    <w:rsid w:val="006D6325"/>
    <w:rsid w:val="006D7103"/>
    <w:rsid w:val="006D77B5"/>
    <w:rsid w:val="006D7823"/>
    <w:rsid w:val="006E031B"/>
    <w:rsid w:val="006E0674"/>
    <w:rsid w:val="006E0ECD"/>
    <w:rsid w:val="006E0FC2"/>
    <w:rsid w:val="006E1296"/>
    <w:rsid w:val="006E190B"/>
    <w:rsid w:val="006E1B0B"/>
    <w:rsid w:val="006E2E8F"/>
    <w:rsid w:val="006E2F17"/>
    <w:rsid w:val="006E3D6A"/>
    <w:rsid w:val="006E42A2"/>
    <w:rsid w:val="006E4C0B"/>
    <w:rsid w:val="006E50C6"/>
    <w:rsid w:val="006E5827"/>
    <w:rsid w:val="006E5FCC"/>
    <w:rsid w:val="006E6AB1"/>
    <w:rsid w:val="006E6E8E"/>
    <w:rsid w:val="006E722C"/>
    <w:rsid w:val="006E7354"/>
    <w:rsid w:val="006E73DA"/>
    <w:rsid w:val="006F07E3"/>
    <w:rsid w:val="006F0B2C"/>
    <w:rsid w:val="006F0CCE"/>
    <w:rsid w:val="006F120D"/>
    <w:rsid w:val="006F318E"/>
    <w:rsid w:val="006F33F0"/>
    <w:rsid w:val="006F3CC2"/>
    <w:rsid w:val="006F558D"/>
    <w:rsid w:val="006F6D26"/>
    <w:rsid w:val="006F70E6"/>
    <w:rsid w:val="006F73AF"/>
    <w:rsid w:val="007001DD"/>
    <w:rsid w:val="007015FB"/>
    <w:rsid w:val="00701B19"/>
    <w:rsid w:val="00701E58"/>
    <w:rsid w:val="0070291A"/>
    <w:rsid w:val="0070366F"/>
    <w:rsid w:val="00703898"/>
    <w:rsid w:val="00703913"/>
    <w:rsid w:val="007043C7"/>
    <w:rsid w:val="00705C40"/>
    <w:rsid w:val="007076A4"/>
    <w:rsid w:val="0070795F"/>
    <w:rsid w:val="007079A0"/>
    <w:rsid w:val="00707E6B"/>
    <w:rsid w:val="00710A30"/>
    <w:rsid w:val="00710D1C"/>
    <w:rsid w:val="00711887"/>
    <w:rsid w:val="00712557"/>
    <w:rsid w:val="00712831"/>
    <w:rsid w:val="00712F78"/>
    <w:rsid w:val="00713F7D"/>
    <w:rsid w:val="00713FEC"/>
    <w:rsid w:val="007140F8"/>
    <w:rsid w:val="00714255"/>
    <w:rsid w:val="00715BD7"/>
    <w:rsid w:val="00715E1B"/>
    <w:rsid w:val="007164B0"/>
    <w:rsid w:val="0071688C"/>
    <w:rsid w:val="007177A8"/>
    <w:rsid w:val="007179B6"/>
    <w:rsid w:val="00717CBB"/>
    <w:rsid w:val="00717F80"/>
    <w:rsid w:val="0072145C"/>
    <w:rsid w:val="007219C8"/>
    <w:rsid w:val="007231C9"/>
    <w:rsid w:val="00723328"/>
    <w:rsid w:val="00723A8C"/>
    <w:rsid w:val="00723F70"/>
    <w:rsid w:val="007250F1"/>
    <w:rsid w:val="00725168"/>
    <w:rsid w:val="00725E80"/>
    <w:rsid w:val="00726AF1"/>
    <w:rsid w:val="007273ED"/>
    <w:rsid w:val="00727D36"/>
    <w:rsid w:val="007304F1"/>
    <w:rsid w:val="00730767"/>
    <w:rsid w:val="00732439"/>
    <w:rsid w:val="0073390D"/>
    <w:rsid w:val="0073501D"/>
    <w:rsid w:val="00736AE6"/>
    <w:rsid w:val="00736CC3"/>
    <w:rsid w:val="0073701B"/>
    <w:rsid w:val="007408FA"/>
    <w:rsid w:val="007419EF"/>
    <w:rsid w:val="00741F1B"/>
    <w:rsid w:val="007423A4"/>
    <w:rsid w:val="007424A1"/>
    <w:rsid w:val="0074252F"/>
    <w:rsid w:val="00742573"/>
    <w:rsid w:val="007426B7"/>
    <w:rsid w:val="00742DC6"/>
    <w:rsid w:val="00743861"/>
    <w:rsid w:val="007446E9"/>
    <w:rsid w:val="00744F3D"/>
    <w:rsid w:val="00745396"/>
    <w:rsid w:val="00745764"/>
    <w:rsid w:val="007465E3"/>
    <w:rsid w:val="00750D9E"/>
    <w:rsid w:val="007519DC"/>
    <w:rsid w:val="00752005"/>
    <w:rsid w:val="007535AC"/>
    <w:rsid w:val="00753AFD"/>
    <w:rsid w:val="00754850"/>
    <w:rsid w:val="00754E23"/>
    <w:rsid w:val="007551B3"/>
    <w:rsid w:val="0075549C"/>
    <w:rsid w:val="007557A6"/>
    <w:rsid w:val="00755A25"/>
    <w:rsid w:val="007567A7"/>
    <w:rsid w:val="00756A32"/>
    <w:rsid w:val="00756E13"/>
    <w:rsid w:val="00757129"/>
    <w:rsid w:val="007572E3"/>
    <w:rsid w:val="00757AC8"/>
    <w:rsid w:val="00757F22"/>
    <w:rsid w:val="007629B1"/>
    <w:rsid w:val="00762B9A"/>
    <w:rsid w:val="007638B3"/>
    <w:rsid w:val="00764919"/>
    <w:rsid w:val="00764F3C"/>
    <w:rsid w:val="0076505D"/>
    <w:rsid w:val="00765693"/>
    <w:rsid w:val="007658CE"/>
    <w:rsid w:val="00765A17"/>
    <w:rsid w:val="00766578"/>
    <w:rsid w:val="0076693A"/>
    <w:rsid w:val="00766C07"/>
    <w:rsid w:val="00767570"/>
    <w:rsid w:val="00767D84"/>
    <w:rsid w:val="00771F61"/>
    <w:rsid w:val="00771FB1"/>
    <w:rsid w:val="007738D1"/>
    <w:rsid w:val="00773BED"/>
    <w:rsid w:val="00773C35"/>
    <w:rsid w:val="00773E4D"/>
    <w:rsid w:val="00774627"/>
    <w:rsid w:val="00774665"/>
    <w:rsid w:val="00774EBB"/>
    <w:rsid w:val="00775450"/>
    <w:rsid w:val="007756F2"/>
    <w:rsid w:val="00775D87"/>
    <w:rsid w:val="00776907"/>
    <w:rsid w:val="00776D2C"/>
    <w:rsid w:val="00776D93"/>
    <w:rsid w:val="007779E0"/>
    <w:rsid w:val="0078087E"/>
    <w:rsid w:val="00780E10"/>
    <w:rsid w:val="00781259"/>
    <w:rsid w:val="00782ED4"/>
    <w:rsid w:val="00783AE0"/>
    <w:rsid w:val="00783F15"/>
    <w:rsid w:val="00784198"/>
    <w:rsid w:val="007859DD"/>
    <w:rsid w:val="0078637D"/>
    <w:rsid w:val="00787023"/>
    <w:rsid w:val="00787296"/>
    <w:rsid w:val="00787908"/>
    <w:rsid w:val="0079094B"/>
    <w:rsid w:val="00790E0D"/>
    <w:rsid w:val="0079116C"/>
    <w:rsid w:val="007921ED"/>
    <w:rsid w:val="00792DAF"/>
    <w:rsid w:val="00793654"/>
    <w:rsid w:val="007936C4"/>
    <w:rsid w:val="00793D95"/>
    <w:rsid w:val="00794AD7"/>
    <w:rsid w:val="00794BCC"/>
    <w:rsid w:val="00794C37"/>
    <w:rsid w:val="007952D9"/>
    <w:rsid w:val="00795FF7"/>
    <w:rsid w:val="00796013"/>
    <w:rsid w:val="00797BCE"/>
    <w:rsid w:val="007A037D"/>
    <w:rsid w:val="007A04B6"/>
    <w:rsid w:val="007A0A2D"/>
    <w:rsid w:val="007A0C4F"/>
    <w:rsid w:val="007A16CE"/>
    <w:rsid w:val="007A1E90"/>
    <w:rsid w:val="007A2CFA"/>
    <w:rsid w:val="007A2F2F"/>
    <w:rsid w:val="007A3F79"/>
    <w:rsid w:val="007A40A0"/>
    <w:rsid w:val="007A46DB"/>
    <w:rsid w:val="007A4A6D"/>
    <w:rsid w:val="007A4A89"/>
    <w:rsid w:val="007A4B46"/>
    <w:rsid w:val="007A57EC"/>
    <w:rsid w:val="007A6B31"/>
    <w:rsid w:val="007A6EFB"/>
    <w:rsid w:val="007A77D7"/>
    <w:rsid w:val="007A7994"/>
    <w:rsid w:val="007B0B6B"/>
    <w:rsid w:val="007B2613"/>
    <w:rsid w:val="007B3331"/>
    <w:rsid w:val="007B351B"/>
    <w:rsid w:val="007B40E6"/>
    <w:rsid w:val="007B4274"/>
    <w:rsid w:val="007B4520"/>
    <w:rsid w:val="007B47F2"/>
    <w:rsid w:val="007B480D"/>
    <w:rsid w:val="007B4CE3"/>
    <w:rsid w:val="007B5704"/>
    <w:rsid w:val="007B6CE3"/>
    <w:rsid w:val="007B6FBD"/>
    <w:rsid w:val="007B7E64"/>
    <w:rsid w:val="007C03CB"/>
    <w:rsid w:val="007C0E6B"/>
    <w:rsid w:val="007C1A39"/>
    <w:rsid w:val="007C231A"/>
    <w:rsid w:val="007C2F6A"/>
    <w:rsid w:val="007C2FA5"/>
    <w:rsid w:val="007C3380"/>
    <w:rsid w:val="007C3916"/>
    <w:rsid w:val="007C4490"/>
    <w:rsid w:val="007C4C23"/>
    <w:rsid w:val="007C6E64"/>
    <w:rsid w:val="007C73F4"/>
    <w:rsid w:val="007C7A1E"/>
    <w:rsid w:val="007D0578"/>
    <w:rsid w:val="007D0F35"/>
    <w:rsid w:val="007D1B88"/>
    <w:rsid w:val="007D1D96"/>
    <w:rsid w:val="007D2073"/>
    <w:rsid w:val="007D3737"/>
    <w:rsid w:val="007D37E9"/>
    <w:rsid w:val="007D3C81"/>
    <w:rsid w:val="007D4E49"/>
    <w:rsid w:val="007D549E"/>
    <w:rsid w:val="007D569E"/>
    <w:rsid w:val="007D68E7"/>
    <w:rsid w:val="007D6BB8"/>
    <w:rsid w:val="007D7B88"/>
    <w:rsid w:val="007D7E10"/>
    <w:rsid w:val="007E01DC"/>
    <w:rsid w:val="007E0201"/>
    <w:rsid w:val="007E0C54"/>
    <w:rsid w:val="007E26C6"/>
    <w:rsid w:val="007E2F80"/>
    <w:rsid w:val="007E3B88"/>
    <w:rsid w:val="007E402D"/>
    <w:rsid w:val="007E4855"/>
    <w:rsid w:val="007E6722"/>
    <w:rsid w:val="007E6C5A"/>
    <w:rsid w:val="007E75E8"/>
    <w:rsid w:val="007F01FA"/>
    <w:rsid w:val="007F0E80"/>
    <w:rsid w:val="007F11C6"/>
    <w:rsid w:val="007F14CC"/>
    <w:rsid w:val="007F37DF"/>
    <w:rsid w:val="007F3F84"/>
    <w:rsid w:val="007F5738"/>
    <w:rsid w:val="007F69C2"/>
    <w:rsid w:val="007F7B97"/>
    <w:rsid w:val="007F7BCF"/>
    <w:rsid w:val="007F7D7D"/>
    <w:rsid w:val="00800215"/>
    <w:rsid w:val="00802FDD"/>
    <w:rsid w:val="00803768"/>
    <w:rsid w:val="0080491E"/>
    <w:rsid w:val="0080510A"/>
    <w:rsid w:val="00805223"/>
    <w:rsid w:val="00806419"/>
    <w:rsid w:val="00806CD5"/>
    <w:rsid w:val="00807AC3"/>
    <w:rsid w:val="00810073"/>
    <w:rsid w:val="008101B9"/>
    <w:rsid w:val="00810347"/>
    <w:rsid w:val="0081056D"/>
    <w:rsid w:val="00810A92"/>
    <w:rsid w:val="008110BB"/>
    <w:rsid w:val="00811371"/>
    <w:rsid w:val="008117C3"/>
    <w:rsid w:val="00811D46"/>
    <w:rsid w:val="00811F63"/>
    <w:rsid w:val="0081335D"/>
    <w:rsid w:val="00813E32"/>
    <w:rsid w:val="008147F8"/>
    <w:rsid w:val="00814BF4"/>
    <w:rsid w:val="00816112"/>
    <w:rsid w:val="00816302"/>
    <w:rsid w:val="00816344"/>
    <w:rsid w:val="00816470"/>
    <w:rsid w:val="00816666"/>
    <w:rsid w:val="008166BC"/>
    <w:rsid w:val="00817D96"/>
    <w:rsid w:val="008204A8"/>
    <w:rsid w:val="008207D4"/>
    <w:rsid w:val="00820858"/>
    <w:rsid w:val="008224F4"/>
    <w:rsid w:val="0082282A"/>
    <w:rsid w:val="008233D6"/>
    <w:rsid w:val="00824565"/>
    <w:rsid w:val="00825AB6"/>
    <w:rsid w:val="0082646A"/>
    <w:rsid w:val="00826AFF"/>
    <w:rsid w:val="00827A4F"/>
    <w:rsid w:val="00827B43"/>
    <w:rsid w:val="008303AE"/>
    <w:rsid w:val="008303E6"/>
    <w:rsid w:val="0083158F"/>
    <w:rsid w:val="00831AAC"/>
    <w:rsid w:val="00832676"/>
    <w:rsid w:val="00832F04"/>
    <w:rsid w:val="0083322E"/>
    <w:rsid w:val="00833762"/>
    <w:rsid w:val="008339D6"/>
    <w:rsid w:val="00833E89"/>
    <w:rsid w:val="00833E9D"/>
    <w:rsid w:val="00835259"/>
    <w:rsid w:val="00836679"/>
    <w:rsid w:val="00836691"/>
    <w:rsid w:val="00836946"/>
    <w:rsid w:val="00836C96"/>
    <w:rsid w:val="0083725C"/>
    <w:rsid w:val="00837500"/>
    <w:rsid w:val="00837B40"/>
    <w:rsid w:val="00837EBA"/>
    <w:rsid w:val="00840B5B"/>
    <w:rsid w:val="00841363"/>
    <w:rsid w:val="0084171F"/>
    <w:rsid w:val="00841994"/>
    <w:rsid w:val="00842E67"/>
    <w:rsid w:val="0084507E"/>
    <w:rsid w:val="00845F06"/>
    <w:rsid w:val="0084617B"/>
    <w:rsid w:val="00846C70"/>
    <w:rsid w:val="00847297"/>
    <w:rsid w:val="0085015B"/>
    <w:rsid w:val="0085020D"/>
    <w:rsid w:val="00851095"/>
    <w:rsid w:val="00851E44"/>
    <w:rsid w:val="0085207C"/>
    <w:rsid w:val="0085217F"/>
    <w:rsid w:val="00853301"/>
    <w:rsid w:val="00853B2A"/>
    <w:rsid w:val="008543F9"/>
    <w:rsid w:val="00854EEC"/>
    <w:rsid w:val="008570E0"/>
    <w:rsid w:val="00860F3E"/>
    <w:rsid w:val="00861142"/>
    <w:rsid w:val="00861761"/>
    <w:rsid w:val="0086283D"/>
    <w:rsid w:val="00863F54"/>
    <w:rsid w:val="00863FBF"/>
    <w:rsid w:val="0086571C"/>
    <w:rsid w:val="00865B82"/>
    <w:rsid w:val="00866043"/>
    <w:rsid w:val="0087043C"/>
    <w:rsid w:val="00871A00"/>
    <w:rsid w:val="00871F4F"/>
    <w:rsid w:val="00873320"/>
    <w:rsid w:val="008733F0"/>
    <w:rsid w:val="00873866"/>
    <w:rsid w:val="0087418B"/>
    <w:rsid w:val="00874368"/>
    <w:rsid w:val="00874A16"/>
    <w:rsid w:val="008805FB"/>
    <w:rsid w:val="00880B43"/>
    <w:rsid w:val="00880C41"/>
    <w:rsid w:val="00880C63"/>
    <w:rsid w:val="00880CD6"/>
    <w:rsid w:val="00881249"/>
    <w:rsid w:val="008813B4"/>
    <w:rsid w:val="008825FB"/>
    <w:rsid w:val="00882C0D"/>
    <w:rsid w:val="00883D8A"/>
    <w:rsid w:val="0088411B"/>
    <w:rsid w:val="00884489"/>
    <w:rsid w:val="0088511A"/>
    <w:rsid w:val="00885306"/>
    <w:rsid w:val="00885488"/>
    <w:rsid w:val="00885EC4"/>
    <w:rsid w:val="00886220"/>
    <w:rsid w:val="00886D51"/>
    <w:rsid w:val="00887F02"/>
    <w:rsid w:val="008903B3"/>
    <w:rsid w:val="0089047A"/>
    <w:rsid w:val="00891317"/>
    <w:rsid w:val="00891C30"/>
    <w:rsid w:val="00891D56"/>
    <w:rsid w:val="0089229E"/>
    <w:rsid w:val="0089237F"/>
    <w:rsid w:val="00892A2F"/>
    <w:rsid w:val="00893658"/>
    <w:rsid w:val="008939C1"/>
    <w:rsid w:val="00894835"/>
    <w:rsid w:val="0089508F"/>
    <w:rsid w:val="00895AE6"/>
    <w:rsid w:val="00895D91"/>
    <w:rsid w:val="008962B2"/>
    <w:rsid w:val="00897E40"/>
    <w:rsid w:val="008A0394"/>
    <w:rsid w:val="008A08AD"/>
    <w:rsid w:val="008A0B31"/>
    <w:rsid w:val="008A0E45"/>
    <w:rsid w:val="008A141D"/>
    <w:rsid w:val="008A21F6"/>
    <w:rsid w:val="008A3D98"/>
    <w:rsid w:val="008A44FD"/>
    <w:rsid w:val="008A4F39"/>
    <w:rsid w:val="008A6091"/>
    <w:rsid w:val="008A6652"/>
    <w:rsid w:val="008A6A41"/>
    <w:rsid w:val="008B0C80"/>
    <w:rsid w:val="008B2060"/>
    <w:rsid w:val="008B2106"/>
    <w:rsid w:val="008B2449"/>
    <w:rsid w:val="008B3224"/>
    <w:rsid w:val="008B3F19"/>
    <w:rsid w:val="008B3FBB"/>
    <w:rsid w:val="008B46B3"/>
    <w:rsid w:val="008B46CF"/>
    <w:rsid w:val="008B6397"/>
    <w:rsid w:val="008B656D"/>
    <w:rsid w:val="008B669A"/>
    <w:rsid w:val="008B6EC1"/>
    <w:rsid w:val="008B77C5"/>
    <w:rsid w:val="008B7FEC"/>
    <w:rsid w:val="008C02D9"/>
    <w:rsid w:val="008C030F"/>
    <w:rsid w:val="008C033E"/>
    <w:rsid w:val="008C08A4"/>
    <w:rsid w:val="008C1E35"/>
    <w:rsid w:val="008C1F72"/>
    <w:rsid w:val="008C384F"/>
    <w:rsid w:val="008C3E59"/>
    <w:rsid w:val="008C4040"/>
    <w:rsid w:val="008C5496"/>
    <w:rsid w:val="008C6629"/>
    <w:rsid w:val="008C68AC"/>
    <w:rsid w:val="008C751A"/>
    <w:rsid w:val="008C7615"/>
    <w:rsid w:val="008C78AC"/>
    <w:rsid w:val="008C7DE2"/>
    <w:rsid w:val="008D1025"/>
    <w:rsid w:val="008D1238"/>
    <w:rsid w:val="008D157D"/>
    <w:rsid w:val="008D1B8D"/>
    <w:rsid w:val="008D2ADE"/>
    <w:rsid w:val="008D2D3A"/>
    <w:rsid w:val="008D3354"/>
    <w:rsid w:val="008D34E0"/>
    <w:rsid w:val="008D3514"/>
    <w:rsid w:val="008D3A71"/>
    <w:rsid w:val="008D3C37"/>
    <w:rsid w:val="008D50EC"/>
    <w:rsid w:val="008D5C1D"/>
    <w:rsid w:val="008D5D8D"/>
    <w:rsid w:val="008D6252"/>
    <w:rsid w:val="008D6871"/>
    <w:rsid w:val="008D6EAB"/>
    <w:rsid w:val="008D72EF"/>
    <w:rsid w:val="008D7658"/>
    <w:rsid w:val="008E0403"/>
    <w:rsid w:val="008E0A3B"/>
    <w:rsid w:val="008E0AD3"/>
    <w:rsid w:val="008E14F0"/>
    <w:rsid w:val="008E1809"/>
    <w:rsid w:val="008E185B"/>
    <w:rsid w:val="008E1D46"/>
    <w:rsid w:val="008E2079"/>
    <w:rsid w:val="008E208D"/>
    <w:rsid w:val="008E26C7"/>
    <w:rsid w:val="008E31C0"/>
    <w:rsid w:val="008E4DFC"/>
    <w:rsid w:val="008E5B54"/>
    <w:rsid w:val="008E6EA6"/>
    <w:rsid w:val="008E7D21"/>
    <w:rsid w:val="008E7EEF"/>
    <w:rsid w:val="008F0E17"/>
    <w:rsid w:val="008F0F0A"/>
    <w:rsid w:val="008F1674"/>
    <w:rsid w:val="008F2B0F"/>
    <w:rsid w:val="008F2D08"/>
    <w:rsid w:val="008F306A"/>
    <w:rsid w:val="008F34F1"/>
    <w:rsid w:val="008F37BD"/>
    <w:rsid w:val="008F3B3A"/>
    <w:rsid w:val="008F41C4"/>
    <w:rsid w:val="008F430F"/>
    <w:rsid w:val="008F5023"/>
    <w:rsid w:val="008F5BF6"/>
    <w:rsid w:val="008F60BE"/>
    <w:rsid w:val="008F741C"/>
    <w:rsid w:val="008F7536"/>
    <w:rsid w:val="00900C0B"/>
    <w:rsid w:val="00900C97"/>
    <w:rsid w:val="00900C9E"/>
    <w:rsid w:val="00900F6E"/>
    <w:rsid w:val="0090151C"/>
    <w:rsid w:val="009023CA"/>
    <w:rsid w:val="00902546"/>
    <w:rsid w:val="0090290E"/>
    <w:rsid w:val="009031B4"/>
    <w:rsid w:val="00903F73"/>
    <w:rsid w:val="00904314"/>
    <w:rsid w:val="009049FE"/>
    <w:rsid w:val="00905843"/>
    <w:rsid w:val="00905AA6"/>
    <w:rsid w:val="00905B38"/>
    <w:rsid w:val="00905EA3"/>
    <w:rsid w:val="00906069"/>
    <w:rsid w:val="00907164"/>
    <w:rsid w:val="0090777D"/>
    <w:rsid w:val="00910581"/>
    <w:rsid w:val="00910C66"/>
    <w:rsid w:val="00910FCD"/>
    <w:rsid w:val="00912857"/>
    <w:rsid w:val="00912BB5"/>
    <w:rsid w:val="0091520F"/>
    <w:rsid w:val="0091568B"/>
    <w:rsid w:val="009159C5"/>
    <w:rsid w:val="00916498"/>
    <w:rsid w:val="009164CF"/>
    <w:rsid w:val="00917508"/>
    <w:rsid w:val="00917608"/>
    <w:rsid w:val="00917BBC"/>
    <w:rsid w:val="009202B3"/>
    <w:rsid w:val="0092124D"/>
    <w:rsid w:val="00921808"/>
    <w:rsid w:val="00922888"/>
    <w:rsid w:val="00923716"/>
    <w:rsid w:val="0092444D"/>
    <w:rsid w:val="00924540"/>
    <w:rsid w:val="00925685"/>
    <w:rsid w:val="0092659A"/>
    <w:rsid w:val="00930BEF"/>
    <w:rsid w:val="00930C34"/>
    <w:rsid w:val="00930D4E"/>
    <w:rsid w:val="00933186"/>
    <w:rsid w:val="0093346B"/>
    <w:rsid w:val="00933BC1"/>
    <w:rsid w:val="00933BF9"/>
    <w:rsid w:val="009345F0"/>
    <w:rsid w:val="00935C29"/>
    <w:rsid w:val="009401B2"/>
    <w:rsid w:val="0094061C"/>
    <w:rsid w:val="00940764"/>
    <w:rsid w:val="00940861"/>
    <w:rsid w:val="00940BC6"/>
    <w:rsid w:val="00940F00"/>
    <w:rsid w:val="009412D5"/>
    <w:rsid w:val="00941A83"/>
    <w:rsid w:val="00941B2E"/>
    <w:rsid w:val="00941EAB"/>
    <w:rsid w:val="0094202F"/>
    <w:rsid w:val="00942096"/>
    <w:rsid w:val="0094302C"/>
    <w:rsid w:val="0094406C"/>
    <w:rsid w:val="009446B8"/>
    <w:rsid w:val="00944759"/>
    <w:rsid w:val="009450F1"/>
    <w:rsid w:val="009453DF"/>
    <w:rsid w:val="00945A40"/>
    <w:rsid w:val="00946335"/>
    <w:rsid w:val="00946C9B"/>
    <w:rsid w:val="00947A24"/>
    <w:rsid w:val="009502A5"/>
    <w:rsid w:val="00950A71"/>
    <w:rsid w:val="00950BB7"/>
    <w:rsid w:val="00950D0A"/>
    <w:rsid w:val="00950E62"/>
    <w:rsid w:val="009510EE"/>
    <w:rsid w:val="00951824"/>
    <w:rsid w:val="0095280E"/>
    <w:rsid w:val="009536DB"/>
    <w:rsid w:val="009536FC"/>
    <w:rsid w:val="00953AAB"/>
    <w:rsid w:val="00953C7F"/>
    <w:rsid w:val="009541C7"/>
    <w:rsid w:val="0095527A"/>
    <w:rsid w:val="009559D3"/>
    <w:rsid w:val="00955CE4"/>
    <w:rsid w:val="009567D7"/>
    <w:rsid w:val="00956847"/>
    <w:rsid w:val="009602C8"/>
    <w:rsid w:val="00960645"/>
    <w:rsid w:val="00960EB7"/>
    <w:rsid w:val="00960FF4"/>
    <w:rsid w:val="00961162"/>
    <w:rsid w:val="0096135E"/>
    <w:rsid w:val="009622EF"/>
    <w:rsid w:val="00962EB2"/>
    <w:rsid w:val="00963286"/>
    <w:rsid w:val="00965E2F"/>
    <w:rsid w:val="00965F35"/>
    <w:rsid w:val="00966001"/>
    <w:rsid w:val="00967275"/>
    <w:rsid w:val="00970248"/>
    <w:rsid w:val="00970E9E"/>
    <w:rsid w:val="0097193C"/>
    <w:rsid w:val="00971B49"/>
    <w:rsid w:val="00972CA7"/>
    <w:rsid w:val="009730EB"/>
    <w:rsid w:val="009732EB"/>
    <w:rsid w:val="00973724"/>
    <w:rsid w:val="00973B78"/>
    <w:rsid w:val="00973F65"/>
    <w:rsid w:val="00973F73"/>
    <w:rsid w:val="00974D2D"/>
    <w:rsid w:val="009750E9"/>
    <w:rsid w:val="00975537"/>
    <w:rsid w:val="00975F0D"/>
    <w:rsid w:val="00976583"/>
    <w:rsid w:val="00976C52"/>
    <w:rsid w:val="00976F13"/>
    <w:rsid w:val="00976F9A"/>
    <w:rsid w:val="009779C8"/>
    <w:rsid w:val="00980CF6"/>
    <w:rsid w:val="00981335"/>
    <w:rsid w:val="00981521"/>
    <w:rsid w:val="00981B5E"/>
    <w:rsid w:val="009828B2"/>
    <w:rsid w:val="0098298D"/>
    <w:rsid w:val="0098333D"/>
    <w:rsid w:val="00984079"/>
    <w:rsid w:val="00984638"/>
    <w:rsid w:val="00985A5F"/>
    <w:rsid w:val="00985F70"/>
    <w:rsid w:val="0098622B"/>
    <w:rsid w:val="00986F2C"/>
    <w:rsid w:val="00987556"/>
    <w:rsid w:val="0098763D"/>
    <w:rsid w:val="009876BB"/>
    <w:rsid w:val="00990FEC"/>
    <w:rsid w:val="00991788"/>
    <w:rsid w:val="00991935"/>
    <w:rsid w:val="00991BC3"/>
    <w:rsid w:val="00991EFA"/>
    <w:rsid w:val="00992D1F"/>
    <w:rsid w:val="00993269"/>
    <w:rsid w:val="00993493"/>
    <w:rsid w:val="009936A6"/>
    <w:rsid w:val="00993A3A"/>
    <w:rsid w:val="009943FA"/>
    <w:rsid w:val="00994968"/>
    <w:rsid w:val="00994FBF"/>
    <w:rsid w:val="00996A7D"/>
    <w:rsid w:val="009976D3"/>
    <w:rsid w:val="00997E6E"/>
    <w:rsid w:val="009A0F96"/>
    <w:rsid w:val="009A1B8F"/>
    <w:rsid w:val="009A1D1B"/>
    <w:rsid w:val="009A1ECA"/>
    <w:rsid w:val="009A2828"/>
    <w:rsid w:val="009A34F6"/>
    <w:rsid w:val="009A3664"/>
    <w:rsid w:val="009A37A5"/>
    <w:rsid w:val="009A5C25"/>
    <w:rsid w:val="009A5E9C"/>
    <w:rsid w:val="009A6282"/>
    <w:rsid w:val="009A7B18"/>
    <w:rsid w:val="009B0308"/>
    <w:rsid w:val="009B0F27"/>
    <w:rsid w:val="009B1141"/>
    <w:rsid w:val="009B1348"/>
    <w:rsid w:val="009B195C"/>
    <w:rsid w:val="009B1D93"/>
    <w:rsid w:val="009B25E9"/>
    <w:rsid w:val="009B321D"/>
    <w:rsid w:val="009B4B0B"/>
    <w:rsid w:val="009B4F26"/>
    <w:rsid w:val="009B5718"/>
    <w:rsid w:val="009B5E24"/>
    <w:rsid w:val="009B5F37"/>
    <w:rsid w:val="009B6263"/>
    <w:rsid w:val="009B7144"/>
    <w:rsid w:val="009B71D7"/>
    <w:rsid w:val="009B7592"/>
    <w:rsid w:val="009C02B0"/>
    <w:rsid w:val="009C0414"/>
    <w:rsid w:val="009C1619"/>
    <w:rsid w:val="009C18CD"/>
    <w:rsid w:val="009C253B"/>
    <w:rsid w:val="009C2662"/>
    <w:rsid w:val="009C2C7F"/>
    <w:rsid w:val="009C2EF0"/>
    <w:rsid w:val="009C312E"/>
    <w:rsid w:val="009C36D3"/>
    <w:rsid w:val="009C3808"/>
    <w:rsid w:val="009C38B9"/>
    <w:rsid w:val="009C3ADB"/>
    <w:rsid w:val="009C4068"/>
    <w:rsid w:val="009C5D3A"/>
    <w:rsid w:val="009C694F"/>
    <w:rsid w:val="009C6D40"/>
    <w:rsid w:val="009D1560"/>
    <w:rsid w:val="009D1691"/>
    <w:rsid w:val="009D1B4F"/>
    <w:rsid w:val="009D2326"/>
    <w:rsid w:val="009D2840"/>
    <w:rsid w:val="009D2949"/>
    <w:rsid w:val="009D3A84"/>
    <w:rsid w:val="009D4C98"/>
    <w:rsid w:val="009D4D7E"/>
    <w:rsid w:val="009D5793"/>
    <w:rsid w:val="009D57E3"/>
    <w:rsid w:val="009D5F2D"/>
    <w:rsid w:val="009D6BD7"/>
    <w:rsid w:val="009D7AF6"/>
    <w:rsid w:val="009E0A03"/>
    <w:rsid w:val="009E1409"/>
    <w:rsid w:val="009E3A52"/>
    <w:rsid w:val="009E42D1"/>
    <w:rsid w:val="009E42D5"/>
    <w:rsid w:val="009E456F"/>
    <w:rsid w:val="009E4BF8"/>
    <w:rsid w:val="009E58E4"/>
    <w:rsid w:val="009E5C2F"/>
    <w:rsid w:val="009E655C"/>
    <w:rsid w:val="009E662D"/>
    <w:rsid w:val="009E7814"/>
    <w:rsid w:val="009E7A6C"/>
    <w:rsid w:val="009E7C20"/>
    <w:rsid w:val="009F0531"/>
    <w:rsid w:val="009F0CAF"/>
    <w:rsid w:val="009F0E0C"/>
    <w:rsid w:val="009F167E"/>
    <w:rsid w:val="009F2254"/>
    <w:rsid w:val="009F231C"/>
    <w:rsid w:val="009F2AB7"/>
    <w:rsid w:val="009F2CE5"/>
    <w:rsid w:val="009F2E42"/>
    <w:rsid w:val="009F3385"/>
    <w:rsid w:val="009F36ED"/>
    <w:rsid w:val="009F4B03"/>
    <w:rsid w:val="009F4BFB"/>
    <w:rsid w:val="009F4D1E"/>
    <w:rsid w:val="009F4FE3"/>
    <w:rsid w:val="009F5102"/>
    <w:rsid w:val="009F540A"/>
    <w:rsid w:val="009F59B1"/>
    <w:rsid w:val="009F5A5E"/>
    <w:rsid w:val="009F6513"/>
    <w:rsid w:val="009F6D86"/>
    <w:rsid w:val="009F6E11"/>
    <w:rsid w:val="009F7864"/>
    <w:rsid w:val="00A00AB8"/>
    <w:rsid w:val="00A01511"/>
    <w:rsid w:val="00A01F87"/>
    <w:rsid w:val="00A05D2B"/>
    <w:rsid w:val="00A05D42"/>
    <w:rsid w:val="00A06B0B"/>
    <w:rsid w:val="00A06E3E"/>
    <w:rsid w:val="00A076F8"/>
    <w:rsid w:val="00A10553"/>
    <w:rsid w:val="00A10737"/>
    <w:rsid w:val="00A10CDF"/>
    <w:rsid w:val="00A11D1B"/>
    <w:rsid w:val="00A11E4C"/>
    <w:rsid w:val="00A12074"/>
    <w:rsid w:val="00A121FE"/>
    <w:rsid w:val="00A1272B"/>
    <w:rsid w:val="00A12F62"/>
    <w:rsid w:val="00A13062"/>
    <w:rsid w:val="00A1393A"/>
    <w:rsid w:val="00A14429"/>
    <w:rsid w:val="00A14A24"/>
    <w:rsid w:val="00A15341"/>
    <w:rsid w:val="00A156DC"/>
    <w:rsid w:val="00A15CC3"/>
    <w:rsid w:val="00A15E5C"/>
    <w:rsid w:val="00A165AB"/>
    <w:rsid w:val="00A16DB1"/>
    <w:rsid w:val="00A171F6"/>
    <w:rsid w:val="00A17405"/>
    <w:rsid w:val="00A17549"/>
    <w:rsid w:val="00A17617"/>
    <w:rsid w:val="00A20434"/>
    <w:rsid w:val="00A20A6A"/>
    <w:rsid w:val="00A20BE0"/>
    <w:rsid w:val="00A21BB9"/>
    <w:rsid w:val="00A21ED6"/>
    <w:rsid w:val="00A220BF"/>
    <w:rsid w:val="00A2234A"/>
    <w:rsid w:val="00A22EF3"/>
    <w:rsid w:val="00A23D90"/>
    <w:rsid w:val="00A262F4"/>
    <w:rsid w:val="00A2639A"/>
    <w:rsid w:val="00A26B74"/>
    <w:rsid w:val="00A2785B"/>
    <w:rsid w:val="00A279BA"/>
    <w:rsid w:val="00A27AE8"/>
    <w:rsid w:val="00A3236C"/>
    <w:rsid w:val="00A32D5A"/>
    <w:rsid w:val="00A331C5"/>
    <w:rsid w:val="00A332A0"/>
    <w:rsid w:val="00A3338A"/>
    <w:rsid w:val="00A33B5D"/>
    <w:rsid w:val="00A34D8E"/>
    <w:rsid w:val="00A350FB"/>
    <w:rsid w:val="00A36E0D"/>
    <w:rsid w:val="00A407F1"/>
    <w:rsid w:val="00A407FB"/>
    <w:rsid w:val="00A4212E"/>
    <w:rsid w:val="00A42F5D"/>
    <w:rsid w:val="00A430C3"/>
    <w:rsid w:val="00A4363F"/>
    <w:rsid w:val="00A4392B"/>
    <w:rsid w:val="00A444E9"/>
    <w:rsid w:val="00A46270"/>
    <w:rsid w:val="00A4654B"/>
    <w:rsid w:val="00A46695"/>
    <w:rsid w:val="00A4696E"/>
    <w:rsid w:val="00A46BFD"/>
    <w:rsid w:val="00A46C65"/>
    <w:rsid w:val="00A473C1"/>
    <w:rsid w:val="00A473C5"/>
    <w:rsid w:val="00A4757D"/>
    <w:rsid w:val="00A47AD8"/>
    <w:rsid w:val="00A50C3C"/>
    <w:rsid w:val="00A51691"/>
    <w:rsid w:val="00A51801"/>
    <w:rsid w:val="00A51BF4"/>
    <w:rsid w:val="00A52C8E"/>
    <w:rsid w:val="00A52D4C"/>
    <w:rsid w:val="00A542A8"/>
    <w:rsid w:val="00A5509D"/>
    <w:rsid w:val="00A555F1"/>
    <w:rsid w:val="00A56B50"/>
    <w:rsid w:val="00A6017C"/>
    <w:rsid w:val="00A61215"/>
    <w:rsid w:val="00A617CE"/>
    <w:rsid w:val="00A61D77"/>
    <w:rsid w:val="00A620E4"/>
    <w:rsid w:val="00A62D5F"/>
    <w:rsid w:val="00A631F2"/>
    <w:rsid w:val="00A64082"/>
    <w:rsid w:val="00A65668"/>
    <w:rsid w:val="00A66CF0"/>
    <w:rsid w:val="00A67754"/>
    <w:rsid w:val="00A677DE"/>
    <w:rsid w:val="00A67B44"/>
    <w:rsid w:val="00A7021D"/>
    <w:rsid w:val="00A72C98"/>
    <w:rsid w:val="00A73CD6"/>
    <w:rsid w:val="00A746AE"/>
    <w:rsid w:val="00A748F0"/>
    <w:rsid w:val="00A74AC0"/>
    <w:rsid w:val="00A75508"/>
    <w:rsid w:val="00A761C5"/>
    <w:rsid w:val="00A761FB"/>
    <w:rsid w:val="00A7681C"/>
    <w:rsid w:val="00A80AC8"/>
    <w:rsid w:val="00A81165"/>
    <w:rsid w:val="00A82868"/>
    <w:rsid w:val="00A8301D"/>
    <w:rsid w:val="00A835C3"/>
    <w:rsid w:val="00A8411E"/>
    <w:rsid w:val="00A84731"/>
    <w:rsid w:val="00A84B16"/>
    <w:rsid w:val="00A84D24"/>
    <w:rsid w:val="00A85ADC"/>
    <w:rsid w:val="00A865FE"/>
    <w:rsid w:val="00A86666"/>
    <w:rsid w:val="00A86769"/>
    <w:rsid w:val="00A86849"/>
    <w:rsid w:val="00A86BCF"/>
    <w:rsid w:val="00A87462"/>
    <w:rsid w:val="00A87D0F"/>
    <w:rsid w:val="00A90557"/>
    <w:rsid w:val="00A90B67"/>
    <w:rsid w:val="00A90C9A"/>
    <w:rsid w:val="00A91338"/>
    <w:rsid w:val="00A91B3F"/>
    <w:rsid w:val="00A923F8"/>
    <w:rsid w:val="00A92E0C"/>
    <w:rsid w:val="00A935B5"/>
    <w:rsid w:val="00A935D0"/>
    <w:rsid w:val="00A94A91"/>
    <w:rsid w:val="00A94F7D"/>
    <w:rsid w:val="00A95276"/>
    <w:rsid w:val="00A95A88"/>
    <w:rsid w:val="00A97906"/>
    <w:rsid w:val="00A97BC4"/>
    <w:rsid w:val="00A97D71"/>
    <w:rsid w:val="00AA086B"/>
    <w:rsid w:val="00AA0DA7"/>
    <w:rsid w:val="00AA148B"/>
    <w:rsid w:val="00AA266F"/>
    <w:rsid w:val="00AA2940"/>
    <w:rsid w:val="00AA2E51"/>
    <w:rsid w:val="00AA38F5"/>
    <w:rsid w:val="00AA3E57"/>
    <w:rsid w:val="00AA40B9"/>
    <w:rsid w:val="00AA4176"/>
    <w:rsid w:val="00AA4DEC"/>
    <w:rsid w:val="00AA51E3"/>
    <w:rsid w:val="00AA5BEA"/>
    <w:rsid w:val="00AA5E94"/>
    <w:rsid w:val="00AA5FE1"/>
    <w:rsid w:val="00AA6218"/>
    <w:rsid w:val="00AA6619"/>
    <w:rsid w:val="00AA6D9F"/>
    <w:rsid w:val="00AA6F93"/>
    <w:rsid w:val="00AA6FF1"/>
    <w:rsid w:val="00AA76D3"/>
    <w:rsid w:val="00AB0BF8"/>
    <w:rsid w:val="00AB11B8"/>
    <w:rsid w:val="00AB1811"/>
    <w:rsid w:val="00AB1BB3"/>
    <w:rsid w:val="00AB2A03"/>
    <w:rsid w:val="00AB2A54"/>
    <w:rsid w:val="00AB2F5F"/>
    <w:rsid w:val="00AB3106"/>
    <w:rsid w:val="00AB54F3"/>
    <w:rsid w:val="00AB5A2D"/>
    <w:rsid w:val="00AB5CD3"/>
    <w:rsid w:val="00AB6A2E"/>
    <w:rsid w:val="00AB6A43"/>
    <w:rsid w:val="00AB6C6B"/>
    <w:rsid w:val="00AC094D"/>
    <w:rsid w:val="00AC1CEE"/>
    <w:rsid w:val="00AC1DD9"/>
    <w:rsid w:val="00AC2003"/>
    <w:rsid w:val="00AC2348"/>
    <w:rsid w:val="00AC3C98"/>
    <w:rsid w:val="00AC4295"/>
    <w:rsid w:val="00AC43B3"/>
    <w:rsid w:val="00AC45C6"/>
    <w:rsid w:val="00AC4B8B"/>
    <w:rsid w:val="00AC5BDC"/>
    <w:rsid w:val="00AC639D"/>
    <w:rsid w:val="00AC763A"/>
    <w:rsid w:val="00AC78DA"/>
    <w:rsid w:val="00AC7C59"/>
    <w:rsid w:val="00AD080C"/>
    <w:rsid w:val="00AD0AF9"/>
    <w:rsid w:val="00AD0EB0"/>
    <w:rsid w:val="00AD1B19"/>
    <w:rsid w:val="00AD1F2B"/>
    <w:rsid w:val="00AD3108"/>
    <w:rsid w:val="00AD3532"/>
    <w:rsid w:val="00AD37FC"/>
    <w:rsid w:val="00AD4135"/>
    <w:rsid w:val="00AD49C5"/>
    <w:rsid w:val="00AD4F60"/>
    <w:rsid w:val="00AD514D"/>
    <w:rsid w:val="00AD52E2"/>
    <w:rsid w:val="00AD66A0"/>
    <w:rsid w:val="00AD786B"/>
    <w:rsid w:val="00AE1493"/>
    <w:rsid w:val="00AE3A81"/>
    <w:rsid w:val="00AE3B42"/>
    <w:rsid w:val="00AE4AEB"/>
    <w:rsid w:val="00AE4F32"/>
    <w:rsid w:val="00AE51C2"/>
    <w:rsid w:val="00AE6238"/>
    <w:rsid w:val="00AE63A1"/>
    <w:rsid w:val="00AE64B0"/>
    <w:rsid w:val="00AE652F"/>
    <w:rsid w:val="00AE736E"/>
    <w:rsid w:val="00AE7CA5"/>
    <w:rsid w:val="00AF0696"/>
    <w:rsid w:val="00AF2CDB"/>
    <w:rsid w:val="00AF3DA1"/>
    <w:rsid w:val="00AF40C2"/>
    <w:rsid w:val="00AF44D8"/>
    <w:rsid w:val="00AF507D"/>
    <w:rsid w:val="00AF67D1"/>
    <w:rsid w:val="00AF6F3E"/>
    <w:rsid w:val="00AF7227"/>
    <w:rsid w:val="00AF7465"/>
    <w:rsid w:val="00AF7A26"/>
    <w:rsid w:val="00B00BF3"/>
    <w:rsid w:val="00B024B8"/>
    <w:rsid w:val="00B0271E"/>
    <w:rsid w:val="00B03B56"/>
    <w:rsid w:val="00B0413F"/>
    <w:rsid w:val="00B041AB"/>
    <w:rsid w:val="00B0543E"/>
    <w:rsid w:val="00B06481"/>
    <w:rsid w:val="00B06632"/>
    <w:rsid w:val="00B06884"/>
    <w:rsid w:val="00B0744F"/>
    <w:rsid w:val="00B07900"/>
    <w:rsid w:val="00B079A5"/>
    <w:rsid w:val="00B07E5A"/>
    <w:rsid w:val="00B108A7"/>
    <w:rsid w:val="00B11E4E"/>
    <w:rsid w:val="00B13147"/>
    <w:rsid w:val="00B137A1"/>
    <w:rsid w:val="00B14E30"/>
    <w:rsid w:val="00B15EB1"/>
    <w:rsid w:val="00B16D8D"/>
    <w:rsid w:val="00B16ECF"/>
    <w:rsid w:val="00B16EF5"/>
    <w:rsid w:val="00B200B0"/>
    <w:rsid w:val="00B20899"/>
    <w:rsid w:val="00B20EE7"/>
    <w:rsid w:val="00B21D7D"/>
    <w:rsid w:val="00B22678"/>
    <w:rsid w:val="00B22A59"/>
    <w:rsid w:val="00B23657"/>
    <w:rsid w:val="00B23722"/>
    <w:rsid w:val="00B242BA"/>
    <w:rsid w:val="00B244F1"/>
    <w:rsid w:val="00B2487B"/>
    <w:rsid w:val="00B24952"/>
    <w:rsid w:val="00B24A8A"/>
    <w:rsid w:val="00B24B2D"/>
    <w:rsid w:val="00B252B3"/>
    <w:rsid w:val="00B25702"/>
    <w:rsid w:val="00B26E3C"/>
    <w:rsid w:val="00B27CA1"/>
    <w:rsid w:val="00B3016A"/>
    <w:rsid w:val="00B30FB1"/>
    <w:rsid w:val="00B31114"/>
    <w:rsid w:val="00B31339"/>
    <w:rsid w:val="00B32632"/>
    <w:rsid w:val="00B327D1"/>
    <w:rsid w:val="00B344B3"/>
    <w:rsid w:val="00B34551"/>
    <w:rsid w:val="00B34766"/>
    <w:rsid w:val="00B34D32"/>
    <w:rsid w:val="00B35357"/>
    <w:rsid w:val="00B35D88"/>
    <w:rsid w:val="00B37771"/>
    <w:rsid w:val="00B403DB"/>
    <w:rsid w:val="00B412C6"/>
    <w:rsid w:val="00B416CE"/>
    <w:rsid w:val="00B4170B"/>
    <w:rsid w:val="00B425A0"/>
    <w:rsid w:val="00B43CA5"/>
    <w:rsid w:val="00B43EBF"/>
    <w:rsid w:val="00B4408B"/>
    <w:rsid w:val="00B45064"/>
    <w:rsid w:val="00B45A09"/>
    <w:rsid w:val="00B465DF"/>
    <w:rsid w:val="00B468F2"/>
    <w:rsid w:val="00B46B1A"/>
    <w:rsid w:val="00B477B2"/>
    <w:rsid w:val="00B506DE"/>
    <w:rsid w:val="00B508DF"/>
    <w:rsid w:val="00B50AEE"/>
    <w:rsid w:val="00B51AB4"/>
    <w:rsid w:val="00B52276"/>
    <w:rsid w:val="00B52CF5"/>
    <w:rsid w:val="00B52EF7"/>
    <w:rsid w:val="00B52FB2"/>
    <w:rsid w:val="00B5354A"/>
    <w:rsid w:val="00B54B27"/>
    <w:rsid w:val="00B54BA8"/>
    <w:rsid w:val="00B55C1C"/>
    <w:rsid w:val="00B55CAB"/>
    <w:rsid w:val="00B55EE5"/>
    <w:rsid w:val="00B56431"/>
    <w:rsid w:val="00B578B0"/>
    <w:rsid w:val="00B626F7"/>
    <w:rsid w:val="00B635A2"/>
    <w:rsid w:val="00B638CB"/>
    <w:rsid w:val="00B64178"/>
    <w:rsid w:val="00B67679"/>
    <w:rsid w:val="00B67FCA"/>
    <w:rsid w:val="00B7008E"/>
    <w:rsid w:val="00B70B2F"/>
    <w:rsid w:val="00B7152C"/>
    <w:rsid w:val="00B71918"/>
    <w:rsid w:val="00B720D2"/>
    <w:rsid w:val="00B72EFE"/>
    <w:rsid w:val="00B7318F"/>
    <w:rsid w:val="00B739DE"/>
    <w:rsid w:val="00B7440D"/>
    <w:rsid w:val="00B76BDA"/>
    <w:rsid w:val="00B775DA"/>
    <w:rsid w:val="00B77C39"/>
    <w:rsid w:val="00B77EA0"/>
    <w:rsid w:val="00B80DAA"/>
    <w:rsid w:val="00B80E05"/>
    <w:rsid w:val="00B81517"/>
    <w:rsid w:val="00B818D6"/>
    <w:rsid w:val="00B82739"/>
    <w:rsid w:val="00B8275D"/>
    <w:rsid w:val="00B83452"/>
    <w:rsid w:val="00B8360A"/>
    <w:rsid w:val="00B83956"/>
    <w:rsid w:val="00B84F40"/>
    <w:rsid w:val="00B86410"/>
    <w:rsid w:val="00B87166"/>
    <w:rsid w:val="00B8787B"/>
    <w:rsid w:val="00B87ABD"/>
    <w:rsid w:val="00B87E1C"/>
    <w:rsid w:val="00B90961"/>
    <w:rsid w:val="00B90980"/>
    <w:rsid w:val="00B91054"/>
    <w:rsid w:val="00B91114"/>
    <w:rsid w:val="00B9167C"/>
    <w:rsid w:val="00B922F3"/>
    <w:rsid w:val="00B9269A"/>
    <w:rsid w:val="00B93AE3"/>
    <w:rsid w:val="00B944AB"/>
    <w:rsid w:val="00B949B5"/>
    <w:rsid w:val="00B95B08"/>
    <w:rsid w:val="00B95D74"/>
    <w:rsid w:val="00B965F1"/>
    <w:rsid w:val="00B974ED"/>
    <w:rsid w:val="00B97CE9"/>
    <w:rsid w:val="00B97DA8"/>
    <w:rsid w:val="00BA1119"/>
    <w:rsid w:val="00BA1A9E"/>
    <w:rsid w:val="00BA1B7B"/>
    <w:rsid w:val="00BA2509"/>
    <w:rsid w:val="00BA359E"/>
    <w:rsid w:val="00BA3B5E"/>
    <w:rsid w:val="00BA53C5"/>
    <w:rsid w:val="00BA7A57"/>
    <w:rsid w:val="00BB0075"/>
    <w:rsid w:val="00BB1301"/>
    <w:rsid w:val="00BB13E2"/>
    <w:rsid w:val="00BB189A"/>
    <w:rsid w:val="00BB1BAF"/>
    <w:rsid w:val="00BB1E51"/>
    <w:rsid w:val="00BB32CB"/>
    <w:rsid w:val="00BB3BA5"/>
    <w:rsid w:val="00BB4426"/>
    <w:rsid w:val="00BB4756"/>
    <w:rsid w:val="00BB4844"/>
    <w:rsid w:val="00BB4C82"/>
    <w:rsid w:val="00BB5290"/>
    <w:rsid w:val="00BB52F4"/>
    <w:rsid w:val="00BB6F3C"/>
    <w:rsid w:val="00BC00FF"/>
    <w:rsid w:val="00BC098B"/>
    <w:rsid w:val="00BC0A21"/>
    <w:rsid w:val="00BC1503"/>
    <w:rsid w:val="00BC2B59"/>
    <w:rsid w:val="00BC2B97"/>
    <w:rsid w:val="00BC2D79"/>
    <w:rsid w:val="00BC314E"/>
    <w:rsid w:val="00BC323B"/>
    <w:rsid w:val="00BC3606"/>
    <w:rsid w:val="00BC3D0B"/>
    <w:rsid w:val="00BC3DE7"/>
    <w:rsid w:val="00BC4235"/>
    <w:rsid w:val="00BC49B1"/>
    <w:rsid w:val="00BC5B34"/>
    <w:rsid w:val="00BC6026"/>
    <w:rsid w:val="00BC642C"/>
    <w:rsid w:val="00BC6C83"/>
    <w:rsid w:val="00BC6EAA"/>
    <w:rsid w:val="00BC717D"/>
    <w:rsid w:val="00BC753C"/>
    <w:rsid w:val="00BC7FB3"/>
    <w:rsid w:val="00BD03D6"/>
    <w:rsid w:val="00BD0660"/>
    <w:rsid w:val="00BD0FE4"/>
    <w:rsid w:val="00BD1025"/>
    <w:rsid w:val="00BD10B8"/>
    <w:rsid w:val="00BD114A"/>
    <w:rsid w:val="00BD18FC"/>
    <w:rsid w:val="00BD1A7C"/>
    <w:rsid w:val="00BD238F"/>
    <w:rsid w:val="00BD2A73"/>
    <w:rsid w:val="00BD3107"/>
    <w:rsid w:val="00BD32A5"/>
    <w:rsid w:val="00BD342C"/>
    <w:rsid w:val="00BD3AE8"/>
    <w:rsid w:val="00BD3E0A"/>
    <w:rsid w:val="00BD4E1D"/>
    <w:rsid w:val="00BD5C5E"/>
    <w:rsid w:val="00BE01B2"/>
    <w:rsid w:val="00BE0443"/>
    <w:rsid w:val="00BE0614"/>
    <w:rsid w:val="00BE1665"/>
    <w:rsid w:val="00BE1896"/>
    <w:rsid w:val="00BE1F5E"/>
    <w:rsid w:val="00BE23CC"/>
    <w:rsid w:val="00BE27A1"/>
    <w:rsid w:val="00BE2823"/>
    <w:rsid w:val="00BE2F0B"/>
    <w:rsid w:val="00BE3B09"/>
    <w:rsid w:val="00BE3D72"/>
    <w:rsid w:val="00BE3DFF"/>
    <w:rsid w:val="00BE4569"/>
    <w:rsid w:val="00BE4CBE"/>
    <w:rsid w:val="00BE4E33"/>
    <w:rsid w:val="00BE557B"/>
    <w:rsid w:val="00BE5D9E"/>
    <w:rsid w:val="00BE6507"/>
    <w:rsid w:val="00BE6D51"/>
    <w:rsid w:val="00BE73F4"/>
    <w:rsid w:val="00BE7EC2"/>
    <w:rsid w:val="00BF038D"/>
    <w:rsid w:val="00BF0704"/>
    <w:rsid w:val="00BF07E1"/>
    <w:rsid w:val="00BF0A0C"/>
    <w:rsid w:val="00BF1CB4"/>
    <w:rsid w:val="00BF204A"/>
    <w:rsid w:val="00BF211D"/>
    <w:rsid w:val="00BF2670"/>
    <w:rsid w:val="00BF2A9B"/>
    <w:rsid w:val="00BF2B60"/>
    <w:rsid w:val="00BF4313"/>
    <w:rsid w:val="00BF54A7"/>
    <w:rsid w:val="00BF5E18"/>
    <w:rsid w:val="00BF623E"/>
    <w:rsid w:val="00BF651E"/>
    <w:rsid w:val="00BF70AA"/>
    <w:rsid w:val="00BF757B"/>
    <w:rsid w:val="00BF763A"/>
    <w:rsid w:val="00C00542"/>
    <w:rsid w:val="00C00930"/>
    <w:rsid w:val="00C019E4"/>
    <w:rsid w:val="00C01D69"/>
    <w:rsid w:val="00C01E55"/>
    <w:rsid w:val="00C01E5F"/>
    <w:rsid w:val="00C01E72"/>
    <w:rsid w:val="00C02210"/>
    <w:rsid w:val="00C03CDE"/>
    <w:rsid w:val="00C046B0"/>
    <w:rsid w:val="00C04B39"/>
    <w:rsid w:val="00C05F61"/>
    <w:rsid w:val="00C07321"/>
    <w:rsid w:val="00C07EDD"/>
    <w:rsid w:val="00C1026D"/>
    <w:rsid w:val="00C106B0"/>
    <w:rsid w:val="00C108E1"/>
    <w:rsid w:val="00C113C4"/>
    <w:rsid w:val="00C11776"/>
    <w:rsid w:val="00C11C7B"/>
    <w:rsid w:val="00C12BDD"/>
    <w:rsid w:val="00C130F2"/>
    <w:rsid w:val="00C13D76"/>
    <w:rsid w:val="00C13DA0"/>
    <w:rsid w:val="00C1430C"/>
    <w:rsid w:val="00C14430"/>
    <w:rsid w:val="00C147AC"/>
    <w:rsid w:val="00C14A9F"/>
    <w:rsid w:val="00C14AB8"/>
    <w:rsid w:val="00C1566B"/>
    <w:rsid w:val="00C15D05"/>
    <w:rsid w:val="00C162A6"/>
    <w:rsid w:val="00C16883"/>
    <w:rsid w:val="00C172A0"/>
    <w:rsid w:val="00C17345"/>
    <w:rsid w:val="00C176F0"/>
    <w:rsid w:val="00C17A87"/>
    <w:rsid w:val="00C17F8B"/>
    <w:rsid w:val="00C20A67"/>
    <w:rsid w:val="00C2117D"/>
    <w:rsid w:val="00C21824"/>
    <w:rsid w:val="00C21C0C"/>
    <w:rsid w:val="00C2209E"/>
    <w:rsid w:val="00C222B2"/>
    <w:rsid w:val="00C22801"/>
    <w:rsid w:val="00C23419"/>
    <w:rsid w:val="00C243B5"/>
    <w:rsid w:val="00C244D3"/>
    <w:rsid w:val="00C24797"/>
    <w:rsid w:val="00C2535B"/>
    <w:rsid w:val="00C256B8"/>
    <w:rsid w:val="00C25E1F"/>
    <w:rsid w:val="00C268A1"/>
    <w:rsid w:val="00C26D33"/>
    <w:rsid w:val="00C2752C"/>
    <w:rsid w:val="00C30006"/>
    <w:rsid w:val="00C30365"/>
    <w:rsid w:val="00C30471"/>
    <w:rsid w:val="00C3096E"/>
    <w:rsid w:val="00C30A07"/>
    <w:rsid w:val="00C31444"/>
    <w:rsid w:val="00C319CC"/>
    <w:rsid w:val="00C327F9"/>
    <w:rsid w:val="00C33012"/>
    <w:rsid w:val="00C33631"/>
    <w:rsid w:val="00C34415"/>
    <w:rsid w:val="00C35517"/>
    <w:rsid w:val="00C36C92"/>
    <w:rsid w:val="00C36DF5"/>
    <w:rsid w:val="00C371C5"/>
    <w:rsid w:val="00C37D6F"/>
    <w:rsid w:val="00C40540"/>
    <w:rsid w:val="00C41121"/>
    <w:rsid w:val="00C41BEA"/>
    <w:rsid w:val="00C41FA4"/>
    <w:rsid w:val="00C42C24"/>
    <w:rsid w:val="00C4355B"/>
    <w:rsid w:val="00C43887"/>
    <w:rsid w:val="00C442F0"/>
    <w:rsid w:val="00C50487"/>
    <w:rsid w:val="00C5167C"/>
    <w:rsid w:val="00C5168F"/>
    <w:rsid w:val="00C526E8"/>
    <w:rsid w:val="00C52ABE"/>
    <w:rsid w:val="00C53C0F"/>
    <w:rsid w:val="00C545AA"/>
    <w:rsid w:val="00C55DD8"/>
    <w:rsid w:val="00C560AB"/>
    <w:rsid w:val="00C56868"/>
    <w:rsid w:val="00C568CE"/>
    <w:rsid w:val="00C56C64"/>
    <w:rsid w:val="00C56D27"/>
    <w:rsid w:val="00C573D4"/>
    <w:rsid w:val="00C5756C"/>
    <w:rsid w:val="00C60585"/>
    <w:rsid w:val="00C6127C"/>
    <w:rsid w:val="00C61704"/>
    <w:rsid w:val="00C62666"/>
    <w:rsid w:val="00C63BC3"/>
    <w:rsid w:val="00C64267"/>
    <w:rsid w:val="00C65790"/>
    <w:rsid w:val="00C65792"/>
    <w:rsid w:val="00C65F0C"/>
    <w:rsid w:val="00C66294"/>
    <w:rsid w:val="00C666CF"/>
    <w:rsid w:val="00C667A3"/>
    <w:rsid w:val="00C66B35"/>
    <w:rsid w:val="00C66D9F"/>
    <w:rsid w:val="00C66F5F"/>
    <w:rsid w:val="00C67046"/>
    <w:rsid w:val="00C67A83"/>
    <w:rsid w:val="00C70C5A"/>
    <w:rsid w:val="00C71092"/>
    <w:rsid w:val="00C71167"/>
    <w:rsid w:val="00C720B0"/>
    <w:rsid w:val="00C74A32"/>
    <w:rsid w:val="00C74DD2"/>
    <w:rsid w:val="00C758F0"/>
    <w:rsid w:val="00C75D7B"/>
    <w:rsid w:val="00C76449"/>
    <w:rsid w:val="00C76BED"/>
    <w:rsid w:val="00C80171"/>
    <w:rsid w:val="00C81D8B"/>
    <w:rsid w:val="00C81F42"/>
    <w:rsid w:val="00C846AA"/>
    <w:rsid w:val="00C85217"/>
    <w:rsid w:val="00C8533A"/>
    <w:rsid w:val="00C85707"/>
    <w:rsid w:val="00C85FA7"/>
    <w:rsid w:val="00C8616B"/>
    <w:rsid w:val="00C86688"/>
    <w:rsid w:val="00C8779C"/>
    <w:rsid w:val="00C9000B"/>
    <w:rsid w:val="00C90348"/>
    <w:rsid w:val="00C91188"/>
    <w:rsid w:val="00C91EE1"/>
    <w:rsid w:val="00C924D0"/>
    <w:rsid w:val="00C930CB"/>
    <w:rsid w:val="00C9494F"/>
    <w:rsid w:val="00C94C9E"/>
    <w:rsid w:val="00C94CD6"/>
    <w:rsid w:val="00C95729"/>
    <w:rsid w:val="00C95CBC"/>
    <w:rsid w:val="00C96D3B"/>
    <w:rsid w:val="00C973D5"/>
    <w:rsid w:val="00CA059F"/>
    <w:rsid w:val="00CA128D"/>
    <w:rsid w:val="00CA22E6"/>
    <w:rsid w:val="00CA258C"/>
    <w:rsid w:val="00CA27AC"/>
    <w:rsid w:val="00CA3244"/>
    <w:rsid w:val="00CA3D87"/>
    <w:rsid w:val="00CA4A13"/>
    <w:rsid w:val="00CA4ADD"/>
    <w:rsid w:val="00CA4CDD"/>
    <w:rsid w:val="00CA4EA7"/>
    <w:rsid w:val="00CA4EC1"/>
    <w:rsid w:val="00CA70AE"/>
    <w:rsid w:val="00CA7B39"/>
    <w:rsid w:val="00CB00D0"/>
    <w:rsid w:val="00CB020C"/>
    <w:rsid w:val="00CB0D71"/>
    <w:rsid w:val="00CB1766"/>
    <w:rsid w:val="00CB23AD"/>
    <w:rsid w:val="00CB4117"/>
    <w:rsid w:val="00CB49AB"/>
    <w:rsid w:val="00CB5168"/>
    <w:rsid w:val="00CB5408"/>
    <w:rsid w:val="00CB5577"/>
    <w:rsid w:val="00CB5596"/>
    <w:rsid w:val="00CB5BC0"/>
    <w:rsid w:val="00CB61E8"/>
    <w:rsid w:val="00CB6AFE"/>
    <w:rsid w:val="00CB6D19"/>
    <w:rsid w:val="00CB7360"/>
    <w:rsid w:val="00CC0162"/>
    <w:rsid w:val="00CC03DA"/>
    <w:rsid w:val="00CC0B27"/>
    <w:rsid w:val="00CC10F5"/>
    <w:rsid w:val="00CC1342"/>
    <w:rsid w:val="00CC1393"/>
    <w:rsid w:val="00CC2871"/>
    <w:rsid w:val="00CC2B7E"/>
    <w:rsid w:val="00CC2BEE"/>
    <w:rsid w:val="00CC362E"/>
    <w:rsid w:val="00CC38C7"/>
    <w:rsid w:val="00CC3E2D"/>
    <w:rsid w:val="00CC42D4"/>
    <w:rsid w:val="00CC4756"/>
    <w:rsid w:val="00CC4B26"/>
    <w:rsid w:val="00CC5332"/>
    <w:rsid w:val="00CC5452"/>
    <w:rsid w:val="00CC5CF5"/>
    <w:rsid w:val="00CC60DD"/>
    <w:rsid w:val="00CC62CF"/>
    <w:rsid w:val="00CC65D5"/>
    <w:rsid w:val="00CC7B5D"/>
    <w:rsid w:val="00CC7DCC"/>
    <w:rsid w:val="00CC7EEE"/>
    <w:rsid w:val="00CD0456"/>
    <w:rsid w:val="00CD0A89"/>
    <w:rsid w:val="00CD343D"/>
    <w:rsid w:val="00CD3539"/>
    <w:rsid w:val="00CD3DEB"/>
    <w:rsid w:val="00CD485B"/>
    <w:rsid w:val="00CD4ED1"/>
    <w:rsid w:val="00CD5266"/>
    <w:rsid w:val="00CD56A4"/>
    <w:rsid w:val="00CD5740"/>
    <w:rsid w:val="00CD5921"/>
    <w:rsid w:val="00CD5960"/>
    <w:rsid w:val="00CD6320"/>
    <w:rsid w:val="00CD6ED3"/>
    <w:rsid w:val="00CD7988"/>
    <w:rsid w:val="00CE0436"/>
    <w:rsid w:val="00CE158A"/>
    <w:rsid w:val="00CE18C6"/>
    <w:rsid w:val="00CE1E74"/>
    <w:rsid w:val="00CE2294"/>
    <w:rsid w:val="00CE2AED"/>
    <w:rsid w:val="00CE2BC0"/>
    <w:rsid w:val="00CE337B"/>
    <w:rsid w:val="00CE3950"/>
    <w:rsid w:val="00CE3AA4"/>
    <w:rsid w:val="00CE3FA3"/>
    <w:rsid w:val="00CE51C7"/>
    <w:rsid w:val="00CE66E4"/>
    <w:rsid w:val="00CE6EE9"/>
    <w:rsid w:val="00CF1F6B"/>
    <w:rsid w:val="00CF21A6"/>
    <w:rsid w:val="00CF2B31"/>
    <w:rsid w:val="00CF3B65"/>
    <w:rsid w:val="00CF4257"/>
    <w:rsid w:val="00CF5692"/>
    <w:rsid w:val="00CF6549"/>
    <w:rsid w:val="00CF67CF"/>
    <w:rsid w:val="00CF759B"/>
    <w:rsid w:val="00CF7768"/>
    <w:rsid w:val="00CF78B9"/>
    <w:rsid w:val="00D00D81"/>
    <w:rsid w:val="00D011B8"/>
    <w:rsid w:val="00D012E7"/>
    <w:rsid w:val="00D02661"/>
    <w:rsid w:val="00D03A8F"/>
    <w:rsid w:val="00D05136"/>
    <w:rsid w:val="00D07CF5"/>
    <w:rsid w:val="00D10585"/>
    <w:rsid w:val="00D10B93"/>
    <w:rsid w:val="00D10F9D"/>
    <w:rsid w:val="00D112A2"/>
    <w:rsid w:val="00D1175A"/>
    <w:rsid w:val="00D11D37"/>
    <w:rsid w:val="00D12391"/>
    <w:rsid w:val="00D129A5"/>
    <w:rsid w:val="00D13013"/>
    <w:rsid w:val="00D13118"/>
    <w:rsid w:val="00D1357F"/>
    <w:rsid w:val="00D13596"/>
    <w:rsid w:val="00D13662"/>
    <w:rsid w:val="00D150A1"/>
    <w:rsid w:val="00D153BC"/>
    <w:rsid w:val="00D1589F"/>
    <w:rsid w:val="00D15A48"/>
    <w:rsid w:val="00D20521"/>
    <w:rsid w:val="00D20DC6"/>
    <w:rsid w:val="00D212A9"/>
    <w:rsid w:val="00D22553"/>
    <w:rsid w:val="00D2343D"/>
    <w:rsid w:val="00D245E5"/>
    <w:rsid w:val="00D24AEA"/>
    <w:rsid w:val="00D252DE"/>
    <w:rsid w:val="00D260CA"/>
    <w:rsid w:val="00D26583"/>
    <w:rsid w:val="00D27392"/>
    <w:rsid w:val="00D27814"/>
    <w:rsid w:val="00D32CCB"/>
    <w:rsid w:val="00D334CD"/>
    <w:rsid w:val="00D33A14"/>
    <w:rsid w:val="00D340A1"/>
    <w:rsid w:val="00D364BF"/>
    <w:rsid w:val="00D36C5A"/>
    <w:rsid w:val="00D3725E"/>
    <w:rsid w:val="00D37431"/>
    <w:rsid w:val="00D40741"/>
    <w:rsid w:val="00D411C0"/>
    <w:rsid w:val="00D4120C"/>
    <w:rsid w:val="00D41519"/>
    <w:rsid w:val="00D41B57"/>
    <w:rsid w:val="00D41BD5"/>
    <w:rsid w:val="00D41D9E"/>
    <w:rsid w:val="00D42B6A"/>
    <w:rsid w:val="00D444D3"/>
    <w:rsid w:val="00D461E1"/>
    <w:rsid w:val="00D46AB6"/>
    <w:rsid w:val="00D4772C"/>
    <w:rsid w:val="00D47748"/>
    <w:rsid w:val="00D50503"/>
    <w:rsid w:val="00D54265"/>
    <w:rsid w:val="00D55405"/>
    <w:rsid w:val="00D5561C"/>
    <w:rsid w:val="00D57239"/>
    <w:rsid w:val="00D573D7"/>
    <w:rsid w:val="00D57C2D"/>
    <w:rsid w:val="00D57D66"/>
    <w:rsid w:val="00D6186B"/>
    <w:rsid w:val="00D61B54"/>
    <w:rsid w:val="00D632B3"/>
    <w:rsid w:val="00D63637"/>
    <w:rsid w:val="00D64DD5"/>
    <w:rsid w:val="00D64EAF"/>
    <w:rsid w:val="00D65135"/>
    <w:rsid w:val="00D66B79"/>
    <w:rsid w:val="00D67600"/>
    <w:rsid w:val="00D7033D"/>
    <w:rsid w:val="00D711EF"/>
    <w:rsid w:val="00D748C0"/>
    <w:rsid w:val="00D74A81"/>
    <w:rsid w:val="00D75327"/>
    <w:rsid w:val="00D757D4"/>
    <w:rsid w:val="00D75D2C"/>
    <w:rsid w:val="00D764D7"/>
    <w:rsid w:val="00D769EB"/>
    <w:rsid w:val="00D77211"/>
    <w:rsid w:val="00D77282"/>
    <w:rsid w:val="00D80B44"/>
    <w:rsid w:val="00D80B74"/>
    <w:rsid w:val="00D80FC1"/>
    <w:rsid w:val="00D81F86"/>
    <w:rsid w:val="00D82021"/>
    <w:rsid w:val="00D82836"/>
    <w:rsid w:val="00D82D60"/>
    <w:rsid w:val="00D8465E"/>
    <w:rsid w:val="00D8559F"/>
    <w:rsid w:val="00D85814"/>
    <w:rsid w:val="00D85C96"/>
    <w:rsid w:val="00D8624F"/>
    <w:rsid w:val="00D863CE"/>
    <w:rsid w:val="00D86833"/>
    <w:rsid w:val="00D86860"/>
    <w:rsid w:val="00D86AFC"/>
    <w:rsid w:val="00D91827"/>
    <w:rsid w:val="00D91ACA"/>
    <w:rsid w:val="00D91E16"/>
    <w:rsid w:val="00D92521"/>
    <w:rsid w:val="00D92B88"/>
    <w:rsid w:val="00D92F03"/>
    <w:rsid w:val="00D93827"/>
    <w:rsid w:val="00D9417F"/>
    <w:rsid w:val="00D94768"/>
    <w:rsid w:val="00D95EF5"/>
    <w:rsid w:val="00D96CFF"/>
    <w:rsid w:val="00D97B1E"/>
    <w:rsid w:val="00D97DDE"/>
    <w:rsid w:val="00DA0A51"/>
    <w:rsid w:val="00DA2970"/>
    <w:rsid w:val="00DA2FDD"/>
    <w:rsid w:val="00DA68B4"/>
    <w:rsid w:val="00DA6CE8"/>
    <w:rsid w:val="00DA6E91"/>
    <w:rsid w:val="00DA73D7"/>
    <w:rsid w:val="00DB003E"/>
    <w:rsid w:val="00DB1599"/>
    <w:rsid w:val="00DB3067"/>
    <w:rsid w:val="00DB49EA"/>
    <w:rsid w:val="00DB4F0A"/>
    <w:rsid w:val="00DB4FC0"/>
    <w:rsid w:val="00DB5A4C"/>
    <w:rsid w:val="00DB5E6D"/>
    <w:rsid w:val="00DB5F3D"/>
    <w:rsid w:val="00DB5F4E"/>
    <w:rsid w:val="00DB689E"/>
    <w:rsid w:val="00DB6DC0"/>
    <w:rsid w:val="00DC026A"/>
    <w:rsid w:val="00DC11E8"/>
    <w:rsid w:val="00DC1938"/>
    <w:rsid w:val="00DC1A85"/>
    <w:rsid w:val="00DC1E0B"/>
    <w:rsid w:val="00DC2C67"/>
    <w:rsid w:val="00DC393F"/>
    <w:rsid w:val="00DC5442"/>
    <w:rsid w:val="00DC553E"/>
    <w:rsid w:val="00DC5807"/>
    <w:rsid w:val="00DC65FA"/>
    <w:rsid w:val="00DD1892"/>
    <w:rsid w:val="00DD2E97"/>
    <w:rsid w:val="00DD3C28"/>
    <w:rsid w:val="00DD4A5D"/>
    <w:rsid w:val="00DD4C6C"/>
    <w:rsid w:val="00DD4DBA"/>
    <w:rsid w:val="00DD6165"/>
    <w:rsid w:val="00DD63A6"/>
    <w:rsid w:val="00DD7E9D"/>
    <w:rsid w:val="00DE0397"/>
    <w:rsid w:val="00DE063A"/>
    <w:rsid w:val="00DE100B"/>
    <w:rsid w:val="00DE106C"/>
    <w:rsid w:val="00DE1CE3"/>
    <w:rsid w:val="00DE32E6"/>
    <w:rsid w:val="00DE378B"/>
    <w:rsid w:val="00DE3D85"/>
    <w:rsid w:val="00DE3F2F"/>
    <w:rsid w:val="00DE42B9"/>
    <w:rsid w:val="00DE46E9"/>
    <w:rsid w:val="00DE473C"/>
    <w:rsid w:val="00DE5016"/>
    <w:rsid w:val="00DE523B"/>
    <w:rsid w:val="00DE55CC"/>
    <w:rsid w:val="00DE577E"/>
    <w:rsid w:val="00DE6D60"/>
    <w:rsid w:val="00DE7085"/>
    <w:rsid w:val="00DE7120"/>
    <w:rsid w:val="00DE7485"/>
    <w:rsid w:val="00DE7A36"/>
    <w:rsid w:val="00DF0014"/>
    <w:rsid w:val="00DF0359"/>
    <w:rsid w:val="00DF0445"/>
    <w:rsid w:val="00DF17EE"/>
    <w:rsid w:val="00DF19B9"/>
    <w:rsid w:val="00DF2847"/>
    <w:rsid w:val="00DF2BBE"/>
    <w:rsid w:val="00DF334D"/>
    <w:rsid w:val="00DF4B0C"/>
    <w:rsid w:val="00DF588B"/>
    <w:rsid w:val="00DF5B12"/>
    <w:rsid w:val="00DF5E0B"/>
    <w:rsid w:val="00DF6B84"/>
    <w:rsid w:val="00DF7530"/>
    <w:rsid w:val="00DF7BEB"/>
    <w:rsid w:val="00E004B0"/>
    <w:rsid w:val="00E01130"/>
    <w:rsid w:val="00E012BF"/>
    <w:rsid w:val="00E01831"/>
    <w:rsid w:val="00E01FDC"/>
    <w:rsid w:val="00E02F72"/>
    <w:rsid w:val="00E036D4"/>
    <w:rsid w:val="00E038B5"/>
    <w:rsid w:val="00E043D2"/>
    <w:rsid w:val="00E04AD3"/>
    <w:rsid w:val="00E05373"/>
    <w:rsid w:val="00E056FF"/>
    <w:rsid w:val="00E05F5F"/>
    <w:rsid w:val="00E06985"/>
    <w:rsid w:val="00E06ACA"/>
    <w:rsid w:val="00E06EFD"/>
    <w:rsid w:val="00E1157F"/>
    <w:rsid w:val="00E1314E"/>
    <w:rsid w:val="00E1414D"/>
    <w:rsid w:val="00E149AC"/>
    <w:rsid w:val="00E15828"/>
    <w:rsid w:val="00E15D2D"/>
    <w:rsid w:val="00E16BE6"/>
    <w:rsid w:val="00E211E0"/>
    <w:rsid w:val="00E216ED"/>
    <w:rsid w:val="00E2172D"/>
    <w:rsid w:val="00E219D3"/>
    <w:rsid w:val="00E222C7"/>
    <w:rsid w:val="00E22B62"/>
    <w:rsid w:val="00E235B8"/>
    <w:rsid w:val="00E236F7"/>
    <w:rsid w:val="00E23E72"/>
    <w:rsid w:val="00E2429C"/>
    <w:rsid w:val="00E24BC3"/>
    <w:rsid w:val="00E25514"/>
    <w:rsid w:val="00E25739"/>
    <w:rsid w:val="00E25BDE"/>
    <w:rsid w:val="00E25F63"/>
    <w:rsid w:val="00E30975"/>
    <w:rsid w:val="00E32037"/>
    <w:rsid w:val="00E32198"/>
    <w:rsid w:val="00E33340"/>
    <w:rsid w:val="00E3335F"/>
    <w:rsid w:val="00E34089"/>
    <w:rsid w:val="00E344F4"/>
    <w:rsid w:val="00E35019"/>
    <w:rsid w:val="00E379C4"/>
    <w:rsid w:val="00E37AEF"/>
    <w:rsid w:val="00E37F69"/>
    <w:rsid w:val="00E405E1"/>
    <w:rsid w:val="00E40AF8"/>
    <w:rsid w:val="00E40C6B"/>
    <w:rsid w:val="00E40E26"/>
    <w:rsid w:val="00E42157"/>
    <w:rsid w:val="00E441BE"/>
    <w:rsid w:val="00E4467E"/>
    <w:rsid w:val="00E446F0"/>
    <w:rsid w:val="00E44A6A"/>
    <w:rsid w:val="00E44BBB"/>
    <w:rsid w:val="00E45586"/>
    <w:rsid w:val="00E458AC"/>
    <w:rsid w:val="00E468AB"/>
    <w:rsid w:val="00E46ABC"/>
    <w:rsid w:val="00E50E95"/>
    <w:rsid w:val="00E50EB3"/>
    <w:rsid w:val="00E50EE2"/>
    <w:rsid w:val="00E511C2"/>
    <w:rsid w:val="00E521B0"/>
    <w:rsid w:val="00E52234"/>
    <w:rsid w:val="00E531BB"/>
    <w:rsid w:val="00E53E03"/>
    <w:rsid w:val="00E5514B"/>
    <w:rsid w:val="00E55C1F"/>
    <w:rsid w:val="00E55C24"/>
    <w:rsid w:val="00E55D88"/>
    <w:rsid w:val="00E560B9"/>
    <w:rsid w:val="00E564BC"/>
    <w:rsid w:val="00E56711"/>
    <w:rsid w:val="00E56A9D"/>
    <w:rsid w:val="00E56FBF"/>
    <w:rsid w:val="00E570B6"/>
    <w:rsid w:val="00E576C7"/>
    <w:rsid w:val="00E57876"/>
    <w:rsid w:val="00E57B59"/>
    <w:rsid w:val="00E60B7D"/>
    <w:rsid w:val="00E61000"/>
    <w:rsid w:val="00E61278"/>
    <w:rsid w:val="00E61310"/>
    <w:rsid w:val="00E6157F"/>
    <w:rsid w:val="00E61759"/>
    <w:rsid w:val="00E637EC"/>
    <w:rsid w:val="00E66BE5"/>
    <w:rsid w:val="00E67AA1"/>
    <w:rsid w:val="00E700AE"/>
    <w:rsid w:val="00E701AC"/>
    <w:rsid w:val="00E71531"/>
    <w:rsid w:val="00E71DE3"/>
    <w:rsid w:val="00E72572"/>
    <w:rsid w:val="00E72B72"/>
    <w:rsid w:val="00E7305E"/>
    <w:rsid w:val="00E74161"/>
    <w:rsid w:val="00E7479F"/>
    <w:rsid w:val="00E76258"/>
    <w:rsid w:val="00E76272"/>
    <w:rsid w:val="00E77B10"/>
    <w:rsid w:val="00E77B97"/>
    <w:rsid w:val="00E803F2"/>
    <w:rsid w:val="00E80571"/>
    <w:rsid w:val="00E810E9"/>
    <w:rsid w:val="00E82DCC"/>
    <w:rsid w:val="00E83701"/>
    <w:rsid w:val="00E84BF6"/>
    <w:rsid w:val="00E85278"/>
    <w:rsid w:val="00E863BA"/>
    <w:rsid w:val="00E865A8"/>
    <w:rsid w:val="00E87551"/>
    <w:rsid w:val="00E875B7"/>
    <w:rsid w:val="00E905DA"/>
    <w:rsid w:val="00E91355"/>
    <w:rsid w:val="00E916CD"/>
    <w:rsid w:val="00E918D2"/>
    <w:rsid w:val="00E91B2F"/>
    <w:rsid w:val="00E91CDD"/>
    <w:rsid w:val="00E93545"/>
    <w:rsid w:val="00E946C9"/>
    <w:rsid w:val="00E948AC"/>
    <w:rsid w:val="00E94E22"/>
    <w:rsid w:val="00E954BA"/>
    <w:rsid w:val="00E95DC6"/>
    <w:rsid w:val="00E96E14"/>
    <w:rsid w:val="00EA0F31"/>
    <w:rsid w:val="00EA0F71"/>
    <w:rsid w:val="00EA100B"/>
    <w:rsid w:val="00EA1EA1"/>
    <w:rsid w:val="00EA2412"/>
    <w:rsid w:val="00EA34ED"/>
    <w:rsid w:val="00EA51BF"/>
    <w:rsid w:val="00EA73BE"/>
    <w:rsid w:val="00EA79A4"/>
    <w:rsid w:val="00EA7A2A"/>
    <w:rsid w:val="00EA7D59"/>
    <w:rsid w:val="00EB0F25"/>
    <w:rsid w:val="00EB227B"/>
    <w:rsid w:val="00EB22A0"/>
    <w:rsid w:val="00EB260B"/>
    <w:rsid w:val="00EB3322"/>
    <w:rsid w:val="00EB4432"/>
    <w:rsid w:val="00EB4C39"/>
    <w:rsid w:val="00EB7756"/>
    <w:rsid w:val="00EC0541"/>
    <w:rsid w:val="00EC0F9C"/>
    <w:rsid w:val="00EC12D9"/>
    <w:rsid w:val="00EC1E14"/>
    <w:rsid w:val="00EC3333"/>
    <w:rsid w:val="00EC3451"/>
    <w:rsid w:val="00EC3A5D"/>
    <w:rsid w:val="00EC48AB"/>
    <w:rsid w:val="00EC4CAB"/>
    <w:rsid w:val="00EC5E4E"/>
    <w:rsid w:val="00ED078E"/>
    <w:rsid w:val="00ED0ACE"/>
    <w:rsid w:val="00ED484F"/>
    <w:rsid w:val="00ED4F70"/>
    <w:rsid w:val="00ED5301"/>
    <w:rsid w:val="00ED5420"/>
    <w:rsid w:val="00ED5EDF"/>
    <w:rsid w:val="00ED62B2"/>
    <w:rsid w:val="00ED7B54"/>
    <w:rsid w:val="00EE09E1"/>
    <w:rsid w:val="00EE1854"/>
    <w:rsid w:val="00EE237C"/>
    <w:rsid w:val="00EE28D7"/>
    <w:rsid w:val="00EE2A58"/>
    <w:rsid w:val="00EE3232"/>
    <w:rsid w:val="00EE53BB"/>
    <w:rsid w:val="00EE5DDD"/>
    <w:rsid w:val="00EE6164"/>
    <w:rsid w:val="00EE70C6"/>
    <w:rsid w:val="00EE7275"/>
    <w:rsid w:val="00EF01D9"/>
    <w:rsid w:val="00EF0981"/>
    <w:rsid w:val="00EF1129"/>
    <w:rsid w:val="00EF1AD1"/>
    <w:rsid w:val="00EF35A2"/>
    <w:rsid w:val="00EF35E7"/>
    <w:rsid w:val="00EF3D87"/>
    <w:rsid w:val="00EF3EBA"/>
    <w:rsid w:val="00EF465B"/>
    <w:rsid w:val="00EF5130"/>
    <w:rsid w:val="00EF531B"/>
    <w:rsid w:val="00EF5440"/>
    <w:rsid w:val="00EF6576"/>
    <w:rsid w:val="00EF74D3"/>
    <w:rsid w:val="00F00447"/>
    <w:rsid w:val="00F01974"/>
    <w:rsid w:val="00F01B58"/>
    <w:rsid w:val="00F02634"/>
    <w:rsid w:val="00F03386"/>
    <w:rsid w:val="00F03551"/>
    <w:rsid w:val="00F05B00"/>
    <w:rsid w:val="00F06D88"/>
    <w:rsid w:val="00F06E41"/>
    <w:rsid w:val="00F0700B"/>
    <w:rsid w:val="00F07B3A"/>
    <w:rsid w:val="00F07E22"/>
    <w:rsid w:val="00F10400"/>
    <w:rsid w:val="00F10576"/>
    <w:rsid w:val="00F10F99"/>
    <w:rsid w:val="00F111B1"/>
    <w:rsid w:val="00F122A1"/>
    <w:rsid w:val="00F147E5"/>
    <w:rsid w:val="00F15878"/>
    <w:rsid w:val="00F16620"/>
    <w:rsid w:val="00F171C0"/>
    <w:rsid w:val="00F17921"/>
    <w:rsid w:val="00F203C1"/>
    <w:rsid w:val="00F20666"/>
    <w:rsid w:val="00F215AF"/>
    <w:rsid w:val="00F22138"/>
    <w:rsid w:val="00F237CE"/>
    <w:rsid w:val="00F24078"/>
    <w:rsid w:val="00F24978"/>
    <w:rsid w:val="00F24F62"/>
    <w:rsid w:val="00F25BC4"/>
    <w:rsid w:val="00F25E67"/>
    <w:rsid w:val="00F264E4"/>
    <w:rsid w:val="00F26C54"/>
    <w:rsid w:val="00F30392"/>
    <w:rsid w:val="00F30D92"/>
    <w:rsid w:val="00F319A0"/>
    <w:rsid w:val="00F31FF6"/>
    <w:rsid w:val="00F323D0"/>
    <w:rsid w:val="00F32B76"/>
    <w:rsid w:val="00F33867"/>
    <w:rsid w:val="00F33D5D"/>
    <w:rsid w:val="00F34ECE"/>
    <w:rsid w:val="00F369BE"/>
    <w:rsid w:val="00F36C06"/>
    <w:rsid w:val="00F36D22"/>
    <w:rsid w:val="00F42061"/>
    <w:rsid w:val="00F4221C"/>
    <w:rsid w:val="00F43745"/>
    <w:rsid w:val="00F43F57"/>
    <w:rsid w:val="00F440D7"/>
    <w:rsid w:val="00F449AD"/>
    <w:rsid w:val="00F46F1D"/>
    <w:rsid w:val="00F47A00"/>
    <w:rsid w:val="00F50D8B"/>
    <w:rsid w:val="00F515FB"/>
    <w:rsid w:val="00F51E24"/>
    <w:rsid w:val="00F523FB"/>
    <w:rsid w:val="00F5241D"/>
    <w:rsid w:val="00F528A7"/>
    <w:rsid w:val="00F52B1A"/>
    <w:rsid w:val="00F52D65"/>
    <w:rsid w:val="00F53E94"/>
    <w:rsid w:val="00F54417"/>
    <w:rsid w:val="00F54570"/>
    <w:rsid w:val="00F54AC6"/>
    <w:rsid w:val="00F54DCB"/>
    <w:rsid w:val="00F54FB8"/>
    <w:rsid w:val="00F56160"/>
    <w:rsid w:val="00F56771"/>
    <w:rsid w:val="00F57340"/>
    <w:rsid w:val="00F5752F"/>
    <w:rsid w:val="00F606B3"/>
    <w:rsid w:val="00F60F23"/>
    <w:rsid w:val="00F61CC8"/>
    <w:rsid w:val="00F64024"/>
    <w:rsid w:val="00F649A5"/>
    <w:rsid w:val="00F65FEC"/>
    <w:rsid w:val="00F67C7E"/>
    <w:rsid w:val="00F705B0"/>
    <w:rsid w:val="00F709E8"/>
    <w:rsid w:val="00F74128"/>
    <w:rsid w:val="00F74537"/>
    <w:rsid w:val="00F752BF"/>
    <w:rsid w:val="00F76272"/>
    <w:rsid w:val="00F76B99"/>
    <w:rsid w:val="00F76C6A"/>
    <w:rsid w:val="00F77C69"/>
    <w:rsid w:val="00F77D2A"/>
    <w:rsid w:val="00F77E50"/>
    <w:rsid w:val="00F77E84"/>
    <w:rsid w:val="00F77EA7"/>
    <w:rsid w:val="00F804F7"/>
    <w:rsid w:val="00F80610"/>
    <w:rsid w:val="00F815C0"/>
    <w:rsid w:val="00F829C1"/>
    <w:rsid w:val="00F84765"/>
    <w:rsid w:val="00F84C7D"/>
    <w:rsid w:val="00F84F54"/>
    <w:rsid w:val="00F853EC"/>
    <w:rsid w:val="00F85EA7"/>
    <w:rsid w:val="00F8600A"/>
    <w:rsid w:val="00F861F7"/>
    <w:rsid w:val="00F86B2C"/>
    <w:rsid w:val="00F874BA"/>
    <w:rsid w:val="00F87A42"/>
    <w:rsid w:val="00F91695"/>
    <w:rsid w:val="00F916C2"/>
    <w:rsid w:val="00F91A31"/>
    <w:rsid w:val="00F93837"/>
    <w:rsid w:val="00F93DBE"/>
    <w:rsid w:val="00F94C6F"/>
    <w:rsid w:val="00F977A8"/>
    <w:rsid w:val="00F97C8E"/>
    <w:rsid w:val="00FA02DE"/>
    <w:rsid w:val="00FA11B1"/>
    <w:rsid w:val="00FA1346"/>
    <w:rsid w:val="00FA1618"/>
    <w:rsid w:val="00FA214A"/>
    <w:rsid w:val="00FA2531"/>
    <w:rsid w:val="00FA311E"/>
    <w:rsid w:val="00FA3936"/>
    <w:rsid w:val="00FA5383"/>
    <w:rsid w:val="00FA6EE0"/>
    <w:rsid w:val="00FA73BB"/>
    <w:rsid w:val="00FB0392"/>
    <w:rsid w:val="00FB0A32"/>
    <w:rsid w:val="00FB373A"/>
    <w:rsid w:val="00FB3F96"/>
    <w:rsid w:val="00FB51B7"/>
    <w:rsid w:val="00FB557F"/>
    <w:rsid w:val="00FB6CF7"/>
    <w:rsid w:val="00FB7EFC"/>
    <w:rsid w:val="00FC01C9"/>
    <w:rsid w:val="00FC03AE"/>
    <w:rsid w:val="00FC1769"/>
    <w:rsid w:val="00FC1987"/>
    <w:rsid w:val="00FC3857"/>
    <w:rsid w:val="00FC3E4A"/>
    <w:rsid w:val="00FC416C"/>
    <w:rsid w:val="00FC53D0"/>
    <w:rsid w:val="00FC6F4C"/>
    <w:rsid w:val="00FD03A9"/>
    <w:rsid w:val="00FD08B6"/>
    <w:rsid w:val="00FD10A3"/>
    <w:rsid w:val="00FD1C89"/>
    <w:rsid w:val="00FD2DFA"/>
    <w:rsid w:val="00FD3AC2"/>
    <w:rsid w:val="00FD4651"/>
    <w:rsid w:val="00FD56DA"/>
    <w:rsid w:val="00FD57A1"/>
    <w:rsid w:val="00FD5DC9"/>
    <w:rsid w:val="00FE02FC"/>
    <w:rsid w:val="00FE0963"/>
    <w:rsid w:val="00FE0EED"/>
    <w:rsid w:val="00FE1878"/>
    <w:rsid w:val="00FE1C4F"/>
    <w:rsid w:val="00FE25EF"/>
    <w:rsid w:val="00FE2CED"/>
    <w:rsid w:val="00FE3926"/>
    <w:rsid w:val="00FE42CA"/>
    <w:rsid w:val="00FE5A60"/>
    <w:rsid w:val="00FE6D78"/>
    <w:rsid w:val="00FE76CD"/>
    <w:rsid w:val="00FE78D2"/>
    <w:rsid w:val="00FE7F58"/>
    <w:rsid w:val="00FF0101"/>
    <w:rsid w:val="00FF02DF"/>
    <w:rsid w:val="00FF0469"/>
    <w:rsid w:val="00FF2F05"/>
    <w:rsid w:val="00FF31C2"/>
    <w:rsid w:val="00FF4263"/>
    <w:rsid w:val="00FF426C"/>
    <w:rsid w:val="00FF5135"/>
    <w:rsid w:val="00FF58BE"/>
    <w:rsid w:val="00FF6E3D"/>
    <w:rsid w:val="00FF75FA"/>
    <w:rsid w:val="00FF7E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D3A"/>
    <w:pPr>
      <w:ind w:firstLine="539"/>
      <w:jc w:val="both"/>
    </w:pPr>
    <w:rPr>
      <w:rFonts w:ascii="Arial" w:hAnsi="Arial"/>
      <w:sz w:val="22"/>
      <w:szCs w:val="24"/>
      <w:lang w:eastAsia="en-US"/>
    </w:rPr>
  </w:style>
  <w:style w:type="paragraph" w:styleId="Nadpis1">
    <w:name w:val="heading 1"/>
    <w:basedOn w:val="Normln"/>
    <w:next w:val="Normln"/>
    <w:link w:val="Nadpis1Char"/>
    <w:qFormat/>
    <w:rsid w:val="00571B6F"/>
    <w:pPr>
      <w:keepNext/>
      <w:numPr>
        <w:numId w:val="1"/>
      </w:numPr>
      <w:overflowPunct w:val="0"/>
      <w:autoSpaceDE w:val="0"/>
      <w:autoSpaceDN w:val="0"/>
      <w:adjustRightInd w:val="0"/>
      <w:textAlignment w:val="baseline"/>
      <w:outlineLvl w:val="0"/>
    </w:pPr>
    <w:rPr>
      <w:b/>
      <w:bCs/>
      <w:sz w:val="32"/>
      <w:szCs w:val="20"/>
      <w:lang w:eastAsia="cs-CZ"/>
    </w:rPr>
  </w:style>
  <w:style w:type="paragraph" w:styleId="Nadpis2">
    <w:name w:val="heading 2"/>
    <w:basedOn w:val="Normln"/>
    <w:next w:val="Normln"/>
    <w:link w:val="Nadpis2Char"/>
    <w:qFormat/>
    <w:rsid w:val="00571B6F"/>
    <w:pPr>
      <w:keepNext/>
      <w:numPr>
        <w:ilvl w:val="1"/>
        <w:numId w:val="1"/>
      </w:numPr>
      <w:outlineLvl w:val="1"/>
    </w:pPr>
    <w:rPr>
      <w:rFonts w:cs="Arial"/>
      <w:b/>
      <w:sz w:val="28"/>
    </w:rPr>
  </w:style>
  <w:style w:type="paragraph" w:styleId="Nadpis3">
    <w:name w:val="heading 3"/>
    <w:basedOn w:val="Normln"/>
    <w:next w:val="Normln"/>
    <w:link w:val="Nadpis3Char"/>
    <w:qFormat/>
    <w:rsid w:val="004B388A"/>
    <w:pPr>
      <w:keepNext/>
      <w:numPr>
        <w:ilvl w:val="2"/>
        <w:numId w:val="1"/>
      </w:numPr>
      <w:outlineLvl w:val="2"/>
    </w:pPr>
    <w:rPr>
      <w:rFonts w:cs="Arial"/>
      <w:b/>
      <w:bCs/>
      <w:sz w:val="26"/>
      <w:szCs w:val="26"/>
    </w:rPr>
  </w:style>
  <w:style w:type="paragraph" w:styleId="Nadpis4">
    <w:name w:val="heading 4"/>
    <w:basedOn w:val="Normln"/>
    <w:next w:val="Normln"/>
    <w:qFormat/>
    <w:rsid w:val="004B388A"/>
    <w:pPr>
      <w:keepNext/>
      <w:numPr>
        <w:ilvl w:val="3"/>
        <w:numId w:val="1"/>
      </w:numPr>
      <w:tabs>
        <w:tab w:val="left" w:leader="dot" w:pos="567"/>
      </w:tabs>
      <w:spacing w:before="240"/>
      <w:jc w:val="left"/>
      <w:outlineLvl w:val="3"/>
    </w:pPr>
    <w:rPr>
      <w:rFonts w:cs="Arial"/>
      <w:b/>
      <w:sz w:val="24"/>
    </w:rPr>
  </w:style>
  <w:style w:type="paragraph" w:styleId="Nadpis5">
    <w:name w:val="heading 5"/>
    <w:basedOn w:val="Normln"/>
    <w:next w:val="Normln"/>
    <w:qFormat/>
    <w:rsid w:val="00571B6F"/>
    <w:pPr>
      <w:numPr>
        <w:ilvl w:val="4"/>
        <w:numId w:val="1"/>
      </w:numPr>
      <w:spacing w:before="240" w:after="60"/>
      <w:outlineLvl w:val="4"/>
    </w:pPr>
    <w:rPr>
      <w:b/>
      <w:bCs/>
      <w:szCs w:val="26"/>
    </w:rPr>
  </w:style>
  <w:style w:type="paragraph" w:styleId="Nadpis6">
    <w:name w:val="heading 6"/>
    <w:basedOn w:val="Normln"/>
    <w:next w:val="Normln"/>
    <w:qFormat/>
    <w:rsid w:val="00571B6F"/>
    <w:pPr>
      <w:numPr>
        <w:ilvl w:val="5"/>
        <w:numId w:val="2"/>
      </w:numPr>
      <w:spacing w:before="240" w:after="60"/>
      <w:outlineLvl w:val="5"/>
    </w:pPr>
    <w:rPr>
      <w:b/>
      <w:bCs/>
      <w:i/>
      <w:iCs/>
      <w:szCs w:val="22"/>
    </w:rPr>
  </w:style>
  <w:style w:type="paragraph" w:styleId="Nadpis7">
    <w:name w:val="heading 7"/>
    <w:basedOn w:val="Normln"/>
    <w:next w:val="Normln"/>
    <w:qFormat/>
    <w:rsid w:val="00571B6F"/>
    <w:pPr>
      <w:numPr>
        <w:ilvl w:val="6"/>
        <w:numId w:val="1"/>
      </w:numPr>
      <w:spacing w:before="240" w:after="60"/>
      <w:outlineLvl w:val="6"/>
    </w:pPr>
  </w:style>
  <w:style w:type="paragraph" w:styleId="Nadpis8">
    <w:name w:val="heading 8"/>
    <w:basedOn w:val="Normln"/>
    <w:next w:val="Normln"/>
    <w:qFormat/>
    <w:rsid w:val="00571B6F"/>
    <w:pPr>
      <w:numPr>
        <w:ilvl w:val="7"/>
        <w:numId w:val="1"/>
      </w:numPr>
      <w:spacing w:before="240" w:after="60"/>
      <w:outlineLvl w:val="7"/>
    </w:pPr>
    <w:rPr>
      <w:i/>
      <w:iCs/>
    </w:rPr>
  </w:style>
  <w:style w:type="paragraph" w:styleId="Nadpis9">
    <w:name w:val="heading 9"/>
    <w:basedOn w:val="Normln"/>
    <w:next w:val="Normln"/>
    <w:qFormat/>
    <w:rsid w:val="00571B6F"/>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571B6F"/>
  </w:style>
  <w:style w:type="paragraph" w:styleId="Zhlav">
    <w:name w:val="header"/>
    <w:basedOn w:val="Normln"/>
    <w:link w:val="ZhlavChar"/>
    <w:semiHidden/>
    <w:rsid w:val="00571B6F"/>
    <w:pPr>
      <w:tabs>
        <w:tab w:val="center" w:pos="4536"/>
        <w:tab w:val="right" w:pos="9072"/>
      </w:tabs>
    </w:pPr>
  </w:style>
  <w:style w:type="paragraph" w:styleId="Zpat">
    <w:name w:val="footer"/>
    <w:basedOn w:val="Normln"/>
    <w:link w:val="ZpatChar"/>
    <w:uiPriority w:val="99"/>
    <w:rsid w:val="00571B6F"/>
    <w:pPr>
      <w:tabs>
        <w:tab w:val="center" w:pos="4536"/>
        <w:tab w:val="right" w:pos="9072"/>
      </w:tabs>
    </w:pPr>
  </w:style>
  <w:style w:type="character" w:styleId="Hypertextovodkaz">
    <w:name w:val="Hyperlink"/>
    <w:basedOn w:val="Standardnpsmoodstavce"/>
    <w:uiPriority w:val="99"/>
    <w:rsid w:val="00571B6F"/>
    <w:rPr>
      <w:color w:val="0000FF"/>
      <w:u w:val="single"/>
    </w:rPr>
  </w:style>
  <w:style w:type="character" w:styleId="slostrnky">
    <w:name w:val="page number"/>
    <w:basedOn w:val="Standardnpsmoodstavce"/>
    <w:semiHidden/>
    <w:rsid w:val="00571B6F"/>
  </w:style>
  <w:style w:type="character" w:styleId="Sledovanodkaz">
    <w:name w:val="FollowedHyperlink"/>
    <w:basedOn w:val="Standardnpsmoodstavce"/>
    <w:semiHidden/>
    <w:rsid w:val="00571B6F"/>
    <w:rPr>
      <w:color w:val="800080"/>
      <w:u w:val="single"/>
    </w:rPr>
  </w:style>
  <w:style w:type="paragraph" w:styleId="Zkladntext">
    <w:name w:val="Body Text"/>
    <w:basedOn w:val="Normln"/>
    <w:semiHidden/>
    <w:rsid w:val="00571B6F"/>
    <w:rPr>
      <w:rFonts w:cs="Arial"/>
      <w:i/>
    </w:rPr>
  </w:style>
  <w:style w:type="paragraph" w:styleId="Zkladntextodsazen">
    <w:name w:val="Body Text Indent"/>
    <w:basedOn w:val="Normln"/>
    <w:link w:val="ZkladntextodsazenChar"/>
    <w:semiHidden/>
    <w:rsid w:val="00571B6F"/>
    <w:pPr>
      <w:spacing w:after="120"/>
      <w:ind w:firstLine="720"/>
    </w:pPr>
  </w:style>
  <w:style w:type="paragraph" w:styleId="Textpoznpodarou">
    <w:name w:val="footnote text"/>
    <w:basedOn w:val="Normln"/>
    <w:link w:val="TextpoznpodarouChar"/>
    <w:uiPriority w:val="99"/>
    <w:rsid w:val="00571B6F"/>
    <w:rPr>
      <w:sz w:val="20"/>
      <w:szCs w:val="20"/>
    </w:rPr>
  </w:style>
  <w:style w:type="character" w:styleId="Znakapoznpodarou">
    <w:name w:val="footnote reference"/>
    <w:basedOn w:val="Standardnpsmoodstavce"/>
    <w:uiPriority w:val="99"/>
    <w:rsid w:val="00571B6F"/>
    <w:rPr>
      <w:vertAlign w:val="superscript"/>
    </w:rPr>
  </w:style>
  <w:style w:type="paragraph" w:customStyle="1" w:styleId="BodyText31">
    <w:name w:val="Body Text 31"/>
    <w:basedOn w:val="Normln"/>
    <w:rsid w:val="00571B6F"/>
    <w:pPr>
      <w:overflowPunct w:val="0"/>
      <w:autoSpaceDE w:val="0"/>
      <w:autoSpaceDN w:val="0"/>
      <w:adjustRightInd w:val="0"/>
      <w:textAlignment w:val="baseline"/>
    </w:pPr>
    <w:rPr>
      <w:szCs w:val="20"/>
      <w:lang w:eastAsia="cs-CZ"/>
    </w:rPr>
  </w:style>
  <w:style w:type="paragraph" w:styleId="Zkladntext2">
    <w:name w:val="Body Text 2"/>
    <w:basedOn w:val="Normln"/>
    <w:semiHidden/>
    <w:rsid w:val="00571B6F"/>
    <w:rPr>
      <w:rFonts w:cs="Arial"/>
      <w:lang w:eastAsia="cs-CZ"/>
    </w:rPr>
  </w:style>
  <w:style w:type="paragraph" w:styleId="Zkladntext3">
    <w:name w:val="Body Text 3"/>
    <w:basedOn w:val="Normln"/>
    <w:semiHidden/>
    <w:rsid w:val="00571B6F"/>
    <w:rPr>
      <w:rFonts w:cs="Arial"/>
      <w:lang w:eastAsia="cs-CZ"/>
    </w:rPr>
  </w:style>
  <w:style w:type="paragraph" w:customStyle="1" w:styleId="citace">
    <w:name w:val="citace"/>
    <w:basedOn w:val="Normln"/>
    <w:next w:val="Normln"/>
    <w:rsid w:val="00571B6F"/>
    <w:pPr>
      <w:spacing w:after="120"/>
      <w:ind w:firstLine="720"/>
    </w:pPr>
    <w:rPr>
      <w:i/>
    </w:rPr>
  </w:style>
  <w:style w:type="paragraph" w:styleId="Zkladntextodsazen2">
    <w:name w:val="Body Text Indent 2"/>
    <w:basedOn w:val="Normln"/>
    <w:semiHidden/>
    <w:rsid w:val="00571B6F"/>
    <w:pPr>
      <w:ind w:left="470" w:firstLine="180"/>
    </w:pPr>
    <w:rPr>
      <w:b/>
      <w:bCs/>
      <w:sz w:val="20"/>
    </w:rPr>
  </w:style>
  <w:style w:type="paragraph" w:styleId="Zkladntextodsazen3">
    <w:name w:val="Body Text Indent 3"/>
    <w:basedOn w:val="Normln"/>
    <w:semiHidden/>
    <w:rsid w:val="00571B6F"/>
    <w:pPr>
      <w:ind w:firstLine="720"/>
    </w:pPr>
  </w:style>
  <w:style w:type="paragraph" w:styleId="Nzev">
    <w:name w:val="Title"/>
    <w:basedOn w:val="Normln"/>
    <w:link w:val="NzevChar"/>
    <w:uiPriority w:val="10"/>
    <w:qFormat/>
    <w:rsid w:val="00571B6F"/>
    <w:pPr>
      <w:jc w:val="center"/>
    </w:pPr>
    <w:rPr>
      <w:b/>
      <w:bCs/>
      <w:sz w:val="28"/>
    </w:rPr>
  </w:style>
  <w:style w:type="paragraph" w:styleId="Citace0">
    <w:name w:val="Quote"/>
    <w:basedOn w:val="Normln"/>
    <w:next w:val="Normln"/>
    <w:link w:val="CitaceChar"/>
    <w:qFormat/>
    <w:rsid w:val="00571B6F"/>
    <w:pPr>
      <w:spacing w:before="120" w:after="120"/>
    </w:pPr>
    <w:rPr>
      <w:i/>
      <w:iCs/>
    </w:rPr>
  </w:style>
  <w:style w:type="paragraph" w:customStyle="1" w:styleId="Normln0">
    <w:name w:val="Norm‡ln’"/>
    <w:rsid w:val="00571B6F"/>
    <w:pPr>
      <w:overflowPunct w:val="0"/>
      <w:autoSpaceDE w:val="0"/>
      <w:autoSpaceDN w:val="0"/>
      <w:adjustRightInd w:val="0"/>
      <w:textAlignment w:val="baseline"/>
    </w:pPr>
    <w:rPr>
      <w:sz w:val="24"/>
    </w:rPr>
  </w:style>
  <w:style w:type="paragraph" w:styleId="Titulek">
    <w:name w:val="caption"/>
    <w:basedOn w:val="Normln"/>
    <w:next w:val="Normln"/>
    <w:uiPriority w:val="35"/>
    <w:qFormat/>
    <w:rsid w:val="00571B6F"/>
    <w:pPr>
      <w:spacing w:before="120" w:after="120"/>
      <w:ind w:firstLine="0"/>
      <w:jc w:val="left"/>
    </w:pPr>
    <w:rPr>
      <w:rFonts w:cs="Arial"/>
      <w:b/>
      <w:bCs/>
      <w:sz w:val="20"/>
      <w:szCs w:val="20"/>
    </w:rPr>
  </w:style>
  <w:style w:type="paragraph" w:customStyle="1" w:styleId="xl23">
    <w:name w:val="xl23"/>
    <w:basedOn w:val="Normln"/>
    <w:rsid w:val="00571B6F"/>
    <w:pPr>
      <w:spacing w:before="100" w:beforeAutospacing="1" w:after="100" w:afterAutospacing="1"/>
      <w:ind w:firstLine="0"/>
    </w:pPr>
    <w:rPr>
      <w:rFonts w:ascii="Times New Roman" w:eastAsia="Arial Unicode MS" w:hAnsi="Times New Roman"/>
      <w:sz w:val="24"/>
      <w:lang w:eastAsia="cs-CZ"/>
    </w:rPr>
  </w:style>
  <w:style w:type="character" w:styleId="Zvraznn">
    <w:name w:val="Emphasis"/>
    <w:basedOn w:val="Standardnpsmoodstavce"/>
    <w:qFormat/>
    <w:rsid w:val="00571B6F"/>
    <w:rPr>
      <w:i/>
      <w:iCs/>
    </w:rPr>
  </w:style>
  <w:style w:type="paragraph" w:customStyle="1" w:styleId="Styl1">
    <w:name w:val="Styl1"/>
    <w:basedOn w:val="Nadpis5"/>
    <w:rsid w:val="00571B6F"/>
  </w:style>
  <w:style w:type="paragraph" w:styleId="Rozvrendokumentu">
    <w:name w:val="Document Map"/>
    <w:basedOn w:val="Normln"/>
    <w:semiHidden/>
    <w:rsid w:val="00571B6F"/>
    <w:pPr>
      <w:shd w:val="clear" w:color="auto" w:fill="000080"/>
    </w:pPr>
    <w:rPr>
      <w:rFonts w:ascii="Tahoma" w:hAnsi="Tahoma" w:cs="Tahoma"/>
    </w:rPr>
  </w:style>
  <w:style w:type="paragraph" w:styleId="Seznamsodrkami">
    <w:name w:val="List Bullet"/>
    <w:basedOn w:val="Normln"/>
    <w:autoRedefine/>
    <w:semiHidden/>
    <w:rsid w:val="00AF67D1"/>
    <w:pPr>
      <w:numPr>
        <w:numId w:val="3"/>
      </w:numPr>
      <w:jc w:val="left"/>
    </w:pPr>
    <w:rPr>
      <w:rFonts w:ascii="Times New Roman" w:hAnsi="Times New Roman"/>
      <w:sz w:val="24"/>
    </w:rPr>
  </w:style>
  <w:style w:type="character" w:customStyle="1" w:styleId="NzevChar">
    <w:name w:val="Název Char"/>
    <w:basedOn w:val="Standardnpsmoodstavce"/>
    <w:link w:val="Nzev"/>
    <w:uiPriority w:val="10"/>
    <w:locked/>
    <w:rsid w:val="009B0308"/>
    <w:rPr>
      <w:rFonts w:ascii="Arial" w:hAnsi="Arial"/>
      <w:b/>
      <w:bCs/>
      <w:sz w:val="28"/>
      <w:szCs w:val="24"/>
      <w:lang w:eastAsia="en-US"/>
    </w:rPr>
  </w:style>
  <w:style w:type="character" w:customStyle="1" w:styleId="ZhlavChar">
    <w:name w:val="Záhlaví Char"/>
    <w:basedOn w:val="Standardnpsmoodstavce"/>
    <w:link w:val="Zhlav"/>
    <w:semiHidden/>
    <w:locked/>
    <w:rsid w:val="009559D3"/>
    <w:rPr>
      <w:rFonts w:ascii="Arial" w:hAnsi="Arial"/>
      <w:sz w:val="22"/>
      <w:szCs w:val="24"/>
      <w:lang w:eastAsia="en-US"/>
    </w:rPr>
  </w:style>
  <w:style w:type="table" w:styleId="Mkatabulky">
    <w:name w:val="Table Grid"/>
    <w:basedOn w:val="Normlntabulka"/>
    <w:uiPriority w:val="59"/>
    <w:rsid w:val="007D4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semiHidden/>
    <w:rsid w:val="00005F34"/>
    <w:rPr>
      <w:rFonts w:ascii="Tahoma" w:hAnsi="Tahoma" w:cs="Tahoma"/>
      <w:sz w:val="16"/>
      <w:szCs w:val="16"/>
    </w:rPr>
  </w:style>
  <w:style w:type="paragraph" w:styleId="Seznamsodrkami2">
    <w:name w:val="List Bullet 2"/>
    <w:basedOn w:val="Normln"/>
    <w:uiPriority w:val="99"/>
    <w:semiHidden/>
    <w:unhideWhenUsed/>
    <w:rsid w:val="007D6BB8"/>
    <w:pPr>
      <w:numPr>
        <w:numId w:val="4"/>
      </w:numPr>
      <w:contextualSpacing/>
    </w:pPr>
  </w:style>
  <w:style w:type="paragraph" w:styleId="Odstavecseseznamem">
    <w:name w:val="List Paragraph"/>
    <w:aliases w:val="Nadpis pro KZ"/>
    <w:basedOn w:val="Normln"/>
    <w:uiPriority w:val="34"/>
    <w:qFormat/>
    <w:rsid w:val="005F19B6"/>
    <w:pPr>
      <w:ind w:left="720"/>
      <w:contextualSpacing/>
    </w:pPr>
  </w:style>
  <w:style w:type="paragraph" w:styleId="Normlnodsazen">
    <w:name w:val="Normal Indent"/>
    <w:basedOn w:val="Normln"/>
    <w:uiPriority w:val="99"/>
    <w:rsid w:val="00526B89"/>
    <w:pPr>
      <w:spacing w:line="360" w:lineRule="auto"/>
      <w:ind w:firstLine="720"/>
    </w:pPr>
  </w:style>
  <w:style w:type="character" w:customStyle="1" w:styleId="TextpoznpodarouChar">
    <w:name w:val="Text pozn. pod čarou Char"/>
    <w:basedOn w:val="Standardnpsmoodstavce"/>
    <w:link w:val="Textpoznpodarou"/>
    <w:uiPriority w:val="99"/>
    <w:rsid w:val="009D5793"/>
    <w:rPr>
      <w:rFonts w:ascii="Arial" w:hAnsi="Arial"/>
      <w:lang w:eastAsia="en-US"/>
    </w:rPr>
  </w:style>
  <w:style w:type="character" w:customStyle="1" w:styleId="Nadpis3Char">
    <w:name w:val="Nadpis 3 Char"/>
    <w:basedOn w:val="Standardnpsmoodstavce"/>
    <w:link w:val="Nadpis3"/>
    <w:rsid w:val="004B388A"/>
    <w:rPr>
      <w:rFonts w:ascii="Arial" w:hAnsi="Arial" w:cs="Arial"/>
      <w:b/>
      <w:bCs/>
      <w:sz w:val="26"/>
      <w:szCs w:val="26"/>
      <w:lang w:eastAsia="en-US"/>
    </w:rPr>
  </w:style>
  <w:style w:type="paragraph" w:customStyle="1" w:styleId="NormlnKZ">
    <w:name w:val="Normální KZ"/>
    <w:basedOn w:val="Normln"/>
    <w:uiPriority w:val="99"/>
    <w:rsid w:val="007C4C23"/>
    <w:pPr>
      <w:spacing w:after="120"/>
      <w:ind w:firstLine="425"/>
    </w:pPr>
    <w:rPr>
      <w:rFonts w:ascii="Times New Roman" w:hAnsi="Times New Roman"/>
      <w:lang w:eastAsia="cs-CZ"/>
    </w:rPr>
  </w:style>
  <w:style w:type="character" w:customStyle="1" w:styleId="Nadpis1Char">
    <w:name w:val="Nadpis 1 Char"/>
    <w:basedOn w:val="Standardnpsmoodstavce"/>
    <w:link w:val="Nadpis1"/>
    <w:rsid w:val="00F977A8"/>
    <w:rPr>
      <w:rFonts w:ascii="Arial" w:hAnsi="Arial"/>
      <w:b/>
      <w:bCs/>
      <w:sz w:val="32"/>
    </w:rPr>
  </w:style>
  <w:style w:type="character" w:customStyle="1" w:styleId="Nadpis2Char">
    <w:name w:val="Nadpis 2 Char"/>
    <w:basedOn w:val="Standardnpsmoodstavce"/>
    <w:link w:val="Nadpis2"/>
    <w:rsid w:val="00F977A8"/>
    <w:rPr>
      <w:rFonts w:ascii="Arial" w:hAnsi="Arial" w:cs="Arial"/>
      <w:b/>
      <w:sz w:val="28"/>
      <w:szCs w:val="24"/>
      <w:lang w:eastAsia="en-US"/>
    </w:rPr>
  </w:style>
  <w:style w:type="character" w:customStyle="1" w:styleId="CitaceChar">
    <w:name w:val="Citace Char"/>
    <w:basedOn w:val="Standardnpsmoodstavce"/>
    <w:link w:val="Citace0"/>
    <w:rsid w:val="00F977A8"/>
    <w:rPr>
      <w:rFonts w:ascii="Arial" w:hAnsi="Arial"/>
      <w:i/>
      <w:iCs/>
      <w:sz w:val="22"/>
      <w:szCs w:val="24"/>
      <w:lang w:eastAsia="en-US"/>
    </w:rPr>
  </w:style>
  <w:style w:type="character" w:styleId="Odkaznakoment">
    <w:name w:val="annotation reference"/>
    <w:basedOn w:val="Standardnpsmoodstavce"/>
    <w:uiPriority w:val="99"/>
    <w:semiHidden/>
    <w:unhideWhenUsed/>
    <w:rsid w:val="00D26583"/>
    <w:rPr>
      <w:sz w:val="16"/>
      <w:szCs w:val="16"/>
    </w:rPr>
  </w:style>
  <w:style w:type="paragraph" w:styleId="Textkomente">
    <w:name w:val="annotation text"/>
    <w:basedOn w:val="Normln"/>
    <w:link w:val="TextkomenteChar"/>
    <w:uiPriority w:val="99"/>
    <w:semiHidden/>
    <w:unhideWhenUsed/>
    <w:rsid w:val="00D26583"/>
    <w:rPr>
      <w:sz w:val="20"/>
      <w:szCs w:val="20"/>
    </w:rPr>
  </w:style>
  <w:style w:type="character" w:customStyle="1" w:styleId="TextkomenteChar">
    <w:name w:val="Text komentáře Char"/>
    <w:basedOn w:val="Standardnpsmoodstavce"/>
    <w:link w:val="Textkomente"/>
    <w:uiPriority w:val="99"/>
    <w:semiHidden/>
    <w:rsid w:val="00D26583"/>
    <w:rPr>
      <w:rFonts w:ascii="Arial" w:hAnsi="Arial"/>
      <w:lang w:eastAsia="en-US"/>
    </w:rPr>
  </w:style>
  <w:style w:type="paragraph" w:styleId="Pedmtkomente">
    <w:name w:val="annotation subject"/>
    <w:basedOn w:val="Textkomente"/>
    <w:next w:val="Textkomente"/>
    <w:link w:val="PedmtkomenteChar"/>
    <w:uiPriority w:val="99"/>
    <w:semiHidden/>
    <w:unhideWhenUsed/>
    <w:rsid w:val="00D26583"/>
    <w:rPr>
      <w:b/>
      <w:bCs/>
    </w:rPr>
  </w:style>
  <w:style w:type="character" w:customStyle="1" w:styleId="PedmtkomenteChar">
    <w:name w:val="Předmět komentáře Char"/>
    <w:basedOn w:val="TextkomenteChar"/>
    <w:link w:val="Pedmtkomente"/>
    <w:uiPriority w:val="99"/>
    <w:semiHidden/>
    <w:rsid w:val="00D26583"/>
    <w:rPr>
      <w:rFonts w:ascii="Arial" w:hAnsi="Arial"/>
      <w:b/>
      <w:bCs/>
      <w:lang w:eastAsia="en-US"/>
    </w:rPr>
  </w:style>
  <w:style w:type="character" w:customStyle="1" w:styleId="ZkladntextodsazenChar">
    <w:name w:val="Základní text odsazený Char"/>
    <w:basedOn w:val="Standardnpsmoodstavce"/>
    <w:link w:val="Zkladntextodsazen"/>
    <w:semiHidden/>
    <w:rsid w:val="005355C9"/>
    <w:rPr>
      <w:rFonts w:ascii="Arial" w:hAnsi="Arial"/>
      <w:sz w:val="22"/>
      <w:szCs w:val="24"/>
      <w:lang w:eastAsia="en-US"/>
    </w:rPr>
  </w:style>
  <w:style w:type="paragraph" w:customStyle="1" w:styleId="Odstavecseseznamem1">
    <w:name w:val="Odstavec se seznamem1"/>
    <w:basedOn w:val="Normln"/>
    <w:rsid w:val="00322F9C"/>
    <w:pPr>
      <w:ind w:left="720" w:firstLine="0"/>
      <w:jc w:val="left"/>
    </w:pPr>
    <w:rPr>
      <w:rFonts w:ascii="Times New Roman" w:hAnsi="Times New Roman"/>
      <w:sz w:val="24"/>
      <w:lang w:eastAsia="cs-CZ"/>
    </w:rPr>
  </w:style>
  <w:style w:type="paragraph" w:styleId="Obsah1">
    <w:name w:val="toc 1"/>
    <w:basedOn w:val="Normln"/>
    <w:next w:val="Normln"/>
    <w:autoRedefine/>
    <w:uiPriority w:val="39"/>
    <w:unhideWhenUsed/>
    <w:rsid w:val="008224F4"/>
    <w:pPr>
      <w:spacing w:before="360"/>
      <w:jc w:val="left"/>
    </w:pPr>
    <w:rPr>
      <w:rFonts w:asciiTheme="majorHAnsi" w:hAnsiTheme="majorHAnsi"/>
      <w:b/>
      <w:bCs/>
      <w:caps/>
      <w:sz w:val="24"/>
    </w:rPr>
  </w:style>
  <w:style w:type="paragraph" w:styleId="Obsah2">
    <w:name w:val="toc 2"/>
    <w:basedOn w:val="Normln"/>
    <w:next w:val="Normln"/>
    <w:autoRedefine/>
    <w:uiPriority w:val="39"/>
    <w:unhideWhenUsed/>
    <w:rsid w:val="008224F4"/>
    <w:pPr>
      <w:spacing w:before="240"/>
      <w:jc w:val="left"/>
    </w:pPr>
    <w:rPr>
      <w:rFonts w:asciiTheme="minorHAnsi" w:hAnsiTheme="minorHAnsi" w:cstheme="minorHAnsi"/>
      <w:b/>
      <w:bCs/>
      <w:sz w:val="20"/>
      <w:szCs w:val="20"/>
    </w:rPr>
  </w:style>
  <w:style w:type="paragraph" w:styleId="Obsah3">
    <w:name w:val="toc 3"/>
    <w:basedOn w:val="Normln"/>
    <w:next w:val="Normln"/>
    <w:autoRedefine/>
    <w:uiPriority w:val="39"/>
    <w:unhideWhenUsed/>
    <w:rsid w:val="008224F4"/>
    <w:pPr>
      <w:ind w:left="220"/>
      <w:jc w:val="left"/>
    </w:pPr>
    <w:rPr>
      <w:rFonts w:asciiTheme="minorHAnsi" w:hAnsiTheme="minorHAnsi" w:cstheme="minorHAnsi"/>
      <w:sz w:val="20"/>
      <w:szCs w:val="20"/>
    </w:rPr>
  </w:style>
  <w:style w:type="paragraph" w:styleId="Obsah4">
    <w:name w:val="toc 4"/>
    <w:basedOn w:val="Normln"/>
    <w:next w:val="Normln"/>
    <w:autoRedefine/>
    <w:uiPriority w:val="39"/>
    <w:unhideWhenUsed/>
    <w:rsid w:val="008224F4"/>
    <w:pPr>
      <w:ind w:left="44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8224F4"/>
    <w:pPr>
      <w:ind w:left="6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8224F4"/>
    <w:pPr>
      <w:ind w:left="88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8224F4"/>
    <w:pPr>
      <w:ind w:left="110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8224F4"/>
    <w:pPr>
      <w:ind w:left="132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8224F4"/>
    <w:pPr>
      <w:ind w:left="1540"/>
      <w:jc w:val="left"/>
    </w:pPr>
    <w:rPr>
      <w:rFonts w:asciiTheme="minorHAnsi" w:hAnsiTheme="minorHAnsi" w:cstheme="minorHAnsi"/>
      <w:sz w:val="20"/>
      <w:szCs w:val="20"/>
    </w:rPr>
  </w:style>
  <w:style w:type="paragraph" w:styleId="Revize">
    <w:name w:val="Revision"/>
    <w:hidden/>
    <w:uiPriority w:val="99"/>
    <w:semiHidden/>
    <w:rsid w:val="008166BC"/>
    <w:rPr>
      <w:rFonts w:ascii="Arial" w:hAnsi="Arial"/>
      <w:sz w:val="22"/>
      <w:szCs w:val="24"/>
      <w:lang w:eastAsia="en-US"/>
    </w:rPr>
  </w:style>
  <w:style w:type="character" w:customStyle="1" w:styleId="ZpatChar">
    <w:name w:val="Zápatí Char"/>
    <w:basedOn w:val="Standardnpsmoodstavce"/>
    <w:link w:val="Zpat"/>
    <w:uiPriority w:val="99"/>
    <w:rsid w:val="00814BF4"/>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2D3A"/>
    <w:pPr>
      <w:ind w:firstLine="539"/>
      <w:jc w:val="both"/>
    </w:pPr>
    <w:rPr>
      <w:rFonts w:ascii="Arial" w:hAnsi="Arial"/>
      <w:sz w:val="22"/>
      <w:szCs w:val="24"/>
      <w:lang w:eastAsia="en-US"/>
    </w:rPr>
  </w:style>
  <w:style w:type="paragraph" w:styleId="Nadpis1">
    <w:name w:val="heading 1"/>
    <w:basedOn w:val="Normln"/>
    <w:next w:val="Normln"/>
    <w:link w:val="Nadpis1Char"/>
    <w:qFormat/>
    <w:rsid w:val="00571B6F"/>
    <w:pPr>
      <w:keepNext/>
      <w:numPr>
        <w:numId w:val="1"/>
      </w:numPr>
      <w:overflowPunct w:val="0"/>
      <w:autoSpaceDE w:val="0"/>
      <w:autoSpaceDN w:val="0"/>
      <w:adjustRightInd w:val="0"/>
      <w:textAlignment w:val="baseline"/>
      <w:outlineLvl w:val="0"/>
    </w:pPr>
    <w:rPr>
      <w:b/>
      <w:bCs/>
      <w:sz w:val="32"/>
      <w:szCs w:val="20"/>
      <w:lang w:eastAsia="cs-CZ"/>
    </w:rPr>
  </w:style>
  <w:style w:type="paragraph" w:styleId="Nadpis2">
    <w:name w:val="heading 2"/>
    <w:basedOn w:val="Normln"/>
    <w:next w:val="Normln"/>
    <w:link w:val="Nadpis2Char"/>
    <w:qFormat/>
    <w:rsid w:val="00571B6F"/>
    <w:pPr>
      <w:keepNext/>
      <w:numPr>
        <w:ilvl w:val="1"/>
        <w:numId w:val="1"/>
      </w:numPr>
      <w:outlineLvl w:val="1"/>
    </w:pPr>
    <w:rPr>
      <w:rFonts w:cs="Arial"/>
      <w:b/>
      <w:sz w:val="28"/>
    </w:rPr>
  </w:style>
  <w:style w:type="paragraph" w:styleId="Nadpis3">
    <w:name w:val="heading 3"/>
    <w:basedOn w:val="Normln"/>
    <w:next w:val="Normln"/>
    <w:link w:val="Nadpis3Char"/>
    <w:qFormat/>
    <w:rsid w:val="004B388A"/>
    <w:pPr>
      <w:keepNext/>
      <w:numPr>
        <w:ilvl w:val="2"/>
        <w:numId w:val="1"/>
      </w:numPr>
      <w:outlineLvl w:val="2"/>
    </w:pPr>
    <w:rPr>
      <w:rFonts w:cs="Arial"/>
      <w:b/>
      <w:bCs/>
      <w:sz w:val="26"/>
      <w:szCs w:val="26"/>
    </w:rPr>
  </w:style>
  <w:style w:type="paragraph" w:styleId="Nadpis4">
    <w:name w:val="heading 4"/>
    <w:basedOn w:val="Normln"/>
    <w:next w:val="Normln"/>
    <w:qFormat/>
    <w:rsid w:val="004B388A"/>
    <w:pPr>
      <w:keepNext/>
      <w:numPr>
        <w:ilvl w:val="3"/>
        <w:numId w:val="1"/>
      </w:numPr>
      <w:tabs>
        <w:tab w:val="left" w:leader="dot" w:pos="567"/>
      </w:tabs>
      <w:spacing w:before="240"/>
      <w:jc w:val="left"/>
      <w:outlineLvl w:val="3"/>
    </w:pPr>
    <w:rPr>
      <w:rFonts w:cs="Arial"/>
      <w:b/>
      <w:sz w:val="24"/>
    </w:rPr>
  </w:style>
  <w:style w:type="paragraph" w:styleId="Nadpis5">
    <w:name w:val="heading 5"/>
    <w:basedOn w:val="Normln"/>
    <w:next w:val="Normln"/>
    <w:qFormat/>
    <w:rsid w:val="00571B6F"/>
    <w:pPr>
      <w:numPr>
        <w:ilvl w:val="4"/>
        <w:numId w:val="1"/>
      </w:numPr>
      <w:spacing w:before="240" w:after="60"/>
      <w:outlineLvl w:val="4"/>
    </w:pPr>
    <w:rPr>
      <w:b/>
      <w:bCs/>
      <w:szCs w:val="26"/>
    </w:rPr>
  </w:style>
  <w:style w:type="paragraph" w:styleId="Nadpis6">
    <w:name w:val="heading 6"/>
    <w:basedOn w:val="Normln"/>
    <w:next w:val="Normln"/>
    <w:qFormat/>
    <w:rsid w:val="00571B6F"/>
    <w:pPr>
      <w:numPr>
        <w:ilvl w:val="5"/>
        <w:numId w:val="2"/>
      </w:numPr>
      <w:spacing w:before="240" w:after="60"/>
      <w:outlineLvl w:val="5"/>
    </w:pPr>
    <w:rPr>
      <w:b/>
      <w:bCs/>
      <w:i/>
      <w:iCs/>
      <w:szCs w:val="22"/>
    </w:rPr>
  </w:style>
  <w:style w:type="paragraph" w:styleId="Nadpis7">
    <w:name w:val="heading 7"/>
    <w:basedOn w:val="Normln"/>
    <w:next w:val="Normln"/>
    <w:qFormat/>
    <w:rsid w:val="00571B6F"/>
    <w:pPr>
      <w:numPr>
        <w:ilvl w:val="6"/>
        <w:numId w:val="1"/>
      </w:numPr>
      <w:spacing w:before="240" w:after="60"/>
      <w:outlineLvl w:val="6"/>
    </w:pPr>
  </w:style>
  <w:style w:type="paragraph" w:styleId="Nadpis8">
    <w:name w:val="heading 8"/>
    <w:basedOn w:val="Normln"/>
    <w:next w:val="Normln"/>
    <w:qFormat/>
    <w:rsid w:val="00571B6F"/>
    <w:pPr>
      <w:numPr>
        <w:ilvl w:val="7"/>
        <w:numId w:val="1"/>
      </w:numPr>
      <w:spacing w:before="240" w:after="60"/>
      <w:outlineLvl w:val="7"/>
    </w:pPr>
    <w:rPr>
      <w:i/>
      <w:iCs/>
    </w:rPr>
  </w:style>
  <w:style w:type="paragraph" w:styleId="Nadpis9">
    <w:name w:val="heading 9"/>
    <w:basedOn w:val="Normln"/>
    <w:next w:val="Normln"/>
    <w:qFormat/>
    <w:rsid w:val="00571B6F"/>
    <w:pPr>
      <w:numPr>
        <w:ilvl w:val="8"/>
        <w:numId w:val="1"/>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571B6F"/>
  </w:style>
  <w:style w:type="paragraph" w:styleId="Zhlav">
    <w:name w:val="header"/>
    <w:basedOn w:val="Normln"/>
    <w:link w:val="ZhlavChar"/>
    <w:semiHidden/>
    <w:rsid w:val="00571B6F"/>
    <w:pPr>
      <w:tabs>
        <w:tab w:val="center" w:pos="4536"/>
        <w:tab w:val="right" w:pos="9072"/>
      </w:tabs>
    </w:pPr>
  </w:style>
  <w:style w:type="paragraph" w:styleId="Zpat">
    <w:name w:val="footer"/>
    <w:basedOn w:val="Normln"/>
    <w:link w:val="ZpatChar"/>
    <w:uiPriority w:val="99"/>
    <w:rsid w:val="00571B6F"/>
    <w:pPr>
      <w:tabs>
        <w:tab w:val="center" w:pos="4536"/>
        <w:tab w:val="right" w:pos="9072"/>
      </w:tabs>
    </w:pPr>
  </w:style>
  <w:style w:type="character" w:styleId="Hypertextovodkaz">
    <w:name w:val="Hyperlink"/>
    <w:basedOn w:val="Standardnpsmoodstavce"/>
    <w:uiPriority w:val="99"/>
    <w:rsid w:val="00571B6F"/>
    <w:rPr>
      <w:color w:val="0000FF"/>
      <w:u w:val="single"/>
    </w:rPr>
  </w:style>
  <w:style w:type="character" w:styleId="slostrnky">
    <w:name w:val="page number"/>
    <w:basedOn w:val="Standardnpsmoodstavce"/>
    <w:semiHidden/>
    <w:rsid w:val="00571B6F"/>
  </w:style>
  <w:style w:type="character" w:styleId="Sledovanodkaz">
    <w:name w:val="FollowedHyperlink"/>
    <w:basedOn w:val="Standardnpsmoodstavce"/>
    <w:semiHidden/>
    <w:rsid w:val="00571B6F"/>
    <w:rPr>
      <w:color w:val="800080"/>
      <w:u w:val="single"/>
    </w:rPr>
  </w:style>
  <w:style w:type="paragraph" w:styleId="Zkladntext">
    <w:name w:val="Body Text"/>
    <w:basedOn w:val="Normln"/>
    <w:semiHidden/>
    <w:rsid w:val="00571B6F"/>
    <w:rPr>
      <w:rFonts w:cs="Arial"/>
      <w:i/>
    </w:rPr>
  </w:style>
  <w:style w:type="paragraph" w:styleId="Zkladntextodsazen">
    <w:name w:val="Body Text Indent"/>
    <w:basedOn w:val="Normln"/>
    <w:link w:val="ZkladntextodsazenChar"/>
    <w:semiHidden/>
    <w:rsid w:val="00571B6F"/>
    <w:pPr>
      <w:spacing w:after="120"/>
      <w:ind w:firstLine="720"/>
    </w:pPr>
  </w:style>
  <w:style w:type="paragraph" w:styleId="Textpoznpodarou">
    <w:name w:val="footnote text"/>
    <w:basedOn w:val="Normln"/>
    <w:link w:val="TextpoznpodarouChar"/>
    <w:uiPriority w:val="99"/>
    <w:rsid w:val="00571B6F"/>
    <w:rPr>
      <w:sz w:val="20"/>
      <w:szCs w:val="20"/>
    </w:rPr>
  </w:style>
  <w:style w:type="character" w:styleId="Znakapoznpodarou">
    <w:name w:val="footnote reference"/>
    <w:basedOn w:val="Standardnpsmoodstavce"/>
    <w:uiPriority w:val="99"/>
    <w:rsid w:val="00571B6F"/>
    <w:rPr>
      <w:vertAlign w:val="superscript"/>
    </w:rPr>
  </w:style>
  <w:style w:type="paragraph" w:customStyle="1" w:styleId="BodyText31">
    <w:name w:val="Body Text 31"/>
    <w:basedOn w:val="Normln"/>
    <w:rsid w:val="00571B6F"/>
    <w:pPr>
      <w:overflowPunct w:val="0"/>
      <w:autoSpaceDE w:val="0"/>
      <w:autoSpaceDN w:val="0"/>
      <w:adjustRightInd w:val="0"/>
      <w:textAlignment w:val="baseline"/>
    </w:pPr>
    <w:rPr>
      <w:szCs w:val="20"/>
      <w:lang w:eastAsia="cs-CZ"/>
    </w:rPr>
  </w:style>
  <w:style w:type="paragraph" w:styleId="Zkladntext2">
    <w:name w:val="Body Text 2"/>
    <w:basedOn w:val="Normln"/>
    <w:semiHidden/>
    <w:rsid w:val="00571B6F"/>
    <w:rPr>
      <w:rFonts w:cs="Arial"/>
      <w:lang w:eastAsia="cs-CZ"/>
    </w:rPr>
  </w:style>
  <w:style w:type="paragraph" w:styleId="Zkladntext3">
    <w:name w:val="Body Text 3"/>
    <w:basedOn w:val="Normln"/>
    <w:semiHidden/>
    <w:rsid w:val="00571B6F"/>
    <w:rPr>
      <w:rFonts w:cs="Arial"/>
      <w:lang w:eastAsia="cs-CZ"/>
    </w:rPr>
  </w:style>
  <w:style w:type="paragraph" w:customStyle="1" w:styleId="citace">
    <w:name w:val="citace"/>
    <w:basedOn w:val="Normln"/>
    <w:next w:val="Normln"/>
    <w:rsid w:val="00571B6F"/>
    <w:pPr>
      <w:spacing w:after="120"/>
      <w:ind w:firstLine="720"/>
    </w:pPr>
    <w:rPr>
      <w:i/>
    </w:rPr>
  </w:style>
  <w:style w:type="paragraph" w:styleId="Zkladntextodsazen2">
    <w:name w:val="Body Text Indent 2"/>
    <w:basedOn w:val="Normln"/>
    <w:semiHidden/>
    <w:rsid w:val="00571B6F"/>
    <w:pPr>
      <w:ind w:left="470" w:firstLine="180"/>
    </w:pPr>
    <w:rPr>
      <w:b/>
      <w:bCs/>
      <w:sz w:val="20"/>
    </w:rPr>
  </w:style>
  <w:style w:type="paragraph" w:styleId="Zkladntextodsazen3">
    <w:name w:val="Body Text Indent 3"/>
    <w:basedOn w:val="Normln"/>
    <w:semiHidden/>
    <w:rsid w:val="00571B6F"/>
    <w:pPr>
      <w:ind w:firstLine="720"/>
    </w:pPr>
  </w:style>
  <w:style w:type="paragraph" w:styleId="Nzev">
    <w:name w:val="Title"/>
    <w:basedOn w:val="Normln"/>
    <w:link w:val="NzevChar"/>
    <w:uiPriority w:val="10"/>
    <w:qFormat/>
    <w:rsid w:val="00571B6F"/>
    <w:pPr>
      <w:jc w:val="center"/>
    </w:pPr>
    <w:rPr>
      <w:b/>
      <w:bCs/>
      <w:sz w:val="28"/>
    </w:rPr>
  </w:style>
  <w:style w:type="paragraph" w:styleId="Citt">
    <w:name w:val="Quote"/>
    <w:basedOn w:val="Normln"/>
    <w:next w:val="Normln"/>
    <w:link w:val="CittChar"/>
    <w:qFormat/>
    <w:rsid w:val="00571B6F"/>
    <w:pPr>
      <w:spacing w:before="120" w:after="120"/>
    </w:pPr>
    <w:rPr>
      <w:i/>
      <w:iCs/>
    </w:rPr>
  </w:style>
  <w:style w:type="paragraph" w:customStyle="1" w:styleId="Normln0">
    <w:name w:val="Norm‡ln’"/>
    <w:rsid w:val="00571B6F"/>
    <w:pPr>
      <w:overflowPunct w:val="0"/>
      <w:autoSpaceDE w:val="0"/>
      <w:autoSpaceDN w:val="0"/>
      <w:adjustRightInd w:val="0"/>
      <w:textAlignment w:val="baseline"/>
    </w:pPr>
    <w:rPr>
      <w:sz w:val="24"/>
    </w:rPr>
  </w:style>
  <w:style w:type="paragraph" w:styleId="Titulek">
    <w:name w:val="caption"/>
    <w:basedOn w:val="Normln"/>
    <w:next w:val="Normln"/>
    <w:uiPriority w:val="35"/>
    <w:qFormat/>
    <w:rsid w:val="00571B6F"/>
    <w:pPr>
      <w:spacing w:before="120" w:after="120"/>
      <w:ind w:firstLine="0"/>
      <w:jc w:val="left"/>
    </w:pPr>
    <w:rPr>
      <w:rFonts w:cs="Arial"/>
      <w:b/>
      <w:bCs/>
      <w:sz w:val="20"/>
      <w:szCs w:val="20"/>
    </w:rPr>
  </w:style>
  <w:style w:type="paragraph" w:customStyle="1" w:styleId="xl23">
    <w:name w:val="xl23"/>
    <w:basedOn w:val="Normln"/>
    <w:rsid w:val="00571B6F"/>
    <w:pPr>
      <w:spacing w:before="100" w:beforeAutospacing="1" w:after="100" w:afterAutospacing="1"/>
      <w:ind w:firstLine="0"/>
    </w:pPr>
    <w:rPr>
      <w:rFonts w:ascii="Times New Roman" w:eastAsia="Arial Unicode MS" w:hAnsi="Times New Roman"/>
      <w:sz w:val="24"/>
      <w:lang w:eastAsia="cs-CZ"/>
    </w:rPr>
  </w:style>
  <w:style w:type="character" w:styleId="Zvraznn">
    <w:name w:val="Emphasis"/>
    <w:basedOn w:val="Standardnpsmoodstavce"/>
    <w:qFormat/>
    <w:rsid w:val="00571B6F"/>
    <w:rPr>
      <w:i/>
      <w:iCs/>
    </w:rPr>
  </w:style>
  <w:style w:type="paragraph" w:customStyle="1" w:styleId="Styl1">
    <w:name w:val="Styl1"/>
    <w:basedOn w:val="Nadpis5"/>
    <w:rsid w:val="00571B6F"/>
  </w:style>
  <w:style w:type="paragraph" w:styleId="Rozloendokumentu">
    <w:name w:val="Document Map"/>
    <w:basedOn w:val="Normln"/>
    <w:semiHidden/>
    <w:rsid w:val="00571B6F"/>
    <w:pPr>
      <w:shd w:val="clear" w:color="auto" w:fill="000080"/>
    </w:pPr>
    <w:rPr>
      <w:rFonts w:ascii="Tahoma" w:hAnsi="Tahoma" w:cs="Tahoma"/>
    </w:rPr>
  </w:style>
  <w:style w:type="paragraph" w:styleId="Seznamsodrkami">
    <w:name w:val="List Bullet"/>
    <w:basedOn w:val="Normln"/>
    <w:autoRedefine/>
    <w:semiHidden/>
    <w:rsid w:val="00AF67D1"/>
    <w:pPr>
      <w:numPr>
        <w:numId w:val="3"/>
      </w:numPr>
      <w:jc w:val="left"/>
    </w:pPr>
    <w:rPr>
      <w:rFonts w:ascii="Times New Roman" w:hAnsi="Times New Roman"/>
      <w:sz w:val="24"/>
    </w:rPr>
  </w:style>
  <w:style w:type="character" w:customStyle="1" w:styleId="NzevChar">
    <w:name w:val="Název Char"/>
    <w:basedOn w:val="Standardnpsmoodstavce"/>
    <w:link w:val="Nzev"/>
    <w:uiPriority w:val="10"/>
    <w:locked/>
    <w:rsid w:val="009B0308"/>
    <w:rPr>
      <w:rFonts w:ascii="Arial" w:hAnsi="Arial"/>
      <w:b/>
      <w:bCs/>
      <w:sz w:val="28"/>
      <w:szCs w:val="24"/>
      <w:lang w:eastAsia="en-US"/>
    </w:rPr>
  </w:style>
  <w:style w:type="character" w:customStyle="1" w:styleId="ZhlavChar">
    <w:name w:val="Záhlaví Char"/>
    <w:basedOn w:val="Standardnpsmoodstavce"/>
    <w:link w:val="Zhlav"/>
    <w:semiHidden/>
    <w:locked/>
    <w:rsid w:val="009559D3"/>
    <w:rPr>
      <w:rFonts w:ascii="Arial" w:hAnsi="Arial"/>
      <w:sz w:val="22"/>
      <w:szCs w:val="24"/>
      <w:lang w:eastAsia="en-US"/>
    </w:rPr>
  </w:style>
  <w:style w:type="table" w:styleId="Mkatabulky">
    <w:name w:val="Table Grid"/>
    <w:basedOn w:val="Normlntabulka"/>
    <w:uiPriority w:val="59"/>
    <w:rsid w:val="007D4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
    <w:semiHidden/>
    <w:rsid w:val="00005F34"/>
    <w:rPr>
      <w:rFonts w:ascii="Tahoma" w:hAnsi="Tahoma" w:cs="Tahoma"/>
      <w:sz w:val="16"/>
      <w:szCs w:val="16"/>
    </w:rPr>
  </w:style>
  <w:style w:type="paragraph" w:styleId="Seznamsodrkami2">
    <w:name w:val="List Bullet 2"/>
    <w:basedOn w:val="Normln"/>
    <w:uiPriority w:val="99"/>
    <w:semiHidden/>
    <w:unhideWhenUsed/>
    <w:rsid w:val="007D6BB8"/>
    <w:pPr>
      <w:numPr>
        <w:numId w:val="4"/>
      </w:numPr>
      <w:contextualSpacing/>
    </w:pPr>
  </w:style>
  <w:style w:type="paragraph" w:styleId="Odstavecseseznamem">
    <w:name w:val="List Paragraph"/>
    <w:aliases w:val="Nadpis pro KZ"/>
    <w:basedOn w:val="Normln"/>
    <w:uiPriority w:val="34"/>
    <w:qFormat/>
    <w:rsid w:val="005F19B6"/>
    <w:pPr>
      <w:ind w:left="720"/>
      <w:contextualSpacing/>
    </w:pPr>
  </w:style>
  <w:style w:type="paragraph" w:styleId="Normlnodsazen">
    <w:name w:val="Normal Indent"/>
    <w:basedOn w:val="Normln"/>
    <w:uiPriority w:val="99"/>
    <w:rsid w:val="00526B89"/>
    <w:pPr>
      <w:spacing w:line="360" w:lineRule="auto"/>
      <w:ind w:firstLine="720"/>
    </w:pPr>
  </w:style>
  <w:style w:type="character" w:customStyle="1" w:styleId="TextpoznpodarouChar">
    <w:name w:val="Text pozn. pod čarou Char"/>
    <w:basedOn w:val="Standardnpsmoodstavce"/>
    <w:link w:val="Textpoznpodarou"/>
    <w:uiPriority w:val="99"/>
    <w:rsid w:val="009D5793"/>
    <w:rPr>
      <w:rFonts w:ascii="Arial" w:hAnsi="Arial"/>
      <w:lang w:eastAsia="en-US"/>
    </w:rPr>
  </w:style>
  <w:style w:type="character" w:customStyle="1" w:styleId="Nadpis3Char">
    <w:name w:val="Nadpis 3 Char"/>
    <w:basedOn w:val="Standardnpsmoodstavce"/>
    <w:link w:val="Nadpis3"/>
    <w:rsid w:val="004B388A"/>
    <w:rPr>
      <w:rFonts w:ascii="Arial" w:hAnsi="Arial" w:cs="Arial"/>
      <w:b/>
      <w:bCs/>
      <w:sz w:val="26"/>
      <w:szCs w:val="26"/>
      <w:lang w:eastAsia="en-US"/>
    </w:rPr>
  </w:style>
  <w:style w:type="paragraph" w:customStyle="1" w:styleId="NormlnKZ">
    <w:name w:val="Normální KZ"/>
    <w:basedOn w:val="Normln"/>
    <w:uiPriority w:val="99"/>
    <w:rsid w:val="007C4C23"/>
    <w:pPr>
      <w:spacing w:after="120"/>
      <w:ind w:firstLine="425"/>
    </w:pPr>
    <w:rPr>
      <w:rFonts w:ascii="Times New Roman" w:hAnsi="Times New Roman"/>
      <w:lang w:eastAsia="cs-CZ"/>
    </w:rPr>
  </w:style>
  <w:style w:type="character" w:customStyle="1" w:styleId="Nadpis1Char">
    <w:name w:val="Nadpis 1 Char"/>
    <w:basedOn w:val="Standardnpsmoodstavce"/>
    <w:link w:val="Nadpis1"/>
    <w:rsid w:val="00F977A8"/>
    <w:rPr>
      <w:rFonts w:ascii="Arial" w:hAnsi="Arial"/>
      <w:b/>
      <w:bCs/>
      <w:sz w:val="32"/>
    </w:rPr>
  </w:style>
  <w:style w:type="character" w:customStyle="1" w:styleId="Nadpis2Char">
    <w:name w:val="Nadpis 2 Char"/>
    <w:basedOn w:val="Standardnpsmoodstavce"/>
    <w:link w:val="Nadpis2"/>
    <w:rsid w:val="00F977A8"/>
    <w:rPr>
      <w:rFonts w:ascii="Arial" w:hAnsi="Arial" w:cs="Arial"/>
      <w:b/>
      <w:sz w:val="28"/>
      <w:szCs w:val="24"/>
      <w:lang w:eastAsia="en-US"/>
    </w:rPr>
  </w:style>
  <w:style w:type="character" w:customStyle="1" w:styleId="CittChar">
    <w:name w:val="Citát Char"/>
    <w:basedOn w:val="Standardnpsmoodstavce"/>
    <w:link w:val="Citt"/>
    <w:rsid w:val="00F977A8"/>
    <w:rPr>
      <w:rFonts w:ascii="Arial" w:hAnsi="Arial"/>
      <w:i/>
      <w:iCs/>
      <w:sz w:val="22"/>
      <w:szCs w:val="24"/>
      <w:lang w:eastAsia="en-US"/>
    </w:rPr>
  </w:style>
  <w:style w:type="character" w:styleId="Odkaznakoment">
    <w:name w:val="annotation reference"/>
    <w:basedOn w:val="Standardnpsmoodstavce"/>
    <w:uiPriority w:val="99"/>
    <w:semiHidden/>
    <w:unhideWhenUsed/>
    <w:rsid w:val="00D26583"/>
    <w:rPr>
      <w:sz w:val="16"/>
      <w:szCs w:val="16"/>
    </w:rPr>
  </w:style>
  <w:style w:type="paragraph" w:styleId="Textkomente">
    <w:name w:val="annotation text"/>
    <w:basedOn w:val="Normln"/>
    <w:link w:val="TextkomenteChar"/>
    <w:uiPriority w:val="99"/>
    <w:semiHidden/>
    <w:unhideWhenUsed/>
    <w:rsid w:val="00D26583"/>
    <w:rPr>
      <w:sz w:val="20"/>
      <w:szCs w:val="20"/>
    </w:rPr>
  </w:style>
  <w:style w:type="character" w:customStyle="1" w:styleId="TextkomenteChar">
    <w:name w:val="Text komentáře Char"/>
    <w:basedOn w:val="Standardnpsmoodstavce"/>
    <w:link w:val="Textkomente"/>
    <w:uiPriority w:val="99"/>
    <w:semiHidden/>
    <w:rsid w:val="00D26583"/>
    <w:rPr>
      <w:rFonts w:ascii="Arial" w:hAnsi="Arial"/>
      <w:lang w:eastAsia="en-US"/>
    </w:rPr>
  </w:style>
  <w:style w:type="paragraph" w:styleId="Pedmtkomente">
    <w:name w:val="annotation subject"/>
    <w:basedOn w:val="Textkomente"/>
    <w:next w:val="Textkomente"/>
    <w:link w:val="PedmtkomenteChar"/>
    <w:uiPriority w:val="99"/>
    <w:semiHidden/>
    <w:unhideWhenUsed/>
    <w:rsid w:val="00D26583"/>
    <w:rPr>
      <w:b/>
      <w:bCs/>
    </w:rPr>
  </w:style>
  <w:style w:type="character" w:customStyle="1" w:styleId="PedmtkomenteChar">
    <w:name w:val="Předmět komentáře Char"/>
    <w:basedOn w:val="TextkomenteChar"/>
    <w:link w:val="Pedmtkomente"/>
    <w:uiPriority w:val="99"/>
    <w:semiHidden/>
    <w:rsid w:val="00D26583"/>
    <w:rPr>
      <w:rFonts w:ascii="Arial" w:hAnsi="Arial"/>
      <w:b/>
      <w:bCs/>
      <w:lang w:eastAsia="en-US"/>
    </w:rPr>
  </w:style>
  <w:style w:type="character" w:customStyle="1" w:styleId="ZkladntextodsazenChar">
    <w:name w:val="Základní text odsazený Char"/>
    <w:basedOn w:val="Standardnpsmoodstavce"/>
    <w:link w:val="Zkladntextodsazen"/>
    <w:semiHidden/>
    <w:rsid w:val="005355C9"/>
    <w:rPr>
      <w:rFonts w:ascii="Arial" w:hAnsi="Arial"/>
      <w:sz w:val="22"/>
      <w:szCs w:val="24"/>
      <w:lang w:eastAsia="en-US"/>
    </w:rPr>
  </w:style>
  <w:style w:type="paragraph" w:customStyle="1" w:styleId="Odstavecseseznamem1">
    <w:name w:val="Odstavec se seznamem1"/>
    <w:basedOn w:val="Normln"/>
    <w:rsid w:val="00322F9C"/>
    <w:pPr>
      <w:ind w:left="720" w:firstLine="0"/>
      <w:jc w:val="left"/>
    </w:pPr>
    <w:rPr>
      <w:rFonts w:ascii="Times New Roman" w:hAnsi="Times New Roman"/>
      <w:sz w:val="24"/>
      <w:lang w:eastAsia="cs-CZ"/>
    </w:rPr>
  </w:style>
  <w:style w:type="paragraph" w:styleId="Obsah1">
    <w:name w:val="toc 1"/>
    <w:basedOn w:val="Normln"/>
    <w:next w:val="Normln"/>
    <w:autoRedefine/>
    <w:uiPriority w:val="39"/>
    <w:unhideWhenUsed/>
    <w:rsid w:val="008224F4"/>
    <w:pPr>
      <w:spacing w:before="360"/>
      <w:jc w:val="left"/>
    </w:pPr>
    <w:rPr>
      <w:rFonts w:asciiTheme="majorHAnsi" w:hAnsiTheme="majorHAnsi"/>
      <w:b/>
      <w:bCs/>
      <w:caps/>
      <w:sz w:val="24"/>
    </w:rPr>
  </w:style>
  <w:style w:type="paragraph" w:styleId="Obsah2">
    <w:name w:val="toc 2"/>
    <w:basedOn w:val="Normln"/>
    <w:next w:val="Normln"/>
    <w:autoRedefine/>
    <w:uiPriority w:val="39"/>
    <w:unhideWhenUsed/>
    <w:rsid w:val="008224F4"/>
    <w:pPr>
      <w:spacing w:before="240"/>
      <w:jc w:val="left"/>
    </w:pPr>
    <w:rPr>
      <w:rFonts w:asciiTheme="minorHAnsi" w:hAnsiTheme="minorHAnsi" w:cstheme="minorHAnsi"/>
      <w:b/>
      <w:bCs/>
      <w:sz w:val="20"/>
      <w:szCs w:val="20"/>
    </w:rPr>
  </w:style>
  <w:style w:type="paragraph" w:styleId="Obsah3">
    <w:name w:val="toc 3"/>
    <w:basedOn w:val="Normln"/>
    <w:next w:val="Normln"/>
    <w:autoRedefine/>
    <w:uiPriority w:val="39"/>
    <w:unhideWhenUsed/>
    <w:rsid w:val="008224F4"/>
    <w:pPr>
      <w:ind w:left="220"/>
      <w:jc w:val="left"/>
    </w:pPr>
    <w:rPr>
      <w:rFonts w:asciiTheme="minorHAnsi" w:hAnsiTheme="minorHAnsi" w:cstheme="minorHAnsi"/>
      <w:sz w:val="20"/>
      <w:szCs w:val="20"/>
    </w:rPr>
  </w:style>
  <w:style w:type="paragraph" w:styleId="Obsah4">
    <w:name w:val="toc 4"/>
    <w:basedOn w:val="Normln"/>
    <w:next w:val="Normln"/>
    <w:autoRedefine/>
    <w:uiPriority w:val="39"/>
    <w:unhideWhenUsed/>
    <w:rsid w:val="008224F4"/>
    <w:pPr>
      <w:ind w:left="440"/>
      <w:jc w:val="left"/>
    </w:pPr>
    <w:rPr>
      <w:rFonts w:asciiTheme="minorHAnsi" w:hAnsiTheme="minorHAnsi" w:cstheme="minorHAnsi"/>
      <w:sz w:val="20"/>
      <w:szCs w:val="20"/>
    </w:rPr>
  </w:style>
  <w:style w:type="paragraph" w:styleId="Obsah5">
    <w:name w:val="toc 5"/>
    <w:basedOn w:val="Normln"/>
    <w:next w:val="Normln"/>
    <w:autoRedefine/>
    <w:uiPriority w:val="39"/>
    <w:unhideWhenUsed/>
    <w:rsid w:val="008224F4"/>
    <w:pPr>
      <w:ind w:left="66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8224F4"/>
    <w:pPr>
      <w:ind w:left="88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8224F4"/>
    <w:pPr>
      <w:ind w:left="110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8224F4"/>
    <w:pPr>
      <w:ind w:left="132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8224F4"/>
    <w:pPr>
      <w:ind w:left="1540"/>
      <w:jc w:val="left"/>
    </w:pPr>
    <w:rPr>
      <w:rFonts w:asciiTheme="minorHAnsi" w:hAnsiTheme="minorHAnsi" w:cstheme="minorHAnsi"/>
      <w:sz w:val="20"/>
      <w:szCs w:val="20"/>
    </w:rPr>
  </w:style>
  <w:style w:type="paragraph" w:styleId="Revize">
    <w:name w:val="Revision"/>
    <w:hidden/>
    <w:uiPriority w:val="99"/>
    <w:semiHidden/>
    <w:rsid w:val="008166BC"/>
    <w:rPr>
      <w:rFonts w:ascii="Arial" w:hAnsi="Arial"/>
      <w:sz w:val="22"/>
      <w:szCs w:val="24"/>
      <w:lang w:eastAsia="en-US"/>
    </w:rPr>
  </w:style>
  <w:style w:type="character" w:customStyle="1" w:styleId="ZpatChar">
    <w:name w:val="Zápatí Char"/>
    <w:basedOn w:val="Standardnpsmoodstavce"/>
    <w:link w:val="Zpat"/>
    <w:uiPriority w:val="99"/>
    <w:rsid w:val="00814BF4"/>
    <w:rPr>
      <w:rFonts w:ascii="Arial" w:hAnsi="Arial"/>
      <w:sz w:val="22"/>
      <w:szCs w:val="24"/>
      <w:lang w:eastAsia="en-US"/>
    </w:rPr>
  </w:style>
</w:styles>
</file>

<file path=word/webSettings.xml><?xml version="1.0" encoding="utf-8"?>
<w:webSettings xmlns:r="http://schemas.openxmlformats.org/officeDocument/2006/relationships" xmlns:w="http://schemas.openxmlformats.org/wordprocessingml/2006/main">
  <w:divs>
    <w:div w:id="12148801">
      <w:bodyDiv w:val="1"/>
      <w:marLeft w:val="0"/>
      <w:marRight w:val="0"/>
      <w:marTop w:val="0"/>
      <w:marBottom w:val="0"/>
      <w:divBdr>
        <w:top w:val="none" w:sz="0" w:space="0" w:color="auto"/>
        <w:left w:val="none" w:sz="0" w:space="0" w:color="auto"/>
        <w:bottom w:val="none" w:sz="0" w:space="0" w:color="auto"/>
        <w:right w:val="none" w:sz="0" w:space="0" w:color="auto"/>
      </w:divBdr>
    </w:div>
    <w:div w:id="12271804">
      <w:bodyDiv w:val="1"/>
      <w:marLeft w:val="0"/>
      <w:marRight w:val="0"/>
      <w:marTop w:val="0"/>
      <w:marBottom w:val="0"/>
      <w:divBdr>
        <w:top w:val="none" w:sz="0" w:space="0" w:color="auto"/>
        <w:left w:val="none" w:sz="0" w:space="0" w:color="auto"/>
        <w:bottom w:val="none" w:sz="0" w:space="0" w:color="auto"/>
        <w:right w:val="none" w:sz="0" w:space="0" w:color="auto"/>
      </w:divBdr>
    </w:div>
    <w:div w:id="26609285">
      <w:bodyDiv w:val="1"/>
      <w:marLeft w:val="0"/>
      <w:marRight w:val="0"/>
      <w:marTop w:val="0"/>
      <w:marBottom w:val="0"/>
      <w:divBdr>
        <w:top w:val="none" w:sz="0" w:space="0" w:color="auto"/>
        <w:left w:val="none" w:sz="0" w:space="0" w:color="auto"/>
        <w:bottom w:val="none" w:sz="0" w:space="0" w:color="auto"/>
        <w:right w:val="none" w:sz="0" w:space="0" w:color="auto"/>
      </w:divBdr>
    </w:div>
    <w:div w:id="29652656">
      <w:bodyDiv w:val="1"/>
      <w:marLeft w:val="0"/>
      <w:marRight w:val="0"/>
      <w:marTop w:val="0"/>
      <w:marBottom w:val="0"/>
      <w:divBdr>
        <w:top w:val="none" w:sz="0" w:space="0" w:color="auto"/>
        <w:left w:val="none" w:sz="0" w:space="0" w:color="auto"/>
        <w:bottom w:val="none" w:sz="0" w:space="0" w:color="auto"/>
        <w:right w:val="none" w:sz="0" w:space="0" w:color="auto"/>
      </w:divBdr>
    </w:div>
    <w:div w:id="33624100">
      <w:bodyDiv w:val="1"/>
      <w:marLeft w:val="0"/>
      <w:marRight w:val="0"/>
      <w:marTop w:val="0"/>
      <w:marBottom w:val="0"/>
      <w:divBdr>
        <w:top w:val="none" w:sz="0" w:space="0" w:color="auto"/>
        <w:left w:val="none" w:sz="0" w:space="0" w:color="auto"/>
        <w:bottom w:val="none" w:sz="0" w:space="0" w:color="auto"/>
        <w:right w:val="none" w:sz="0" w:space="0" w:color="auto"/>
      </w:divBdr>
    </w:div>
    <w:div w:id="34698603">
      <w:bodyDiv w:val="1"/>
      <w:marLeft w:val="0"/>
      <w:marRight w:val="0"/>
      <w:marTop w:val="0"/>
      <w:marBottom w:val="0"/>
      <w:divBdr>
        <w:top w:val="none" w:sz="0" w:space="0" w:color="auto"/>
        <w:left w:val="none" w:sz="0" w:space="0" w:color="auto"/>
        <w:bottom w:val="none" w:sz="0" w:space="0" w:color="auto"/>
        <w:right w:val="none" w:sz="0" w:space="0" w:color="auto"/>
      </w:divBdr>
    </w:div>
    <w:div w:id="36397706">
      <w:bodyDiv w:val="1"/>
      <w:marLeft w:val="0"/>
      <w:marRight w:val="0"/>
      <w:marTop w:val="0"/>
      <w:marBottom w:val="0"/>
      <w:divBdr>
        <w:top w:val="none" w:sz="0" w:space="0" w:color="auto"/>
        <w:left w:val="none" w:sz="0" w:space="0" w:color="auto"/>
        <w:bottom w:val="none" w:sz="0" w:space="0" w:color="auto"/>
        <w:right w:val="none" w:sz="0" w:space="0" w:color="auto"/>
      </w:divBdr>
    </w:div>
    <w:div w:id="38406120">
      <w:bodyDiv w:val="1"/>
      <w:marLeft w:val="0"/>
      <w:marRight w:val="0"/>
      <w:marTop w:val="0"/>
      <w:marBottom w:val="0"/>
      <w:divBdr>
        <w:top w:val="none" w:sz="0" w:space="0" w:color="auto"/>
        <w:left w:val="none" w:sz="0" w:space="0" w:color="auto"/>
        <w:bottom w:val="none" w:sz="0" w:space="0" w:color="auto"/>
        <w:right w:val="none" w:sz="0" w:space="0" w:color="auto"/>
      </w:divBdr>
    </w:div>
    <w:div w:id="40322910">
      <w:bodyDiv w:val="1"/>
      <w:marLeft w:val="0"/>
      <w:marRight w:val="0"/>
      <w:marTop w:val="0"/>
      <w:marBottom w:val="0"/>
      <w:divBdr>
        <w:top w:val="none" w:sz="0" w:space="0" w:color="auto"/>
        <w:left w:val="none" w:sz="0" w:space="0" w:color="auto"/>
        <w:bottom w:val="none" w:sz="0" w:space="0" w:color="auto"/>
        <w:right w:val="none" w:sz="0" w:space="0" w:color="auto"/>
      </w:divBdr>
    </w:div>
    <w:div w:id="40567188">
      <w:bodyDiv w:val="1"/>
      <w:marLeft w:val="0"/>
      <w:marRight w:val="0"/>
      <w:marTop w:val="0"/>
      <w:marBottom w:val="0"/>
      <w:divBdr>
        <w:top w:val="none" w:sz="0" w:space="0" w:color="auto"/>
        <w:left w:val="none" w:sz="0" w:space="0" w:color="auto"/>
        <w:bottom w:val="none" w:sz="0" w:space="0" w:color="auto"/>
        <w:right w:val="none" w:sz="0" w:space="0" w:color="auto"/>
      </w:divBdr>
    </w:div>
    <w:div w:id="54354174">
      <w:bodyDiv w:val="1"/>
      <w:marLeft w:val="0"/>
      <w:marRight w:val="0"/>
      <w:marTop w:val="0"/>
      <w:marBottom w:val="0"/>
      <w:divBdr>
        <w:top w:val="none" w:sz="0" w:space="0" w:color="auto"/>
        <w:left w:val="none" w:sz="0" w:space="0" w:color="auto"/>
        <w:bottom w:val="none" w:sz="0" w:space="0" w:color="auto"/>
        <w:right w:val="none" w:sz="0" w:space="0" w:color="auto"/>
      </w:divBdr>
    </w:div>
    <w:div w:id="62528237">
      <w:bodyDiv w:val="1"/>
      <w:marLeft w:val="0"/>
      <w:marRight w:val="0"/>
      <w:marTop w:val="0"/>
      <w:marBottom w:val="0"/>
      <w:divBdr>
        <w:top w:val="none" w:sz="0" w:space="0" w:color="auto"/>
        <w:left w:val="none" w:sz="0" w:space="0" w:color="auto"/>
        <w:bottom w:val="none" w:sz="0" w:space="0" w:color="auto"/>
        <w:right w:val="none" w:sz="0" w:space="0" w:color="auto"/>
      </w:divBdr>
    </w:div>
    <w:div w:id="66659408">
      <w:bodyDiv w:val="1"/>
      <w:marLeft w:val="0"/>
      <w:marRight w:val="0"/>
      <w:marTop w:val="0"/>
      <w:marBottom w:val="0"/>
      <w:divBdr>
        <w:top w:val="none" w:sz="0" w:space="0" w:color="auto"/>
        <w:left w:val="none" w:sz="0" w:space="0" w:color="auto"/>
        <w:bottom w:val="none" w:sz="0" w:space="0" w:color="auto"/>
        <w:right w:val="none" w:sz="0" w:space="0" w:color="auto"/>
      </w:divBdr>
    </w:div>
    <w:div w:id="67189560">
      <w:bodyDiv w:val="1"/>
      <w:marLeft w:val="0"/>
      <w:marRight w:val="0"/>
      <w:marTop w:val="0"/>
      <w:marBottom w:val="0"/>
      <w:divBdr>
        <w:top w:val="none" w:sz="0" w:space="0" w:color="auto"/>
        <w:left w:val="none" w:sz="0" w:space="0" w:color="auto"/>
        <w:bottom w:val="none" w:sz="0" w:space="0" w:color="auto"/>
        <w:right w:val="none" w:sz="0" w:space="0" w:color="auto"/>
      </w:divBdr>
    </w:div>
    <w:div w:id="74981962">
      <w:bodyDiv w:val="1"/>
      <w:marLeft w:val="0"/>
      <w:marRight w:val="0"/>
      <w:marTop w:val="0"/>
      <w:marBottom w:val="0"/>
      <w:divBdr>
        <w:top w:val="none" w:sz="0" w:space="0" w:color="auto"/>
        <w:left w:val="none" w:sz="0" w:space="0" w:color="auto"/>
        <w:bottom w:val="none" w:sz="0" w:space="0" w:color="auto"/>
        <w:right w:val="none" w:sz="0" w:space="0" w:color="auto"/>
      </w:divBdr>
    </w:div>
    <w:div w:id="76900350">
      <w:bodyDiv w:val="1"/>
      <w:marLeft w:val="0"/>
      <w:marRight w:val="0"/>
      <w:marTop w:val="0"/>
      <w:marBottom w:val="0"/>
      <w:divBdr>
        <w:top w:val="none" w:sz="0" w:space="0" w:color="auto"/>
        <w:left w:val="none" w:sz="0" w:space="0" w:color="auto"/>
        <w:bottom w:val="none" w:sz="0" w:space="0" w:color="auto"/>
        <w:right w:val="none" w:sz="0" w:space="0" w:color="auto"/>
      </w:divBdr>
    </w:div>
    <w:div w:id="78840244">
      <w:bodyDiv w:val="1"/>
      <w:marLeft w:val="0"/>
      <w:marRight w:val="0"/>
      <w:marTop w:val="0"/>
      <w:marBottom w:val="0"/>
      <w:divBdr>
        <w:top w:val="none" w:sz="0" w:space="0" w:color="auto"/>
        <w:left w:val="none" w:sz="0" w:space="0" w:color="auto"/>
        <w:bottom w:val="none" w:sz="0" w:space="0" w:color="auto"/>
        <w:right w:val="none" w:sz="0" w:space="0" w:color="auto"/>
      </w:divBdr>
    </w:div>
    <w:div w:id="90710959">
      <w:bodyDiv w:val="1"/>
      <w:marLeft w:val="0"/>
      <w:marRight w:val="0"/>
      <w:marTop w:val="0"/>
      <w:marBottom w:val="0"/>
      <w:divBdr>
        <w:top w:val="none" w:sz="0" w:space="0" w:color="auto"/>
        <w:left w:val="none" w:sz="0" w:space="0" w:color="auto"/>
        <w:bottom w:val="none" w:sz="0" w:space="0" w:color="auto"/>
        <w:right w:val="none" w:sz="0" w:space="0" w:color="auto"/>
      </w:divBdr>
    </w:div>
    <w:div w:id="95711182">
      <w:bodyDiv w:val="1"/>
      <w:marLeft w:val="0"/>
      <w:marRight w:val="0"/>
      <w:marTop w:val="0"/>
      <w:marBottom w:val="0"/>
      <w:divBdr>
        <w:top w:val="none" w:sz="0" w:space="0" w:color="auto"/>
        <w:left w:val="none" w:sz="0" w:space="0" w:color="auto"/>
        <w:bottom w:val="none" w:sz="0" w:space="0" w:color="auto"/>
        <w:right w:val="none" w:sz="0" w:space="0" w:color="auto"/>
      </w:divBdr>
    </w:div>
    <w:div w:id="97990442">
      <w:bodyDiv w:val="1"/>
      <w:marLeft w:val="0"/>
      <w:marRight w:val="0"/>
      <w:marTop w:val="0"/>
      <w:marBottom w:val="0"/>
      <w:divBdr>
        <w:top w:val="none" w:sz="0" w:space="0" w:color="auto"/>
        <w:left w:val="none" w:sz="0" w:space="0" w:color="auto"/>
        <w:bottom w:val="none" w:sz="0" w:space="0" w:color="auto"/>
        <w:right w:val="none" w:sz="0" w:space="0" w:color="auto"/>
      </w:divBdr>
    </w:div>
    <w:div w:id="104858770">
      <w:bodyDiv w:val="1"/>
      <w:marLeft w:val="0"/>
      <w:marRight w:val="0"/>
      <w:marTop w:val="0"/>
      <w:marBottom w:val="0"/>
      <w:divBdr>
        <w:top w:val="none" w:sz="0" w:space="0" w:color="auto"/>
        <w:left w:val="none" w:sz="0" w:space="0" w:color="auto"/>
        <w:bottom w:val="none" w:sz="0" w:space="0" w:color="auto"/>
        <w:right w:val="none" w:sz="0" w:space="0" w:color="auto"/>
      </w:divBdr>
    </w:div>
    <w:div w:id="105271176">
      <w:bodyDiv w:val="1"/>
      <w:marLeft w:val="0"/>
      <w:marRight w:val="0"/>
      <w:marTop w:val="0"/>
      <w:marBottom w:val="0"/>
      <w:divBdr>
        <w:top w:val="none" w:sz="0" w:space="0" w:color="auto"/>
        <w:left w:val="none" w:sz="0" w:space="0" w:color="auto"/>
        <w:bottom w:val="none" w:sz="0" w:space="0" w:color="auto"/>
        <w:right w:val="none" w:sz="0" w:space="0" w:color="auto"/>
      </w:divBdr>
    </w:div>
    <w:div w:id="108816203">
      <w:bodyDiv w:val="1"/>
      <w:marLeft w:val="0"/>
      <w:marRight w:val="0"/>
      <w:marTop w:val="0"/>
      <w:marBottom w:val="0"/>
      <w:divBdr>
        <w:top w:val="none" w:sz="0" w:space="0" w:color="auto"/>
        <w:left w:val="none" w:sz="0" w:space="0" w:color="auto"/>
        <w:bottom w:val="none" w:sz="0" w:space="0" w:color="auto"/>
        <w:right w:val="none" w:sz="0" w:space="0" w:color="auto"/>
      </w:divBdr>
    </w:div>
    <w:div w:id="119613914">
      <w:bodyDiv w:val="1"/>
      <w:marLeft w:val="0"/>
      <w:marRight w:val="0"/>
      <w:marTop w:val="0"/>
      <w:marBottom w:val="0"/>
      <w:divBdr>
        <w:top w:val="none" w:sz="0" w:space="0" w:color="auto"/>
        <w:left w:val="none" w:sz="0" w:space="0" w:color="auto"/>
        <w:bottom w:val="none" w:sz="0" w:space="0" w:color="auto"/>
        <w:right w:val="none" w:sz="0" w:space="0" w:color="auto"/>
      </w:divBdr>
    </w:div>
    <w:div w:id="124854424">
      <w:bodyDiv w:val="1"/>
      <w:marLeft w:val="0"/>
      <w:marRight w:val="0"/>
      <w:marTop w:val="0"/>
      <w:marBottom w:val="0"/>
      <w:divBdr>
        <w:top w:val="none" w:sz="0" w:space="0" w:color="auto"/>
        <w:left w:val="none" w:sz="0" w:space="0" w:color="auto"/>
        <w:bottom w:val="none" w:sz="0" w:space="0" w:color="auto"/>
        <w:right w:val="none" w:sz="0" w:space="0" w:color="auto"/>
      </w:divBdr>
    </w:div>
    <w:div w:id="138349820">
      <w:bodyDiv w:val="1"/>
      <w:marLeft w:val="0"/>
      <w:marRight w:val="0"/>
      <w:marTop w:val="0"/>
      <w:marBottom w:val="0"/>
      <w:divBdr>
        <w:top w:val="none" w:sz="0" w:space="0" w:color="auto"/>
        <w:left w:val="none" w:sz="0" w:space="0" w:color="auto"/>
        <w:bottom w:val="none" w:sz="0" w:space="0" w:color="auto"/>
        <w:right w:val="none" w:sz="0" w:space="0" w:color="auto"/>
      </w:divBdr>
    </w:div>
    <w:div w:id="144664321">
      <w:bodyDiv w:val="1"/>
      <w:marLeft w:val="0"/>
      <w:marRight w:val="0"/>
      <w:marTop w:val="0"/>
      <w:marBottom w:val="0"/>
      <w:divBdr>
        <w:top w:val="none" w:sz="0" w:space="0" w:color="auto"/>
        <w:left w:val="none" w:sz="0" w:space="0" w:color="auto"/>
        <w:bottom w:val="none" w:sz="0" w:space="0" w:color="auto"/>
        <w:right w:val="none" w:sz="0" w:space="0" w:color="auto"/>
      </w:divBdr>
    </w:div>
    <w:div w:id="148375105">
      <w:bodyDiv w:val="1"/>
      <w:marLeft w:val="0"/>
      <w:marRight w:val="0"/>
      <w:marTop w:val="0"/>
      <w:marBottom w:val="0"/>
      <w:divBdr>
        <w:top w:val="none" w:sz="0" w:space="0" w:color="auto"/>
        <w:left w:val="none" w:sz="0" w:space="0" w:color="auto"/>
        <w:bottom w:val="none" w:sz="0" w:space="0" w:color="auto"/>
        <w:right w:val="none" w:sz="0" w:space="0" w:color="auto"/>
      </w:divBdr>
    </w:div>
    <w:div w:id="152961472">
      <w:bodyDiv w:val="1"/>
      <w:marLeft w:val="0"/>
      <w:marRight w:val="0"/>
      <w:marTop w:val="0"/>
      <w:marBottom w:val="0"/>
      <w:divBdr>
        <w:top w:val="none" w:sz="0" w:space="0" w:color="auto"/>
        <w:left w:val="none" w:sz="0" w:space="0" w:color="auto"/>
        <w:bottom w:val="none" w:sz="0" w:space="0" w:color="auto"/>
        <w:right w:val="none" w:sz="0" w:space="0" w:color="auto"/>
      </w:divBdr>
    </w:div>
    <w:div w:id="158734462">
      <w:bodyDiv w:val="1"/>
      <w:marLeft w:val="0"/>
      <w:marRight w:val="0"/>
      <w:marTop w:val="0"/>
      <w:marBottom w:val="0"/>
      <w:divBdr>
        <w:top w:val="none" w:sz="0" w:space="0" w:color="auto"/>
        <w:left w:val="none" w:sz="0" w:space="0" w:color="auto"/>
        <w:bottom w:val="none" w:sz="0" w:space="0" w:color="auto"/>
        <w:right w:val="none" w:sz="0" w:space="0" w:color="auto"/>
      </w:divBdr>
    </w:div>
    <w:div w:id="160853226">
      <w:bodyDiv w:val="1"/>
      <w:marLeft w:val="0"/>
      <w:marRight w:val="0"/>
      <w:marTop w:val="0"/>
      <w:marBottom w:val="0"/>
      <w:divBdr>
        <w:top w:val="none" w:sz="0" w:space="0" w:color="auto"/>
        <w:left w:val="none" w:sz="0" w:space="0" w:color="auto"/>
        <w:bottom w:val="none" w:sz="0" w:space="0" w:color="auto"/>
        <w:right w:val="none" w:sz="0" w:space="0" w:color="auto"/>
      </w:divBdr>
    </w:div>
    <w:div w:id="162360812">
      <w:bodyDiv w:val="1"/>
      <w:marLeft w:val="0"/>
      <w:marRight w:val="0"/>
      <w:marTop w:val="0"/>
      <w:marBottom w:val="0"/>
      <w:divBdr>
        <w:top w:val="none" w:sz="0" w:space="0" w:color="auto"/>
        <w:left w:val="none" w:sz="0" w:space="0" w:color="auto"/>
        <w:bottom w:val="none" w:sz="0" w:space="0" w:color="auto"/>
        <w:right w:val="none" w:sz="0" w:space="0" w:color="auto"/>
      </w:divBdr>
    </w:div>
    <w:div w:id="164711749">
      <w:bodyDiv w:val="1"/>
      <w:marLeft w:val="0"/>
      <w:marRight w:val="0"/>
      <w:marTop w:val="0"/>
      <w:marBottom w:val="0"/>
      <w:divBdr>
        <w:top w:val="none" w:sz="0" w:space="0" w:color="auto"/>
        <w:left w:val="none" w:sz="0" w:space="0" w:color="auto"/>
        <w:bottom w:val="none" w:sz="0" w:space="0" w:color="auto"/>
        <w:right w:val="none" w:sz="0" w:space="0" w:color="auto"/>
      </w:divBdr>
    </w:div>
    <w:div w:id="165563600">
      <w:bodyDiv w:val="1"/>
      <w:marLeft w:val="0"/>
      <w:marRight w:val="0"/>
      <w:marTop w:val="0"/>
      <w:marBottom w:val="0"/>
      <w:divBdr>
        <w:top w:val="none" w:sz="0" w:space="0" w:color="auto"/>
        <w:left w:val="none" w:sz="0" w:space="0" w:color="auto"/>
        <w:bottom w:val="none" w:sz="0" w:space="0" w:color="auto"/>
        <w:right w:val="none" w:sz="0" w:space="0" w:color="auto"/>
      </w:divBdr>
    </w:div>
    <w:div w:id="168761065">
      <w:bodyDiv w:val="1"/>
      <w:marLeft w:val="0"/>
      <w:marRight w:val="0"/>
      <w:marTop w:val="0"/>
      <w:marBottom w:val="0"/>
      <w:divBdr>
        <w:top w:val="none" w:sz="0" w:space="0" w:color="auto"/>
        <w:left w:val="none" w:sz="0" w:space="0" w:color="auto"/>
        <w:bottom w:val="none" w:sz="0" w:space="0" w:color="auto"/>
        <w:right w:val="none" w:sz="0" w:space="0" w:color="auto"/>
      </w:divBdr>
    </w:div>
    <w:div w:id="173686709">
      <w:bodyDiv w:val="1"/>
      <w:marLeft w:val="0"/>
      <w:marRight w:val="0"/>
      <w:marTop w:val="0"/>
      <w:marBottom w:val="0"/>
      <w:divBdr>
        <w:top w:val="none" w:sz="0" w:space="0" w:color="auto"/>
        <w:left w:val="none" w:sz="0" w:space="0" w:color="auto"/>
        <w:bottom w:val="none" w:sz="0" w:space="0" w:color="auto"/>
        <w:right w:val="none" w:sz="0" w:space="0" w:color="auto"/>
      </w:divBdr>
    </w:div>
    <w:div w:id="178587062">
      <w:bodyDiv w:val="1"/>
      <w:marLeft w:val="0"/>
      <w:marRight w:val="0"/>
      <w:marTop w:val="0"/>
      <w:marBottom w:val="0"/>
      <w:divBdr>
        <w:top w:val="none" w:sz="0" w:space="0" w:color="auto"/>
        <w:left w:val="none" w:sz="0" w:space="0" w:color="auto"/>
        <w:bottom w:val="none" w:sz="0" w:space="0" w:color="auto"/>
        <w:right w:val="none" w:sz="0" w:space="0" w:color="auto"/>
      </w:divBdr>
    </w:div>
    <w:div w:id="203711902">
      <w:bodyDiv w:val="1"/>
      <w:marLeft w:val="0"/>
      <w:marRight w:val="0"/>
      <w:marTop w:val="0"/>
      <w:marBottom w:val="0"/>
      <w:divBdr>
        <w:top w:val="none" w:sz="0" w:space="0" w:color="auto"/>
        <w:left w:val="none" w:sz="0" w:space="0" w:color="auto"/>
        <w:bottom w:val="none" w:sz="0" w:space="0" w:color="auto"/>
        <w:right w:val="none" w:sz="0" w:space="0" w:color="auto"/>
      </w:divBdr>
    </w:div>
    <w:div w:id="208882288">
      <w:bodyDiv w:val="1"/>
      <w:marLeft w:val="0"/>
      <w:marRight w:val="0"/>
      <w:marTop w:val="0"/>
      <w:marBottom w:val="0"/>
      <w:divBdr>
        <w:top w:val="none" w:sz="0" w:space="0" w:color="auto"/>
        <w:left w:val="none" w:sz="0" w:space="0" w:color="auto"/>
        <w:bottom w:val="none" w:sz="0" w:space="0" w:color="auto"/>
        <w:right w:val="none" w:sz="0" w:space="0" w:color="auto"/>
      </w:divBdr>
    </w:div>
    <w:div w:id="209077948">
      <w:bodyDiv w:val="1"/>
      <w:marLeft w:val="0"/>
      <w:marRight w:val="0"/>
      <w:marTop w:val="0"/>
      <w:marBottom w:val="0"/>
      <w:divBdr>
        <w:top w:val="none" w:sz="0" w:space="0" w:color="auto"/>
        <w:left w:val="none" w:sz="0" w:space="0" w:color="auto"/>
        <w:bottom w:val="none" w:sz="0" w:space="0" w:color="auto"/>
        <w:right w:val="none" w:sz="0" w:space="0" w:color="auto"/>
      </w:divBdr>
    </w:div>
    <w:div w:id="209610802">
      <w:bodyDiv w:val="1"/>
      <w:marLeft w:val="0"/>
      <w:marRight w:val="0"/>
      <w:marTop w:val="0"/>
      <w:marBottom w:val="0"/>
      <w:divBdr>
        <w:top w:val="none" w:sz="0" w:space="0" w:color="auto"/>
        <w:left w:val="none" w:sz="0" w:space="0" w:color="auto"/>
        <w:bottom w:val="none" w:sz="0" w:space="0" w:color="auto"/>
        <w:right w:val="none" w:sz="0" w:space="0" w:color="auto"/>
      </w:divBdr>
    </w:div>
    <w:div w:id="223950343">
      <w:bodyDiv w:val="1"/>
      <w:marLeft w:val="0"/>
      <w:marRight w:val="0"/>
      <w:marTop w:val="0"/>
      <w:marBottom w:val="0"/>
      <w:divBdr>
        <w:top w:val="none" w:sz="0" w:space="0" w:color="auto"/>
        <w:left w:val="none" w:sz="0" w:space="0" w:color="auto"/>
        <w:bottom w:val="none" w:sz="0" w:space="0" w:color="auto"/>
        <w:right w:val="none" w:sz="0" w:space="0" w:color="auto"/>
      </w:divBdr>
    </w:div>
    <w:div w:id="236912760">
      <w:bodyDiv w:val="1"/>
      <w:marLeft w:val="0"/>
      <w:marRight w:val="0"/>
      <w:marTop w:val="0"/>
      <w:marBottom w:val="0"/>
      <w:divBdr>
        <w:top w:val="none" w:sz="0" w:space="0" w:color="auto"/>
        <w:left w:val="none" w:sz="0" w:space="0" w:color="auto"/>
        <w:bottom w:val="none" w:sz="0" w:space="0" w:color="auto"/>
        <w:right w:val="none" w:sz="0" w:space="0" w:color="auto"/>
      </w:divBdr>
    </w:div>
    <w:div w:id="249120454">
      <w:bodyDiv w:val="1"/>
      <w:marLeft w:val="0"/>
      <w:marRight w:val="0"/>
      <w:marTop w:val="0"/>
      <w:marBottom w:val="0"/>
      <w:divBdr>
        <w:top w:val="none" w:sz="0" w:space="0" w:color="auto"/>
        <w:left w:val="none" w:sz="0" w:space="0" w:color="auto"/>
        <w:bottom w:val="none" w:sz="0" w:space="0" w:color="auto"/>
        <w:right w:val="none" w:sz="0" w:space="0" w:color="auto"/>
      </w:divBdr>
    </w:div>
    <w:div w:id="264189405">
      <w:bodyDiv w:val="1"/>
      <w:marLeft w:val="0"/>
      <w:marRight w:val="0"/>
      <w:marTop w:val="0"/>
      <w:marBottom w:val="0"/>
      <w:divBdr>
        <w:top w:val="none" w:sz="0" w:space="0" w:color="auto"/>
        <w:left w:val="none" w:sz="0" w:space="0" w:color="auto"/>
        <w:bottom w:val="none" w:sz="0" w:space="0" w:color="auto"/>
        <w:right w:val="none" w:sz="0" w:space="0" w:color="auto"/>
      </w:divBdr>
    </w:div>
    <w:div w:id="265113860">
      <w:bodyDiv w:val="1"/>
      <w:marLeft w:val="0"/>
      <w:marRight w:val="0"/>
      <w:marTop w:val="0"/>
      <w:marBottom w:val="0"/>
      <w:divBdr>
        <w:top w:val="none" w:sz="0" w:space="0" w:color="auto"/>
        <w:left w:val="none" w:sz="0" w:space="0" w:color="auto"/>
        <w:bottom w:val="none" w:sz="0" w:space="0" w:color="auto"/>
        <w:right w:val="none" w:sz="0" w:space="0" w:color="auto"/>
      </w:divBdr>
    </w:div>
    <w:div w:id="267587268">
      <w:bodyDiv w:val="1"/>
      <w:marLeft w:val="0"/>
      <w:marRight w:val="0"/>
      <w:marTop w:val="0"/>
      <w:marBottom w:val="0"/>
      <w:divBdr>
        <w:top w:val="none" w:sz="0" w:space="0" w:color="auto"/>
        <w:left w:val="none" w:sz="0" w:space="0" w:color="auto"/>
        <w:bottom w:val="none" w:sz="0" w:space="0" w:color="auto"/>
        <w:right w:val="none" w:sz="0" w:space="0" w:color="auto"/>
      </w:divBdr>
    </w:div>
    <w:div w:id="269436041">
      <w:bodyDiv w:val="1"/>
      <w:marLeft w:val="0"/>
      <w:marRight w:val="0"/>
      <w:marTop w:val="0"/>
      <w:marBottom w:val="0"/>
      <w:divBdr>
        <w:top w:val="none" w:sz="0" w:space="0" w:color="auto"/>
        <w:left w:val="none" w:sz="0" w:space="0" w:color="auto"/>
        <w:bottom w:val="none" w:sz="0" w:space="0" w:color="auto"/>
        <w:right w:val="none" w:sz="0" w:space="0" w:color="auto"/>
      </w:divBdr>
    </w:div>
    <w:div w:id="274604144">
      <w:bodyDiv w:val="1"/>
      <w:marLeft w:val="0"/>
      <w:marRight w:val="0"/>
      <w:marTop w:val="0"/>
      <w:marBottom w:val="0"/>
      <w:divBdr>
        <w:top w:val="none" w:sz="0" w:space="0" w:color="auto"/>
        <w:left w:val="none" w:sz="0" w:space="0" w:color="auto"/>
        <w:bottom w:val="none" w:sz="0" w:space="0" w:color="auto"/>
        <w:right w:val="none" w:sz="0" w:space="0" w:color="auto"/>
      </w:divBdr>
    </w:div>
    <w:div w:id="277954006">
      <w:bodyDiv w:val="1"/>
      <w:marLeft w:val="0"/>
      <w:marRight w:val="0"/>
      <w:marTop w:val="0"/>
      <w:marBottom w:val="0"/>
      <w:divBdr>
        <w:top w:val="none" w:sz="0" w:space="0" w:color="auto"/>
        <w:left w:val="none" w:sz="0" w:space="0" w:color="auto"/>
        <w:bottom w:val="none" w:sz="0" w:space="0" w:color="auto"/>
        <w:right w:val="none" w:sz="0" w:space="0" w:color="auto"/>
      </w:divBdr>
    </w:div>
    <w:div w:id="285547150">
      <w:bodyDiv w:val="1"/>
      <w:marLeft w:val="0"/>
      <w:marRight w:val="0"/>
      <w:marTop w:val="0"/>
      <w:marBottom w:val="0"/>
      <w:divBdr>
        <w:top w:val="none" w:sz="0" w:space="0" w:color="auto"/>
        <w:left w:val="none" w:sz="0" w:space="0" w:color="auto"/>
        <w:bottom w:val="none" w:sz="0" w:space="0" w:color="auto"/>
        <w:right w:val="none" w:sz="0" w:space="0" w:color="auto"/>
      </w:divBdr>
    </w:div>
    <w:div w:id="308294441">
      <w:bodyDiv w:val="1"/>
      <w:marLeft w:val="0"/>
      <w:marRight w:val="0"/>
      <w:marTop w:val="0"/>
      <w:marBottom w:val="0"/>
      <w:divBdr>
        <w:top w:val="none" w:sz="0" w:space="0" w:color="auto"/>
        <w:left w:val="none" w:sz="0" w:space="0" w:color="auto"/>
        <w:bottom w:val="none" w:sz="0" w:space="0" w:color="auto"/>
        <w:right w:val="none" w:sz="0" w:space="0" w:color="auto"/>
      </w:divBdr>
    </w:div>
    <w:div w:id="317609511">
      <w:bodyDiv w:val="1"/>
      <w:marLeft w:val="0"/>
      <w:marRight w:val="0"/>
      <w:marTop w:val="0"/>
      <w:marBottom w:val="0"/>
      <w:divBdr>
        <w:top w:val="none" w:sz="0" w:space="0" w:color="auto"/>
        <w:left w:val="none" w:sz="0" w:space="0" w:color="auto"/>
        <w:bottom w:val="none" w:sz="0" w:space="0" w:color="auto"/>
        <w:right w:val="none" w:sz="0" w:space="0" w:color="auto"/>
      </w:divBdr>
    </w:div>
    <w:div w:id="333463438">
      <w:bodyDiv w:val="1"/>
      <w:marLeft w:val="0"/>
      <w:marRight w:val="0"/>
      <w:marTop w:val="0"/>
      <w:marBottom w:val="0"/>
      <w:divBdr>
        <w:top w:val="none" w:sz="0" w:space="0" w:color="auto"/>
        <w:left w:val="none" w:sz="0" w:space="0" w:color="auto"/>
        <w:bottom w:val="none" w:sz="0" w:space="0" w:color="auto"/>
        <w:right w:val="none" w:sz="0" w:space="0" w:color="auto"/>
      </w:divBdr>
    </w:div>
    <w:div w:id="335576087">
      <w:bodyDiv w:val="1"/>
      <w:marLeft w:val="0"/>
      <w:marRight w:val="0"/>
      <w:marTop w:val="0"/>
      <w:marBottom w:val="0"/>
      <w:divBdr>
        <w:top w:val="none" w:sz="0" w:space="0" w:color="auto"/>
        <w:left w:val="none" w:sz="0" w:space="0" w:color="auto"/>
        <w:bottom w:val="none" w:sz="0" w:space="0" w:color="auto"/>
        <w:right w:val="none" w:sz="0" w:space="0" w:color="auto"/>
      </w:divBdr>
    </w:div>
    <w:div w:id="345904201">
      <w:bodyDiv w:val="1"/>
      <w:marLeft w:val="0"/>
      <w:marRight w:val="0"/>
      <w:marTop w:val="0"/>
      <w:marBottom w:val="0"/>
      <w:divBdr>
        <w:top w:val="none" w:sz="0" w:space="0" w:color="auto"/>
        <w:left w:val="none" w:sz="0" w:space="0" w:color="auto"/>
        <w:bottom w:val="none" w:sz="0" w:space="0" w:color="auto"/>
        <w:right w:val="none" w:sz="0" w:space="0" w:color="auto"/>
      </w:divBdr>
    </w:div>
    <w:div w:id="351689321">
      <w:bodyDiv w:val="1"/>
      <w:marLeft w:val="0"/>
      <w:marRight w:val="0"/>
      <w:marTop w:val="0"/>
      <w:marBottom w:val="0"/>
      <w:divBdr>
        <w:top w:val="none" w:sz="0" w:space="0" w:color="auto"/>
        <w:left w:val="none" w:sz="0" w:space="0" w:color="auto"/>
        <w:bottom w:val="none" w:sz="0" w:space="0" w:color="auto"/>
        <w:right w:val="none" w:sz="0" w:space="0" w:color="auto"/>
      </w:divBdr>
    </w:div>
    <w:div w:id="352069887">
      <w:bodyDiv w:val="1"/>
      <w:marLeft w:val="0"/>
      <w:marRight w:val="0"/>
      <w:marTop w:val="0"/>
      <w:marBottom w:val="0"/>
      <w:divBdr>
        <w:top w:val="none" w:sz="0" w:space="0" w:color="auto"/>
        <w:left w:val="none" w:sz="0" w:space="0" w:color="auto"/>
        <w:bottom w:val="none" w:sz="0" w:space="0" w:color="auto"/>
        <w:right w:val="none" w:sz="0" w:space="0" w:color="auto"/>
      </w:divBdr>
    </w:div>
    <w:div w:id="355497636">
      <w:bodyDiv w:val="1"/>
      <w:marLeft w:val="0"/>
      <w:marRight w:val="0"/>
      <w:marTop w:val="0"/>
      <w:marBottom w:val="0"/>
      <w:divBdr>
        <w:top w:val="none" w:sz="0" w:space="0" w:color="auto"/>
        <w:left w:val="none" w:sz="0" w:space="0" w:color="auto"/>
        <w:bottom w:val="none" w:sz="0" w:space="0" w:color="auto"/>
        <w:right w:val="none" w:sz="0" w:space="0" w:color="auto"/>
      </w:divBdr>
    </w:div>
    <w:div w:id="360594257">
      <w:bodyDiv w:val="1"/>
      <w:marLeft w:val="0"/>
      <w:marRight w:val="0"/>
      <w:marTop w:val="0"/>
      <w:marBottom w:val="0"/>
      <w:divBdr>
        <w:top w:val="none" w:sz="0" w:space="0" w:color="auto"/>
        <w:left w:val="none" w:sz="0" w:space="0" w:color="auto"/>
        <w:bottom w:val="none" w:sz="0" w:space="0" w:color="auto"/>
        <w:right w:val="none" w:sz="0" w:space="0" w:color="auto"/>
      </w:divBdr>
    </w:div>
    <w:div w:id="365721587">
      <w:bodyDiv w:val="1"/>
      <w:marLeft w:val="0"/>
      <w:marRight w:val="0"/>
      <w:marTop w:val="0"/>
      <w:marBottom w:val="0"/>
      <w:divBdr>
        <w:top w:val="none" w:sz="0" w:space="0" w:color="auto"/>
        <w:left w:val="none" w:sz="0" w:space="0" w:color="auto"/>
        <w:bottom w:val="none" w:sz="0" w:space="0" w:color="auto"/>
        <w:right w:val="none" w:sz="0" w:space="0" w:color="auto"/>
      </w:divBdr>
    </w:div>
    <w:div w:id="367997781">
      <w:bodyDiv w:val="1"/>
      <w:marLeft w:val="0"/>
      <w:marRight w:val="0"/>
      <w:marTop w:val="0"/>
      <w:marBottom w:val="0"/>
      <w:divBdr>
        <w:top w:val="none" w:sz="0" w:space="0" w:color="auto"/>
        <w:left w:val="none" w:sz="0" w:space="0" w:color="auto"/>
        <w:bottom w:val="none" w:sz="0" w:space="0" w:color="auto"/>
        <w:right w:val="none" w:sz="0" w:space="0" w:color="auto"/>
      </w:divBdr>
    </w:div>
    <w:div w:id="368185526">
      <w:bodyDiv w:val="1"/>
      <w:marLeft w:val="0"/>
      <w:marRight w:val="0"/>
      <w:marTop w:val="0"/>
      <w:marBottom w:val="0"/>
      <w:divBdr>
        <w:top w:val="none" w:sz="0" w:space="0" w:color="auto"/>
        <w:left w:val="none" w:sz="0" w:space="0" w:color="auto"/>
        <w:bottom w:val="none" w:sz="0" w:space="0" w:color="auto"/>
        <w:right w:val="none" w:sz="0" w:space="0" w:color="auto"/>
      </w:divBdr>
    </w:div>
    <w:div w:id="378477404">
      <w:bodyDiv w:val="1"/>
      <w:marLeft w:val="0"/>
      <w:marRight w:val="0"/>
      <w:marTop w:val="0"/>
      <w:marBottom w:val="0"/>
      <w:divBdr>
        <w:top w:val="none" w:sz="0" w:space="0" w:color="auto"/>
        <w:left w:val="none" w:sz="0" w:space="0" w:color="auto"/>
        <w:bottom w:val="none" w:sz="0" w:space="0" w:color="auto"/>
        <w:right w:val="none" w:sz="0" w:space="0" w:color="auto"/>
      </w:divBdr>
    </w:div>
    <w:div w:id="380833957">
      <w:bodyDiv w:val="1"/>
      <w:marLeft w:val="0"/>
      <w:marRight w:val="0"/>
      <w:marTop w:val="0"/>
      <w:marBottom w:val="0"/>
      <w:divBdr>
        <w:top w:val="none" w:sz="0" w:space="0" w:color="auto"/>
        <w:left w:val="none" w:sz="0" w:space="0" w:color="auto"/>
        <w:bottom w:val="none" w:sz="0" w:space="0" w:color="auto"/>
        <w:right w:val="none" w:sz="0" w:space="0" w:color="auto"/>
      </w:divBdr>
    </w:div>
    <w:div w:id="387462766">
      <w:bodyDiv w:val="1"/>
      <w:marLeft w:val="0"/>
      <w:marRight w:val="0"/>
      <w:marTop w:val="0"/>
      <w:marBottom w:val="0"/>
      <w:divBdr>
        <w:top w:val="none" w:sz="0" w:space="0" w:color="auto"/>
        <w:left w:val="none" w:sz="0" w:space="0" w:color="auto"/>
        <w:bottom w:val="none" w:sz="0" w:space="0" w:color="auto"/>
        <w:right w:val="none" w:sz="0" w:space="0" w:color="auto"/>
      </w:divBdr>
    </w:div>
    <w:div w:id="396981222">
      <w:bodyDiv w:val="1"/>
      <w:marLeft w:val="0"/>
      <w:marRight w:val="0"/>
      <w:marTop w:val="0"/>
      <w:marBottom w:val="0"/>
      <w:divBdr>
        <w:top w:val="none" w:sz="0" w:space="0" w:color="auto"/>
        <w:left w:val="none" w:sz="0" w:space="0" w:color="auto"/>
        <w:bottom w:val="none" w:sz="0" w:space="0" w:color="auto"/>
        <w:right w:val="none" w:sz="0" w:space="0" w:color="auto"/>
      </w:divBdr>
    </w:div>
    <w:div w:id="401410798">
      <w:bodyDiv w:val="1"/>
      <w:marLeft w:val="0"/>
      <w:marRight w:val="0"/>
      <w:marTop w:val="0"/>
      <w:marBottom w:val="0"/>
      <w:divBdr>
        <w:top w:val="none" w:sz="0" w:space="0" w:color="auto"/>
        <w:left w:val="none" w:sz="0" w:space="0" w:color="auto"/>
        <w:bottom w:val="none" w:sz="0" w:space="0" w:color="auto"/>
        <w:right w:val="none" w:sz="0" w:space="0" w:color="auto"/>
      </w:divBdr>
    </w:div>
    <w:div w:id="421608489">
      <w:bodyDiv w:val="1"/>
      <w:marLeft w:val="0"/>
      <w:marRight w:val="0"/>
      <w:marTop w:val="0"/>
      <w:marBottom w:val="0"/>
      <w:divBdr>
        <w:top w:val="none" w:sz="0" w:space="0" w:color="auto"/>
        <w:left w:val="none" w:sz="0" w:space="0" w:color="auto"/>
        <w:bottom w:val="none" w:sz="0" w:space="0" w:color="auto"/>
        <w:right w:val="none" w:sz="0" w:space="0" w:color="auto"/>
      </w:divBdr>
    </w:div>
    <w:div w:id="433014178">
      <w:bodyDiv w:val="1"/>
      <w:marLeft w:val="0"/>
      <w:marRight w:val="0"/>
      <w:marTop w:val="0"/>
      <w:marBottom w:val="0"/>
      <w:divBdr>
        <w:top w:val="none" w:sz="0" w:space="0" w:color="auto"/>
        <w:left w:val="none" w:sz="0" w:space="0" w:color="auto"/>
        <w:bottom w:val="none" w:sz="0" w:space="0" w:color="auto"/>
        <w:right w:val="none" w:sz="0" w:space="0" w:color="auto"/>
      </w:divBdr>
    </w:div>
    <w:div w:id="452291840">
      <w:bodyDiv w:val="1"/>
      <w:marLeft w:val="0"/>
      <w:marRight w:val="0"/>
      <w:marTop w:val="0"/>
      <w:marBottom w:val="0"/>
      <w:divBdr>
        <w:top w:val="none" w:sz="0" w:space="0" w:color="auto"/>
        <w:left w:val="none" w:sz="0" w:space="0" w:color="auto"/>
        <w:bottom w:val="none" w:sz="0" w:space="0" w:color="auto"/>
        <w:right w:val="none" w:sz="0" w:space="0" w:color="auto"/>
      </w:divBdr>
    </w:div>
    <w:div w:id="456409507">
      <w:bodyDiv w:val="1"/>
      <w:marLeft w:val="0"/>
      <w:marRight w:val="0"/>
      <w:marTop w:val="0"/>
      <w:marBottom w:val="0"/>
      <w:divBdr>
        <w:top w:val="none" w:sz="0" w:space="0" w:color="auto"/>
        <w:left w:val="none" w:sz="0" w:space="0" w:color="auto"/>
        <w:bottom w:val="none" w:sz="0" w:space="0" w:color="auto"/>
        <w:right w:val="none" w:sz="0" w:space="0" w:color="auto"/>
      </w:divBdr>
    </w:div>
    <w:div w:id="457769303">
      <w:bodyDiv w:val="1"/>
      <w:marLeft w:val="0"/>
      <w:marRight w:val="0"/>
      <w:marTop w:val="0"/>
      <w:marBottom w:val="0"/>
      <w:divBdr>
        <w:top w:val="none" w:sz="0" w:space="0" w:color="auto"/>
        <w:left w:val="none" w:sz="0" w:space="0" w:color="auto"/>
        <w:bottom w:val="none" w:sz="0" w:space="0" w:color="auto"/>
        <w:right w:val="none" w:sz="0" w:space="0" w:color="auto"/>
      </w:divBdr>
    </w:div>
    <w:div w:id="459803612">
      <w:bodyDiv w:val="1"/>
      <w:marLeft w:val="0"/>
      <w:marRight w:val="0"/>
      <w:marTop w:val="0"/>
      <w:marBottom w:val="0"/>
      <w:divBdr>
        <w:top w:val="none" w:sz="0" w:space="0" w:color="auto"/>
        <w:left w:val="none" w:sz="0" w:space="0" w:color="auto"/>
        <w:bottom w:val="none" w:sz="0" w:space="0" w:color="auto"/>
        <w:right w:val="none" w:sz="0" w:space="0" w:color="auto"/>
      </w:divBdr>
    </w:div>
    <w:div w:id="470562838">
      <w:bodyDiv w:val="1"/>
      <w:marLeft w:val="0"/>
      <w:marRight w:val="0"/>
      <w:marTop w:val="0"/>
      <w:marBottom w:val="0"/>
      <w:divBdr>
        <w:top w:val="none" w:sz="0" w:space="0" w:color="auto"/>
        <w:left w:val="none" w:sz="0" w:space="0" w:color="auto"/>
        <w:bottom w:val="none" w:sz="0" w:space="0" w:color="auto"/>
        <w:right w:val="none" w:sz="0" w:space="0" w:color="auto"/>
      </w:divBdr>
    </w:div>
    <w:div w:id="470749788">
      <w:bodyDiv w:val="1"/>
      <w:marLeft w:val="0"/>
      <w:marRight w:val="0"/>
      <w:marTop w:val="0"/>
      <w:marBottom w:val="0"/>
      <w:divBdr>
        <w:top w:val="none" w:sz="0" w:space="0" w:color="auto"/>
        <w:left w:val="none" w:sz="0" w:space="0" w:color="auto"/>
        <w:bottom w:val="none" w:sz="0" w:space="0" w:color="auto"/>
        <w:right w:val="none" w:sz="0" w:space="0" w:color="auto"/>
      </w:divBdr>
    </w:div>
    <w:div w:id="477697372">
      <w:bodyDiv w:val="1"/>
      <w:marLeft w:val="0"/>
      <w:marRight w:val="0"/>
      <w:marTop w:val="0"/>
      <w:marBottom w:val="0"/>
      <w:divBdr>
        <w:top w:val="none" w:sz="0" w:space="0" w:color="auto"/>
        <w:left w:val="none" w:sz="0" w:space="0" w:color="auto"/>
        <w:bottom w:val="none" w:sz="0" w:space="0" w:color="auto"/>
        <w:right w:val="none" w:sz="0" w:space="0" w:color="auto"/>
      </w:divBdr>
    </w:div>
    <w:div w:id="484320040">
      <w:bodyDiv w:val="1"/>
      <w:marLeft w:val="0"/>
      <w:marRight w:val="0"/>
      <w:marTop w:val="0"/>
      <w:marBottom w:val="0"/>
      <w:divBdr>
        <w:top w:val="none" w:sz="0" w:space="0" w:color="auto"/>
        <w:left w:val="none" w:sz="0" w:space="0" w:color="auto"/>
        <w:bottom w:val="none" w:sz="0" w:space="0" w:color="auto"/>
        <w:right w:val="none" w:sz="0" w:space="0" w:color="auto"/>
      </w:divBdr>
    </w:div>
    <w:div w:id="488181257">
      <w:bodyDiv w:val="1"/>
      <w:marLeft w:val="0"/>
      <w:marRight w:val="0"/>
      <w:marTop w:val="0"/>
      <w:marBottom w:val="0"/>
      <w:divBdr>
        <w:top w:val="none" w:sz="0" w:space="0" w:color="auto"/>
        <w:left w:val="none" w:sz="0" w:space="0" w:color="auto"/>
        <w:bottom w:val="none" w:sz="0" w:space="0" w:color="auto"/>
        <w:right w:val="none" w:sz="0" w:space="0" w:color="auto"/>
      </w:divBdr>
    </w:div>
    <w:div w:id="492649682">
      <w:bodyDiv w:val="1"/>
      <w:marLeft w:val="0"/>
      <w:marRight w:val="0"/>
      <w:marTop w:val="0"/>
      <w:marBottom w:val="0"/>
      <w:divBdr>
        <w:top w:val="none" w:sz="0" w:space="0" w:color="auto"/>
        <w:left w:val="none" w:sz="0" w:space="0" w:color="auto"/>
        <w:bottom w:val="none" w:sz="0" w:space="0" w:color="auto"/>
        <w:right w:val="none" w:sz="0" w:space="0" w:color="auto"/>
      </w:divBdr>
    </w:div>
    <w:div w:id="498497158">
      <w:bodyDiv w:val="1"/>
      <w:marLeft w:val="0"/>
      <w:marRight w:val="0"/>
      <w:marTop w:val="0"/>
      <w:marBottom w:val="0"/>
      <w:divBdr>
        <w:top w:val="none" w:sz="0" w:space="0" w:color="auto"/>
        <w:left w:val="none" w:sz="0" w:space="0" w:color="auto"/>
        <w:bottom w:val="none" w:sz="0" w:space="0" w:color="auto"/>
        <w:right w:val="none" w:sz="0" w:space="0" w:color="auto"/>
      </w:divBdr>
    </w:div>
    <w:div w:id="499858223">
      <w:bodyDiv w:val="1"/>
      <w:marLeft w:val="0"/>
      <w:marRight w:val="0"/>
      <w:marTop w:val="0"/>
      <w:marBottom w:val="0"/>
      <w:divBdr>
        <w:top w:val="none" w:sz="0" w:space="0" w:color="auto"/>
        <w:left w:val="none" w:sz="0" w:space="0" w:color="auto"/>
        <w:bottom w:val="none" w:sz="0" w:space="0" w:color="auto"/>
        <w:right w:val="none" w:sz="0" w:space="0" w:color="auto"/>
      </w:divBdr>
    </w:div>
    <w:div w:id="510531153">
      <w:bodyDiv w:val="1"/>
      <w:marLeft w:val="0"/>
      <w:marRight w:val="0"/>
      <w:marTop w:val="0"/>
      <w:marBottom w:val="0"/>
      <w:divBdr>
        <w:top w:val="none" w:sz="0" w:space="0" w:color="auto"/>
        <w:left w:val="none" w:sz="0" w:space="0" w:color="auto"/>
        <w:bottom w:val="none" w:sz="0" w:space="0" w:color="auto"/>
        <w:right w:val="none" w:sz="0" w:space="0" w:color="auto"/>
      </w:divBdr>
    </w:div>
    <w:div w:id="514265793">
      <w:bodyDiv w:val="1"/>
      <w:marLeft w:val="0"/>
      <w:marRight w:val="0"/>
      <w:marTop w:val="0"/>
      <w:marBottom w:val="0"/>
      <w:divBdr>
        <w:top w:val="none" w:sz="0" w:space="0" w:color="auto"/>
        <w:left w:val="none" w:sz="0" w:space="0" w:color="auto"/>
        <w:bottom w:val="none" w:sz="0" w:space="0" w:color="auto"/>
        <w:right w:val="none" w:sz="0" w:space="0" w:color="auto"/>
      </w:divBdr>
    </w:div>
    <w:div w:id="520240849">
      <w:bodyDiv w:val="1"/>
      <w:marLeft w:val="0"/>
      <w:marRight w:val="0"/>
      <w:marTop w:val="0"/>
      <w:marBottom w:val="0"/>
      <w:divBdr>
        <w:top w:val="none" w:sz="0" w:space="0" w:color="auto"/>
        <w:left w:val="none" w:sz="0" w:space="0" w:color="auto"/>
        <w:bottom w:val="none" w:sz="0" w:space="0" w:color="auto"/>
        <w:right w:val="none" w:sz="0" w:space="0" w:color="auto"/>
      </w:divBdr>
    </w:div>
    <w:div w:id="524294545">
      <w:bodyDiv w:val="1"/>
      <w:marLeft w:val="0"/>
      <w:marRight w:val="0"/>
      <w:marTop w:val="0"/>
      <w:marBottom w:val="0"/>
      <w:divBdr>
        <w:top w:val="none" w:sz="0" w:space="0" w:color="auto"/>
        <w:left w:val="none" w:sz="0" w:space="0" w:color="auto"/>
        <w:bottom w:val="none" w:sz="0" w:space="0" w:color="auto"/>
        <w:right w:val="none" w:sz="0" w:space="0" w:color="auto"/>
      </w:divBdr>
    </w:div>
    <w:div w:id="528642841">
      <w:bodyDiv w:val="1"/>
      <w:marLeft w:val="0"/>
      <w:marRight w:val="0"/>
      <w:marTop w:val="0"/>
      <w:marBottom w:val="0"/>
      <w:divBdr>
        <w:top w:val="none" w:sz="0" w:space="0" w:color="auto"/>
        <w:left w:val="none" w:sz="0" w:space="0" w:color="auto"/>
        <w:bottom w:val="none" w:sz="0" w:space="0" w:color="auto"/>
        <w:right w:val="none" w:sz="0" w:space="0" w:color="auto"/>
      </w:divBdr>
    </w:div>
    <w:div w:id="532159197">
      <w:bodyDiv w:val="1"/>
      <w:marLeft w:val="0"/>
      <w:marRight w:val="0"/>
      <w:marTop w:val="0"/>
      <w:marBottom w:val="0"/>
      <w:divBdr>
        <w:top w:val="none" w:sz="0" w:space="0" w:color="auto"/>
        <w:left w:val="none" w:sz="0" w:space="0" w:color="auto"/>
        <w:bottom w:val="none" w:sz="0" w:space="0" w:color="auto"/>
        <w:right w:val="none" w:sz="0" w:space="0" w:color="auto"/>
      </w:divBdr>
    </w:div>
    <w:div w:id="537082758">
      <w:bodyDiv w:val="1"/>
      <w:marLeft w:val="0"/>
      <w:marRight w:val="0"/>
      <w:marTop w:val="0"/>
      <w:marBottom w:val="0"/>
      <w:divBdr>
        <w:top w:val="none" w:sz="0" w:space="0" w:color="auto"/>
        <w:left w:val="none" w:sz="0" w:space="0" w:color="auto"/>
        <w:bottom w:val="none" w:sz="0" w:space="0" w:color="auto"/>
        <w:right w:val="none" w:sz="0" w:space="0" w:color="auto"/>
      </w:divBdr>
    </w:div>
    <w:div w:id="540240337">
      <w:bodyDiv w:val="1"/>
      <w:marLeft w:val="0"/>
      <w:marRight w:val="0"/>
      <w:marTop w:val="0"/>
      <w:marBottom w:val="0"/>
      <w:divBdr>
        <w:top w:val="none" w:sz="0" w:space="0" w:color="auto"/>
        <w:left w:val="none" w:sz="0" w:space="0" w:color="auto"/>
        <w:bottom w:val="none" w:sz="0" w:space="0" w:color="auto"/>
        <w:right w:val="none" w:sz="0" w:space="0" w:color="auto"/>
      </w:divBdr>
    </w:div>
    <w:div w:id="547495961">
      <w:bodyDiv w:val="1"/>
      <w:marLeft w:val="0"/>
      <w:marRight w:val="0"/>
      <w:marTop w:val="0"/>
      <w:marBottom w:val="0"/>
      <w:divBdr>
        <w:top w:val="none" w:sz="0" w:space="0" w:color="auto"/>
        <w:left w:val="none" w:sz="0" w:space="0" w:color="auto"/>
        <w:bottom w:val="none" w:sz="0" w:space="0" w:color="auto"/>
        <w:right w:val="none" w:sz="0" w:space="0" w:color="auto"/>
      </w:divBdr>
    </w:div>
    <w:div w:id="562179126">
      <w:bodyDiv w:val="1"/>
      <w:marLeft w:val="0"/>
      <w:marRight w:val="0"/>
      <w:marTop w:val="0"/>
      <w:marBottom w:val="0"/>
      <w:divBdr>
        <w:top w:val="none" w:sz="0" w:space="0" w:color="auto"/>
        <w:left w:val="none" w:sz="0" w:space="0" w:color="auto"/>
        <w:bottom w:val="none" w:sz="0" w:space="0" w:color="auto"/>
        <w:right w:val="none" w:sz="0" w:space="0" w:color="auto"/>
      </w:divBdr>
    </w:div>
    <w:div w:id="563175547">
      <w:bodyDiv w:val="1"/>
      <w:marLeft w:val="0"/>
      <w:marRight w:val="0"/>
      <w:marTop w:val="0"/>
      <w:marBottom w:val="0"/>
      <w:divBdr>
        <w:top w:val="none" w:sz="0" w:space="0" w:color="auto"/>
        <w:left w:val="none" w:sz="0" w:space="0" w:color="auto"/>
        <w:bottom w:val="none" w:sz="0" w:space="0" w:color="auto"/>
        <w:right w:val="none" w:sz="0" w:space="0" w:color="auto"/>
      </w:divBdr>
    </w:div>
    <w:div w:id="571548469">
      <w:bodyDiv w:val="1"/>
      <w:marLeft w:val="0"/>
      <w:marRight w:val="0"/>
      <w:marTop w:val="0"/>
      <w:marBottom w:val="0"/>
      <w:divBdr>
        <w:top w:val="none" w:sz="0" w:space="0" w:color="auto"/>
        <w:left w:val="none" w:sz="0" w:space="0" w:color="auto"/>
        <w:bottom w:val="none" w:sz="0" w:space="0" w:color="auto"/>
        <w:right w:val="none" w:sz="0" w:space="0" w:color="auto"/>
      </w:divBdr>
    </w:div>
    <w:div w:id="571818761">
      <w:bodyDiv w:val="1"/>
      <w:marLeft w:val="0"/>
      <w:marRight w:val="0"/>
      <w:marTop w:val="0"/>
      <w:marBottom w:val="0"/>
      <w:divBdr>
        <w:top w:val="none" w:sz="0" w:space="0" w:color="auto"/>
        <w:left w:val="none" w:sz="0" w:space="0" w:color="auto"/>
        <w:bottom w:val="none" w:sz="0" w:space="0" w:color="auto"/>
        <w:right w:val="none" w:sz="0" w:space="0" w:color="auto"/>
      </w:divBdr>
    </w:div>
    <w:div w:id="575020285">
      <w:bodyDiv w:val="1"/>
      <w:marLeft w:val="0"/>
      <w:marRight w:val="0"/>
      <w:marTop w:val="0"/>
      <w:marBottom w:val="0"/>
      <w:divBdr>
        <w:top w:val="none" w:sz="0" w:space="0" w:color="auto"/>
        <w:left w:val="none" w:sz="0" w:space="0" w:color="auto"/>
        <w:bottom w:val="none" w:sz="0" w:space="0" w:color="auto"/>
        <w:right w:val="none" w:sz="0" w:space="0" w:color="auto"/>
      </w:divBdr>
    </w:div>
    <w:div w:id="576593915">
      <w:bodyDiv w:val="1"/>
      <w:marLeft w:val="0"/>
      <w:marRight w:val="0"/>
      <w:marTop w:val="0"/>
      <w:marBottom w:val="0"/>
      <w:divBdr>
        <w:top w:val="none" w:sz="0" w:space="0" w:color="auto"/>
        <w:left w:val="none" w:sz="0" w:space="0" w:color="auto"/>
        <w:bottom w:val="none" w:sz="0" w:space="0" w:color="auto"/>
        <w:right w:val="none" w:sz="0" w:space="0" w:color="auto"/>
      </w:divBdr>
    </w:div>
    <w:div w:id="597248874">
      <w:bodyDiv w:val="1"/>
      <w:marLeft w:val="0"/>
      <w:marRight w:val="0"/>
      <w:marTop w:val="0"/>
      <w:marBottom w:val="0"/>
      <w:divBdr>
        <w:top w:val="none" w:sz="0" w:space="0" w:color="auto"/>
        <w:left w:val="none" w:sz="0" w:space="0" w:color="auto"/>
        <w:bottom w:val="none" w:sz="0" w:space="0" w:color="auto"/>
        <w:right w:val="none" w:sz="0" w:space="0" w:color="auto"/>
      </w:divBdr>
    </w:div>
    <w:div w:id="599142396">
      <w:bodyDiv w:val="1"/>
      <w:marLeft w:val="0"/>
      <w:marRight w:val="0"/>
      <w:marTop w:val="0"/>
      <w:marBottom w:val="0"/>
      <w:divBdr>
        <w:top w:val="none" w:sz="0" w:space="0" w:color="auto"/>
        <w:left w:val="none" w:sz="0" w:space="0" w:color="auto"/>
        <w:bottom w:val="none" w:sz="0" w:space="0" w:color="auto"/>
        <w:right w:val="none" w:sz="0" w:space="0" w:color="auto"/>
      </w:divBdr>
    </w:div>
    <w:div w:id="603343198">
      <w:bodyDiv w:val="1"/>
      <w:marLeft w:val="0"/>
      <w:marRight w:val="0"/>
      <w:marTop w:val="0"/>
      <w:marBottom w:val="0"/>
      <w:divBdr>
        <w:top w:val="none" w:sz="0" w:space="0" w:color="auto"/>
        <w:left w:val="none" w:sz="0" w:space="0" w:color="auto"/>
        <w:bottom w:val="none" w:sz="0" w:space="0" w:color="auto"/>
        <w:right w:val="none" w:sz="0" w:space="0" w:color="auto"/>
      </w:divBdr>
    </w:div>
    <w:div w:id="631906889">
      <w:bodyDiv w:val="1"/>
      <w:marLeft w:val="0"/>
      <w:marRight w:val="0"/>
      <w:marTop w:val="0"/>
      <w:marBottom w:val="0"/>
      <w:divBdr>
        <w:top w:val="none" w:sz="0" w:space="0" w:color="auto"/>
        <w:left w:val="none" w:sz="0" w:space="0" w:color="auto"/>
        <w:bottom w:val="none" w:sz="0" w:space="0" w:color="auto"/>
        <w:right w:val="none" w:sz="0" w:space="0" w:color="auto"/>
      </w:divBdr>
    </w:div>
    <w:div w:id="646016066">
      <w:bodyDiv w:val="1"/>
      <w:marLeft w:val="0"/>
      <w:marRight w:val="0"/>
      <w:marTop w:val="0"/>
      <w:marBottom w:val="0"/>
      <w:divBdr>
        <w:top w:val="none" w:sz="0" w:space="0" w:color="auto"/>
        <w:left w:val="none" w:sz="0" w:space="0" w:color="auto"/>
        <w:bottom w:val="none" w:sz="0" w:space="0" w:color="auto"/>
        <w:right w:val="none" w:sz="0" w:space="0" w:color="auto"/>
      </w:divBdr>
    </w:div>
    <w:div w:id="646472526">
      <w:bodyDiv w:val="1"/>
      <w:marLeft w:val="0"/>
      <w:marRight w:val="0"/>
      <w:marTop w:val="0"/>
      <w:marBottom w:val="0"/>
      <w:divBdr>
        <w:top w:val="none" w:sz="0" w:space="0" w:color="auto"/>
        <w:left w:val="none" w:sz="0" w:space="0" w:color="auto"/>
        <w:bottom w:val="none" w:sz="0" w:space="0" w:color="auto"/>
        <w:right w:val="none" w:sz="0" w:space="0" w:color="auto"/>
      </w:divBdr>
    </w:div>
    <w:div w:id="647327291">
      <w:bodyDiv w:val="1"/>
      <w:marLeft w:val="0"/>
      <w:marRight w:val="0"/>
      <w:marTop w:val="0"/>
      <w:marBottom w:val="0"/>
      <w:divBdr>
        <w:top w:val="none" w:sz="0" w:space="0" w:color="auto"/>
        <w:left w:val="none" w:sz="0" w:space="0" w:color="auto"/>
        <w:bottom w:val="none" w:sz="0" w:space="0" w:color="auto"/>
        <w:right w:val="none" w:sz="0" w:space="0" w:color="auto"/>
      </w:divBdr>
    </w:div>
    <w:div w:id="662659319">
      <w:bodyDiv w:val="1"/>
      <w:marLeft w:val="0"/>
      <w:marRight w:val="0"/>
      <w:marTop w:val="0"/>
      <w:marBottom w:val="0"/>
      <w:divBdr>
        <w:top w:val="none" w:sz="0" w:space="0" w:color="auto"/>
        <w:left w:val="none" w:sz="0" w:space="0" w:color="auto"/>
        <w:bottom w:val="none" w:sz="0" w:space="0" w:color="auto"/>
        <w:right w:val="none" w:sz="0" w:space="0" w:color="auto"/>
      </w:divBdr>
    </w:div>
    <w:div w:id="664361522">
      <w:bodyDiv w:val="1"/>
      <w:marLeft w:val="0"/>
      <w:marRight w:val="0"/>
      <w:marTop w:val="0"/>
      <w:marBottom w:val="0"/>
      <w:divBdr>
        <w:top w:val="none" w:sz="0" w:space="0" w:color="auto"/>
        <w:left w:val="none" w:sz="0" w:space="0" w:color="auto"/>
        <w:bottom w:val="none" w:sz="0" w:space="0" w:color="auto"/>
        <w:right w:val="none" w:sz="0" w:space="0" w:color="auto"/>
      </w:divBdr>
    </w:div>
    <w:div w:id="668025489">
      <w:bodyDiv w:val="1"/>
      <w:marLeft w:val="0"/>
      <w:marRight w:val="0"/>
      <w:marTop w:val="0"/>
      <w:marBottom w:val="0"/>
      <w:divBdr>
        <w:top w:val="none" w:sz="0" w:space="0" w:color="auto"/>
        <w:left w:val="none" w:sz="0" w:space="0" w:color="auto"/>
        <w:bottom w:val="none" w:sz="0" w:space="0" w:color="auto"/>
        <w:right w:val="none" w:sz="0" w:space="0" w:color="auto"/>
      </w:divBdr>
    </w:div>
    <w:div w:id="669023325">
      <w:bodyDiv w:val="1"/>
      <w:marLeft w:val="0"/>
      <w:marRight w:val="0"/>
      <w:marTop w:val="0"/>
      <w:marBottom w:val="0"/>
      <w:divBdr>
        <w:top w:val="none" w:sz="0" w:space="0" w:color="auto"/>
        <w:left w:val="none" w:sz="0" w:space="0" w:color="auto"/>
        <w:bottom w:val="none" w:sz="0" w:space="0" w:color="auto"/>
        <w:right w:val="none" w:sz="0" w:space="0" w:color="auto"/>
      </w:divBdr>
    </w:div>
    <w:div w:id="673192989">
      <w:bodyDiv w:val="1"/>
      <w:marLeft w:val="0"/>
      <w:marRight w:val="0"/>
      <w:marTop w:val="0"/>
      <w:marBottom w:val="0"/>
      <w:divBdr>
        <w:top w:val="none" w:sz="0" w:space="0" w:color="auto"/>
        <w:left w:val="none" w:sz="0" w:space="0" w:color="auto"/>
        <w:bottom w:val="none" w:sz="0" w:space="0" w:color="auto"/>
        <w:right w:val="none" w:sz="0" w:space="0" w:color="auto"/>
      </w:divBdr>
    </w:div>
    <w:div w:id="680281482">
      <w:bodyDiv w:val="1"/>
      <w:marLeft w:val="0"/>
      <w:marRight w:val="0"/>
      <w:marTop w:val="0"/>
      <w:marBottom w:val="0"/>
      <w:divBdr>
        <w:top w:val="none" w:sz="0" w:space="0" w:color="auto"/>
        <w:left w:val="none" w:sz="0" w:space="0" w:color="auto"/>
        <w:bottom w:val="none" w:sz="0" w:space="0" w:color="auto"/>
        <w:right w:val="none" w:sz="0" w:space="0" w:color="auto"/>
      </w:divBdr>
    </w:div>
    <w:div w:id="693118064">
      <w:bodyDiv w:val="1"/>
      <w:marLeft w:val="0"/>
      <w:marRight w:val="0"/>
      <w:marTop w:val="0"/>
      <w:marBottom w:val="0"/>
      <w:divBdr>
        <w:top w:val="none" w:sz="0" w:space="0" w:color="auto"/>
        <w:left w:val="none" w:sz="0" w:space="0" w:color="auto"/>
        <w:bottom w:val="none" w:sz="0" w:space="0" w:color="auto"/>
        <w:right w:val="none" w:sz="0" w:space="0" w:color="auto"/>
      </w:divBdr>
    </w:div>
    <w:div w:id="705330097">
      <w:bodyDiv w:val="1"/>
      <w:marLeft w:val="0"/>
      <w:marRight w:val="0"/>
      <w:marTop w:val="0"/>
      <w:marBottom w:val="0"/>
      <w:divBdr>
        <w:top w:val="none" w:sz="0" w:space="0" w:color="auto"/>
        <w:left w:val="none" w:sz="0" w:space="0" w:color="auto"/>
        <w:bottom w:val="none" w:sz="0" w:space="0" w:color="auto"/>
        <w:right w:val="none" w:sz="0" w:space="0" w:color="auto"/>
      </w:divBdr>
    </w:div>
    <w:div w:id="706295863">
      <w:bodyDiv w:val="1"/>
      <w:marLeft w:val="0"/>
      <w:marRight w:val="0"/>
      <w:marTop w:val="0"/>
      <w:marBottom w:val="0"/>
      <w:divBdr>
        <w:top w:val="none" w:sz="0" w:space="0" w:color="auto"/>
        <w:left w:val="none" w:sz="0" w:space="0" w:color="auto"/>
        <w:bottom w:val="none" w:sz="0" w:space="0" w:color="auto"/>
        <w:right w:val="none" w:sz="0" w:space="0" w:color="auto"/>
      </w:divBdr>
    </w:div>
    <w:div w:id="711271383">
      <w:bodyDiv w:val="1"/>
      <w:marLeft w:val="0"/>
      <w:marRight w:val="0"/>
      <w:marTop w:val="0"/>
      <w:marBottom w:val="0"/>
      <w:divBdr>
        <w:top w:val="none" w:sz="0" w:space="0" w:color="auto"/>
        <w:left w:val="none" w:sz="0" w:space="0" w:color="auto"/>
        <w:bottom w:val="none" w:sz="0" w:space="0" w:color="auto"/>
        <w:right w:val="none" w:sz="0" w:space="0" w:color="auto"/>
      </w:divBdr>
    </w:div>
    <w:div w:id="718670406">
      <w:bodyDiv w:val="1"/>
      <w:marLeft w:val="0"/>
      <w:marRight w:val="0"/>
      <w:marTop w:val="0"/>
      <w:marBottom w:val="0"/>
      <w:divBdr>
        <w:top w:val="none" w:sz="0" w:space="0" w:color="auto"/>
        <w:left w:val="none" w:sz="0" w:space="0" w:color="auto"/>
        <w:bottom w:val="none" w:sz="0" w:space="0" w:color="auto"/>
        <w:right w:val="none" w:sz="0" w:space="0" w:color="auto"/>
      </w:divBdr>
    </w:div>
    <w:div w:id="727413541">
      <w:bodyDiv w:val="1"/>
      <w:marLeft w:val="0"/>
      <w:marRight w:val="0"/>
      <w:marTop w:val="0"/>
      <w:marBottom w:val="0"/>
      <w:divBdr>
        <w:top w:val="none" w:sz="0" w:space="0" w:color="auto"/>
        <w:left w:val="none" w:sz="0" w:space="0" w:color="auto"/>
        <w:bottom w:val="none" w:sz="0" w:space="0" w:color="auto"/>
        <w:right w:val="none" w:sz="0" w:space="0" w:color="auto"/>
      </w:divBdr>
    </w:div>
    <w:div w:id="727731707">
      <w:bodyDiv w:val="1"/>
      <w:marLeft w:val="0"/>
      <w:marRight w:val="0"/>
      <w:marTop w:val="0"/>
      <w:marBottom w:val="0"/>
      <w:divBdr>
        <w:top w:val="none" w:sz="0" w:space="0" w:color="auto"/>
        <w:left w:val="none" w:sz="0" w:space="0" w:color="auto"/>
        <w:bottom w:val="none" w:sz="0" w:space="0" w:color="auto"/>
        <w:right w:val="none" w:sz="0" w:space="0" w:color="auto"/>
      </w:divBdr>
    </w:div>
    <w:div w:id="738480970">
      <w:bodyDiv w:val="1"/>
      <w:marLeft w:val="0"/>
      <w:marRight w:val="0"/>
      <w:marTop w:val="0"/>
      <w:marBottom w:val="0"/>
      <w:divBdr>
        <w:top w:val="none" w:sz="0" w:space="0" w:color="auto"/>
        <w:left w:val="none" w:sz="0" w:space="0" w:color="auto"/>
        <w:bottom w:val="none" w:sz="0" w:space="0" w:color="auto"/>
        <w:right w:val="none" w:sz="0" w:space="0" w:color="auto"/>
      </w:divBdr>
    </w:div>
    <w:div w:id="752435495">
      <w:bodyDiv w:val="1"/>
      <w:marLeft w:val="0"/>
      <w:marRight w:val="0"/>
      <w:marTop w:val="0"/>
      <w:marBottom w:val="0"/>
      <w:divBdr>
        <w:top w:val="none" w:sz="0" w:space="0" w:color="auto"/>
        <w:left w:val="none" w:sz="0" w:space="0" w:color="auto"/>
        <w:bottom w:val="none" w:sz="0" w:space="0" w:color="auto"/>
        <w:right w:val="none" w:sz="0" w:space="0" w:color="auto"/>
      </w:divBdr>
    </w:div>
    <w:div w:id="772287365">
      <w:bodyDiv w:val="1"/>
      <w:marLeft w:val="0"/>
      <w:marRight w:val="0"/>
      <w:marTop w:val="0"/>
      <w:marBottom w:val="0"/>
      <w:divBdr>
        <w:top w:val="none" w:sz="0" w:space="0" w:color="auto"/>
        <w:left w:val="none" w:sz="0" w:space="0" w:color="auto"/>
        <w:bottom w:val="none" w:sz="0" w:space="0" w:color="auto"/>
        <w:right w:val="none" w:sz="0" w:space="0" w:color="auto"/>
      </w:divBdr>
    </w:div>
    <w:div w:id="778528858">
      <w:bodyDiv w:val="1"/>
      <w:marLeft w:val="0"/>
      <w:marRight w:val="0"/>
      <w:marTop w:val="0"/>
      <w:marBottom w:val="0"/>
      <w:divBdr>
        <w:top w:val="none" w:sz="0" w:space="0" w:color="auto"/>
        <w:left w:val="none" w:sz="0" w:space="0" w:color="auto"/>
        <w:bottom w:val="none" w:sz="0" w:space="0" w:color="auto"/>
        <w:right w:val="none" w:sz="0" w:space="0" w:color="auto"/>
      </w:divBdr>
    </w:div>
    <w:div w:id="780303652">
      <w:bodyDiv w:val="1"/>
      <w:marLeft w:val="0"/>
      <w:marRight w:val="0"/>
      <w:marTop w:val="0"/>
      <w:marBottom w:val="0"/>
      <w:divBdr>
        <w:top w:val="none" w:sz="0" w:space="0" w:color="auto"/>
        <w:left w:val="none" w:sz="0" w:space="0" w:color="auto"/>
        <w:bottom w:val="none" w:sz="0" w:space="0" w:color="auto"/>
        <w:right w:val="none" w:sz="0" w:space="0" w:color="auto"/>
      </w:divBdr>
    </w:div>
    <w:div w:id="781849844">
      <w:bodyDiv w:val="1"/>
      <w:marLeft w:val="0"/>
      <w:marRight w:val="0"/>
      <w:marTop w:val="0"/>
      <w:marBottom w:val="0"/>
      <w:divBdr>
        <w:top w:val="none" w:sz="0" w:space="0" w:color="auto"/>
        <w:left w:val="none" w:sz="0" w:space="0" w:color="auto"/>
        <w:bottom w:val="none" w:sz="0" w:space="0" w:color="auto"/>
        <w:right w:val="none" w:sz="0" w:space="0" w:color="auto"/>
      </w:divBdr>
    </w:div>
    <w:div w:id="782647373">
      <w:bodyDiv w:val="1"/>
      <w:marLeft w:val="0"/>
      <w:marRight w:val="0"/>
      <w:marTop w:val="0"/>
      <w:marBottom w:val="0"/>
      <w:divBdr>
        <w:top w:val="none" w:sz="0" w:space="0" w:color="auto"/>
        <w:left w:val="none" w:sz="0" w:space="0" w:color="auto"/>
        <w:bottom w:val="none" w:sz="0" w:space="0" w:color="auto"/>
        <w:right w:val="none" w:sz="0" w:space="0" w:color="auto"/>
      </w:divBdr>
    </w:div>
    <w:div w:id="785346765">
      <w:bodyDiv w:val="1"/>
      <w:marLeft w:val="0"/>
      <w:marRight w:val="0"/>
      <w:marTop w:val="0"/>
      <w:marBottom w:val="0"/>
      <w:divBdr>
        <w:top w:val="none" w:sz="0" w:space="0" w:color="auto"/>
        <w:left w:val="none" w:sz="0" w:space="0" w:color="auto"/>
        <w:bottom w:val="none" w:sz="0" w:space="0" w:color="auto"/>
        <w:right w:val="none" w:sz="0" w:space="0" w:color="auto"/>
      </w:divBdr>
    </w:div>
    <w:div w:id="786192245">
      <w:bodyDiv w:val="1"/>
      <w:marLeft w:val="0"/>
      <w:marRight w:val="0"/>
      <w:marTop w:val="0"/>
      <w:marBottom w:val="0"/>
      <w:divBdr>
        <w:top w:val="none" w:sz="0" w:space="0" w:color="auto"/>
        <w:left w:val="none" w:sz="0" w:space="0" w:color="auto"/>
        <w:bottom w:val="none" w:sz="0" w:space="0" w:color="auto"/>
        <w:right w:val="none" w:sz="0" w:space="0" w:color="auto"/>
      </w:divBdr>
    </w:div>
    <w:div w:id="787046769">
      <w:bodyDiv w:val="1"/>
      <w:marLeft w:val="0"/>
      <w:marRight w:val="0"/>
      <w:marTop w:val="0"/>
      <w:marBottom w:val="0"/>
      <w:divBdr>
        <w:top w:val="none" w:sz="0" w:space="0" w:color="auto"/>
        <w:left w:val="none" w:sz="0" w:space="0" w:color="auto"/>
        <w:bottom w:val="none" w:sz="0" w:space="0" w:color="auto"/>
        <w:right w:val="none" w:sz="0" w:space="0" w:color="auto"/>
      </w:divBdr>
    </w:div>
    <w:div w:id="796534210">
      <w:bodyDiv w:val="1"/>
      <w:marLeft w:val="0"/>
      <w:marRight w:val="0"/>
      <w:marTop w:val="0"/>
      <w:marBottom w:val="0"/>
      <w:divBdr>
        <w:top w:val="none" w:sz="0" w:space="0" w:color="auto"/>
        <w:left w:val="none" w:sz="0" w:space="0" w:color="auto"/>
        <w:bottom w:val="none" w:sz="0" w:space="0" w:color="auto"/>
        <w:right w:val="none" w:sz="0" w:space="0" w:color="auto"/>
      </w:divBdr>
    </w:div>
    <w:div w:id="798300890">
      <w:bodyDiv w:val="1"/>
      <w:marLeft w:val="0"/>
      <w:marRight w:val="0"/>
      <w:marTop w:val="0"/>
      <w:marBottom w:val="0"/>
      <w:divBdr>
        <w:top w:val="none" w:sz="0" w:space="0" w:color="auto"/>
        <w:left w:val="none" w:sz="0" w:space="0" w:color="auto"/>
        <w:bottom w:val="none" w:sz="0" w:space="0" w:color="auto"/>
        <w:right w:val="none" w:sz="0" w:space="0" w:color="auto"/>
      </w:divBdr>
    </w:div>
    <w:div w:id="803814651">
      <w:bodyDiv w:val="1"/>
      <w:marLeft w:val="0"/>
      <w:marRight w:val="0"/>
      <w:marTop w:val="0"/>
      <w:marBottom w:val="0"/>
      <w:divBdr>
        <w:top w:val="none" w:sz="0" w:space="0" w:color="auto"/>
        <w:left w:val="none" w:sz="0" w:space="0" w:color="auto"/>
        <w:bottom w:val="none" w:sz="0" w:space="0" w:color="auto"/>
        <w:right w:val="none" w:sz="0" w:space="0" w:color="auto"/>
      </w:divBdr>
    </w:div>
    <w:div w:id="807943018">
      <w:bodyDiv w:val="1"/>
      <w:marLeft w:val="0"/>
      <w:marRight w:val="0"/>
      <w:marTop w:val="0"/>
      <w:marBottom w:val="0"/>
      <w:divBdr>
        <w:top w:val="none" w:sz="0" w:space="0" w:color="auto"/>
        <w:left w:val="none" w:sz="0" w:space="0" w:color="auto"/>
        <w:bottom w:val="none" w:sz="0" w:space="0" w:color="auto"/>
        <w:right w:val="none" w:sz="0" w:space="0" w:color="auto"/>
      </w:divBdr>
    </w:div>
    <w:div w:id="818308684">
      <w:bodyDiv w:val="1"/>
      <w:marLeft w:val="0"/>
      <w:marRight w:val="0"/>
      <w:marTop w:val="0"/>
      <w:marBottom w:val="0"/>
      <w:divBdr>
        <w:top w:val="none" w:sz="0" w:space="0" w:color="auto"/>
        <w:left w:val="none" w:sz="0" w:space="0" w:color="auto"/>
        <w:bottom w:val="none" w:sz="0" w:space="0" w:color="auto"/>
        <w:right w:val="none" w:sz="0" w:space="0" w:color="auto"/>
      </w:divBdr>
    </w:div>
    <w:div w:id="819151176">
      <w:bodyDiv w:val="1"/>
      <w:marLeft w:val="0"/>
      <w:marRight w:val="0"/>
      <w:marTop w:val="0"/>
      <w:marBottom w:val="0"/>
      <w:divBdr>
        <w:top w:val="none" w:sz="0" w:space="0" w:color="auto"/>
        <w:left w:val="none" w:sz="0" w:space="0" w:color="auto"/>
        <w:bottom w:val="none" w:sz="0" w:space="0" w:color="auto"/>
        <w:right w:val="none" w:sz="0" w:space="0" w:color="auto"/>
      </w:divBdr>
    </w:div>
    <w:div w:id="825703624">
      <w:bodyDiv w:val="1"/>
      <w:marLeft w:val="0"/>
      <w:marRight w:val="0"/>
      <w:marTop w:val="0"/>
      <w:marBottom w:val="0"/>
      <w:divBdr>
        <w:top w:val="none" w:sz="0" w:space="0" w:color="auto"/>
        <w:left w:val="none" w:sz="0" w:space="0" w:color="auto"/>
        <w:bottom w:val="none" w:sz="0" w:space="0" w:color="auto"/>
        <w:right w:val="none" w:sz="0" w:space="0" w:color="auto"/>
      </w:divBdr>
    </w:div>
    <w:div w:id="831677618">
      <w:bodyDiv w:val="1"/>
      <w:marLeft w:val="0"/>
      <w:marRight w:val="0"/>
      <w:marTop w:val="0"/>
      <w:marBottom w:val="0"/>
      <w:divBdr>
        <w:top w:val="none" w:sz="0" w:space="0" w:color="auto"/>
        <w:left w:val="none" w:sz="0" w:space="0" w:color="auto"/>
        <w:bottom w:val="none" w:sz="0" w:space="0" w:color="auto"/>
        <w:right w:val="none" w:sz="0" w:space="0" w:color="auto"/>
      </w:divBdr>
    </w:div>
    <w:div w:id="842817508">
      <w:bodyDiv w:val="1"/>
      <w:marLeft w:val="0"/>
      <w:marRight w:val="0"/>
      <w:marTop w:val="0"/>
      <w:marBottom w:val="0"/>
      <w:divBdr>
        <w:top w:val="none" w:sz="0" w:space="0" w:color="auto"/>
        <w:left w:val="none" w:sz="0" w:space="0" w:color="auto"/>
        <w:bottom w:val="none" w:sz="0" w:space="0" w:color="auto"/>
        <w:right w:val="none" w:sz="0" w:space="0" w:color="auto"/>
      </w:divBdr>
    </w:div>
    <w:div w:id="845024238">
      <w:bodyDiv w:val="1"/>
      <w:marLeft w:val="0"/>
      <w:marRight w:val="0"/>
      <w:marTop w:val="0"/>
      <w:marBottom w:val="0"/>
      <w:divBdr>
        <w:top w:val="none" w:sz="0" w:space="0" w:color="auto"/>
        <w:left w:val="none" w:sz="0" w:space="0" w:color="auto"/>
        <w:bottom w:val="none" w:sz="0" w:space="0" w:color="auto"/>
        <w:right w:val="none" w:sz="0" w:space="0" w:color="auto"/>
      </w:divBdr>
    </w:div>
    <w:div w:id="849487485">
      <w:bodyDiv w:val="1"/>
      <w:marLeft w:val="0"/>
      <w:marRight w:val="0"/>
      <w:marTop w:val="0"/>
      <w:marBottom w:val="0"/>
      <w:divBdr>
        <w:top w:val="none" w:sz="0" w:space="0" w:color="auto"/>
        <w:left w:val="none" w:sz="0" w:space="0" w:color="auto"/>
        <w:bottom w:val="none" w:sz="0" w:space="0" w:color="auto"/>
        <w:right w:val="none" w:sz="0" w:space="0" w:color="auto"/>
      </w:divBdr>
    </w:div>
    <w:div w:id="855340013">
      <w:bodyDiv w:val="1"/>
      <w:marLeft w:val="0"/>
      <w:marRight w:val="0"/>
      <w:marTop w:val="0"/>
      <w:marBottom w:val="0"/>
      <w:divBdr>
        <w:top w:val="none" w:sz="0" w:space="0" w:color="auto"/>
        <w:left w:val="none" w:sz="0" w:space="0" w:color="auto"/>
        <w:bottom w:val="none" w:sz="0" w:space="0" w:color="auto"/>
        <w:right w:val="none" w:sz="0" w:space="0" w:color="auto"/>
      </w:divBdr>
    </w:div>
    <w:div w:id="858811325">
      <w:bodyDiv w:val="1"/>
      <w:marLeft w:val="0"/>
      <w:marRight w:val="0"/>
      <w:marTop w:val="0"/>
      <w:marBottom w:val="0"/>
      <w:divBdr>
        <w:top w:val="none" w:sz="0" w:space="0" w:color="auto"/>
        <w:left w:val="none" w:sz="0" w:space="0" w:color="auto"/>
        <w:bottom w:val="none" w:sz="0" w:space="0" w:color="auto"/>
        <w:right w:val="none" w:sz="0" w:space="0" w:color="auto"/>
      </w:divBdr>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8489415">
      <w:bodyDiv w:val="1"/>
      <w:marLeft w:val="0"/>
      <w:marRight w:val="0"/>
      <w:marTop w:val="0"/>
      <w:marBottom w:val="0"/>
      <w:divBdr>
        <w:top w:val="none" w:sz="0" w:space="0" w:color="auto"/>
        <w:left w:val="none" w:sz="0" w:space="0" w:color="auto"/>
        <w:bottom w:val="none" w:sz="0" w:space="0" w:color="auto"/>
        <w:right w:val="none" w:sz="0" w:space="0" w:color="auto"/>
      </w:divBdr>
    </w:div>
    <w:div w:id="869805923">
      <w:bodyDiv w:val="1"/>
      <w:marLeft w:val="0"/>
      <w:marRight w:val="0"/>
      <w:marTop w:val="0"/>
      <w:marBottom w:val="0"/>
      <w:divBdr>
        <w:top w:val="none" w:sz="0" w:space="0" w:color="auto"/>
        <w:left w:val="none" w:sz="0" w:space="0" w:color="auto"/>
        <w:bottom w:val="none" w:sz="0" w:space="0" w:color="auto"/>
        <w:right w:val="none" w:sz="0" w:space="0" w:color="auto"/>
      </w:divBdr>
    </w:div>
    <w:div w:id="883980394">
      <w:bodyDiv w:val="1"/>
      <w:marLeft w:val="0"/>
      <w:marRight w:val="0"/>
      <w:marTop w:val="0"/>
      <w:marBottom w:val="0"/>
      <w:divBdr>
        <w:top w:val="none" w:sz="0" w:space="0" w:color="auto"/>
        <w:left w:val="none" w:sz="0" w:space="0" w:color="auto"/>
        <w:bottom w:val="none" w:sz="0" w:space="0" w:color="auto"/>
        <w:right w:val="none" w:sz="0" w:space="0" w:color="auto"/>
      </w:divBdr>
    </w:div>
    <w:div w:id="891504679">
      <w:bodyDiv w:val="1"/>
      <w:marLeft w:val="0"/>
      <w:marRight w:val="0"/>
      <w:marTop w:val="0"/>
      <w:marBottom w:val="0"/>
      <w:divBdr>
        <w:top w:val="none" w:sz="0" w:space="0" w:color="auto"/>
        <w:left w:val="none" w:sz="0" w:space="0" w:color="auto"/>
        <w:bottom w:val="none" w:sz="0" w:space="0" w:color="auto"/>
        <w:right w:val="none" w:sz="0" w:space="0" w:color="auto"/>
      </w:divBdr>
    </w:div>
    <w:div w:id="910578772">
      <w:bodyDiv w:val="1"/>
      <w:marLeft w:val="0"/>
      <w:marRight w:val="0"/>
      <w:marTop w:val="0"/>
      <w:marBottom w:val="0"/>
      <w:divBdr>
        <w:top w:val="none" w:sz="0" w:space="0" w:color="auto"/>
        <w:left w:val="none" w:sz="0" w:space="0" w:color="auto"/>
        <w:bottom w:val="none" w:sz="0" w:space="0" w:color="auto"/>
        <w:right w:val="none" w:sz="0" w:space="0" w:color="auto"/>
      </w:divBdr>
    </w:div>
    <w:div w:id="920872550">
      <w:bodyDiv w:val="1"/>
      <w:marLeft w:val="0"/>
      <w:marRight w:val="0"/>
      <w:marTop w:val="0"/>
      <w:marBottom w:val="0"/>
      <w:divBdr>
        <w:top w:val="none" w:sz="0" w:space="0" w:color="auto"/>
        <w:left w:val="none" w:sz="0" w:space="0" w:color="auto"/>
        <w:bottom w:val="none" w:sz="0" w:space="0" w:color="auto"/>
        <w:right w:val="none" w:sz="0" w:space="0" w:color="auto"/>
      </w:divBdr>
    </w:div>
    <w:div w:id="940647870">
      <w:bodyDiv w:val="1"/>
      <w:marLeft w:val="0"/>
      <w:marRight w:val="0"/>
      <w:marTop w:val="0"/>
      <w:marBottom w:val="0"/>
      <w:divBdr>
        <w:top w:val="none" w:sz="0" w:space="0" w:color="auto"/>
        <w:left w:val="none" w:sz="0" w:space="0" w:color="auto"/>
        <w:bottom w:val="none" w:sz="0" w:space="0" w:color="auto"/>
        <w:right w:val="none" w:sz="0" w:space="0" w:color="auto"/>
      </w:divBdr>
    </w:div>
    <w:div w:id="958727467">
      <w:bodyDiv w:val="1"/>
      <w:marLeft w:val="0"/>
      <w:marRight w:val="0"/>
      <w:marTop w:val="0"/>
      <w:marBottom w:val="0"/>
      <w:divBdr>
        <w:top w:val="none" w:sz="0" w:space="0" w:color="auto"/>
        <w:left w:val="none" w:sz="0" w:space="0" w:color="auto"/>
        <w:bottom w:val="none" w:sz="0" w:space="0" w:color="auto"/>
        <w:right w:val="none" w:sz="0" w:space="0" w:color="auto"/>
      </w:divBdr>
    </w:div>
    <w:div w:id="962426230">
      <w:bodyDiv w:val="1"/>
      <w:marLeft w:val="0"/>
      <w:marRight w:val="0"/>
      <w:marTop w:val="0"/>
      <w:marBottom w:val="0"/>
      <w:divBdr>
        <w:top w:val="none" w:sz="0" w:space="0" w:color="auto"/>
        <w:left w:val="none" w:sz="0" w:space="0" w:color="auto"/>
        <w:bottom w:val="none" w:sz="0" w:space="0" w:color="auto"/>
        <w:right w:val="none" w:sz="0" w:space="0" w:color="auto"/>
      </w:divBdr>
    </w:div>
    <w:div w:id="1019235429">
      <w:bodyDiv w:val="1"/>
      <w:marLeft w:val="0"/>
      <w:marRight w:val="0"/>
      <w:marTop w:val="0"/>
      <w:marBottom w:val="0"/>
      <w:divBdr>
        <w:top w:val="none" w:sz="0" w:space="0" w:color="auto"/>
        <w:left w:val="none" w:sz="0" w:space="0" w:color="auto"/>
        <w:bottom w:val="none" w:sz="0" w:space="0" w:color="auto"/>
        <w:right w:val="none" w:sz="0" w:space="0" w:color="auto"/>
      </w:divBdr>
    </w:div>
    <w:div w:id="1025473613">
      <w:bodyDiv w:val="1"/>
      <w:marLeft w:val="0"/>
      <w:marRight w:val="0"/>
      <w:marTop w:val="0"/>
      <w:marBottom w:val="0"/>
      <w:divBdr>
        <w:top w:val="none" w:sz="0" w:space="0" w:color="auto"/>
        <w:left w:val="none" w:sz="0" w:space="0" w:color="auto"/>
        <w:bottom w:val="none" w:sz="0" w:space="0" w:color="auto"/>
        <w:right w:val="none" w:sz="0" w:space="0" w:color="auto"/>
      </w:divBdr>
    </w:div>
    <w:div w:id="1033186629">
      <w:bodyDiv w:val="1"/>
      <w:marLeft w:val="0"/>
      <w:marRight w:val="0"/>
      <w:marTop w:val="0"/>
      <w:marBottom w:val="0"/>
      <w:divBdr>
        <w:top w:val="none" w:sz="0" w:space="0" w:color="auto"/>
        <w:left w:val="none" w:sz="0" w:space="0" w:color="auto"/>
        <w:bottom w:val="none" w:sz="0" w:space="0" w:color="auto"/>
        <w:right w:val="none" w:sz="0" w:space="0" w:color="auto"/>
      </w:divBdr>
    </w:div>
    <w:div w:id="1033187225">
      <w:bodyDiv w:val="1"/>
      <w:marLeft w:val="0"/>
      <w:marRight w:val="0"/>
      <w:marTop w:val="0"/>
      <w:marBottom w:val="0"/>
      <w:divBdr>
        <w:top w:val="none" w:sz="0" w:space="0" w:color="auto"/>
        <w:left w:val="none" w:sz="0" w:space="0" w:color="auto"/>
        <w:bottom w:val="none" w:sz="0" w:space="0" w:color="auto"/>
        <w:right w:val="none" w:sz="0" w:space="0" w:color="auto"/>
      </w:divBdr>
    </w:div>
    <w:div w:id="1051612150">
      <w:bodyDiv w:val="1"/>
      <w:marLeft w:val="0"/>
      <w:marRight w:val="0"/>
      <w:marTop w:val="0"/>
      <w:marBottom w:val="0"/>
      <w:divBdr>
        <w:top w:val="none" w:sz="0" w:space="0" w:color="auto"/>
        <w:left w:val="none" w:sz="0" w:space="0" w:color="auto"/>
        <w:bottom w:val="none" w:sz="0" w:space="0" w:color="auto"/>
        <w:right w:val="none" w:sz="0" w:space="0" w:color="auto"/>
      </w:divBdr>
    </w:div>
    <w:div w:id="1055590926">
      <w:bodyDiv w:val="1"/>
      <w:marLeft w:val="0"/>
      <w:marRight w:val="0"/>
      <w:marTop w:val="0"/>
      <w:marBottom w:val="0"/>
      <w:divBdr>
        <w:top w:val="none" w:sz="0" w:space="0" w:color="auto"/>
        <w:left w:val="none" w:sz="0" w:space="0" w:color="auto"/>
        <w:bottom w:val="none" w:sz="0" w:space="0" w:color="auto"/>
        <w:right w:val="none" w:sz="0" w:space="0" w:color="auto"/>
      </w:divBdr>
    </w:div>
    <w:div w:id="1071973987">
      <w:bodyDiv w:val="1"/>
      <w:marLeft w:val="0"/>
      <w:marRight w:val="0"/>
      <w:marTop w:val="0"/>
      <w:marBottom w:val="0"/>
      <w:divBdr>
        <w:top w:val="none" w:sz="0" w:space="0" w:color="auto"/>
        <w:left w:val="none" w:sz="0" w:space="0" w:color="auto"/>
        <w:bottom w:val="none" w:sz="0" w:space="0" w:color="auto"/>
        <w:right w:val="none" w:sz="0" w:space="0" w:color="auto"/>
      </w:divBdr>
    </w:div>
    <w:div w:id="1072847329">
      <w:bodyDiv w:val="1"/>
      <w:marLeft w:val="0"/>
      <w:marRight w:val="0"/>
      <w:marTop w:val="0"/>
      <w:marBottom w:val="0"/>
      <w:divBdr>
        <w:top w:val="none" w:sz="0" w:space="0" w:color="auto"/>
        <w:left w:val="none" w:sz="0" w:space="0" w:color="auto"/>
        <w:bottom w:val="none" w:sz="0" w:space="0" w:color="auto"/>
        <w:right w:val="none" w:sz="0" w:space="0" w:color="auto"/>
      </w:divBdr>
    </w:div>
    <w:div w:id="1074425509">
      <w:bodyDiv w:val="1"/>
      <w:marLeft w:val="0"/>
      <w:marRight w:val="0"/>
      <w:marTop w:val="0"/>
      <w:marBottom w:val="0"/>
      <w:divBdr>
        <w:top w:val="none" w:sz="0" w:space="0" w:color="auto"/>
        <w:left w:val="none" w:sz="0" w:space="0" w:color="auto"/>
        <w:bottom w:val="none" w:sz="0" w:space="0" w:color="auto"/>
        <w:right w:val="none" w:sz="0" w:space="0" w:color="auto"/>
      </w:divBdr>
    </w:div>
    <w:div w:id="1076972461">
      <w:bodyDiv w:val="1"/>
      <w:marLeft w:val="0"/>
      <w:marRight w:val="0"/>
      <w:marTop w:val="0"/>
      <w:marBottom w:val="0"/>
      <w:divBdr>
        <w:top w:val="none" w:sz="0" w:space="0" w:color="auto"/>
        <w:left w:val="none" w:sz="0" w:space="0" w:color="auto"/>
        <w:bottom w:val="none" w:sz="0" w:space="0" w:color="auto"/>
        <w:right w:val="none" w:sz="0" w:space="0" w:color="auto"/>
      </w:divBdr>
    </w:div>
    <w:div w:id="1082530265">
      <w:bodyDiv w:val="1"/>
      <w:marLeft w:val="0"/>
      <w:marRight w:val="0"/>
      <w:marTop w:val="0"/>
      <w:marBottom w:val="0"/>
      <w:divBdr>
        <w:top w:val="none" w:sz="0" w:space="0" w:color="auto"/>
        <w:left w:val="none" w:sz="0" w:space="0" w:color="auto"/>
        <w:bottom w:val="none" w:sz="0" w:space="0" w:color="auto"/>
        <w:right w:val="none" w:sz="0" w:space="0" w:color="auto"/>
      </w:divBdr>
    </w:div>
    <w:div w:id="1082532348">
      <w:bodyDiv w:val="1"/>
      <w:marLeft w:val="0"/>
      <w:marRight w:val="0"/>
      <w:marTop w:val="0"/>
      <w:marBottom w:val="0"/>
      <w:divBdr>
        <w:top w:val="none" w:sz="0" w:space="0" w:color="auto"/>
        <w:left w:val="none" w:sz="0" w:space="0" w:color="auto"/>
        <w:bottom w:val="none" w:sz="0" w:space="0" w:color="auto"/>
        <w:right w:val="none" w:sz="0" w:space="0" w:color="auto"/>
      </w:divBdr>
    </w:div>
    <w:div w:id="1084838424">
      <w:bodyDiv w:val="1"/>
      <w:marLeft w:val="0"/>
      <w:marRight w:val="0"/>
      <w:marTop w:val="0"/>
      <w:marBottom w:val="0"/>
      <w:divBdr>
        <w:top w:val="none" w:sz="0" w:space="0" w:color="auto"/>
        <w:left w:val="none" w:sz="0" w:space="0" w:color="auto"/>
        <w:bottom w:val="none" w:sz="0" w:space="0" w:color="auto"/>
        <w:right w:val="none" w:sz="0" w:space="0" w:color="auto"/>
      </w:divBdr>
    </w:div>
    <w:div w:id="1088113704">
      <w:bodyDiv w:val="1"/>
      <w:marLeft w:val="0"/>
      <w:marRight w:val="0"/>
      <w:marTop w:val="0"/>
      <w:marBottom w:val="0"/>
      <w:divBdr>
        <w:top w:val="none" w:sz="0" w:space="0" w:color="auto"/>
        <w:left w:val="none" w:sz="0" w:space="0" w:color="auto"/>
        <w:bottom w:val="none" w:sz="0" w:space="0" w:color="auto"/>
        <w:right w:val="none" w:sz="0" w:space="0" w:color="auto"/>
      </w:divBdr>
    </w:div>
    <w:div w:id="1102729108">
      <w:bodyDiv w:val="1"/>
      <w:marLeft w:val="0"/>
      <w:marRight w:val="0"/>
      <w:marTop w:val="0"/>
      <w:marBottom w:val="0"/>
      <w:divBdr>
        <w:top w:val="none" w:sz="0" w:space="0" w:color="auto"/>
        <w:left w:val="none" w:sz="0" w:space="0" w:color="auto"/>
        <w:bottom w:val="none" w:sz="0" w:space="0" w:color="auto"/>
        <w:right w:val="none" w:sz="0" w:space="0" w:color="auto"/>
      </w:divBdr>
    </w:div>
    <w:div w:id="1105225188">
      <w:bodyDiv w:val="1"/>
      <w:marLeft w:val="0"/>
      <w:marRight w:val="0"/>
      <w:marTop w:val="0"/>
      <w:marBottom w:val="0"/>
      <w:divBdr>
        <w:top w:val="none" w:sz="0" w:space="0" w:color="auto"/>
        <w:left w:val="none" w:sz="0" w:space="0" w:color="auto"/>
        <w:bottom w:val="none" w:sz="0" w:space="0" w:color="auto"/>
        <w:right w:val="none" w:sz="0" w:space="0" w:color="auto"/>
      </w:divBdr>
    </w:div>
    <w:div w:id="1111705535">
      <w:bodyDiv w:val="1"/>
      <w:marLeft w:val="0"/>
      <w:marRight w:val="0"/>
      <w:marTop w:val="0"/>
      <w:marBottom w:val="0"/>
      <w:divBdr>
        <w:top w:val="none" w:sz="0" w:space="0" w:color="auto"/>
        <w:left w:val="none" w:sz="0" w:space="0" w:color="auto"/>
        <w:bottom w:val="none" w:sz="0" w:space="0" w:color="auto"/>
        <w:right w:val="none" w:sz="0" w:space="0" w:color="auto"/>
      </w:divBdr>
    </w:div>
    <w:div w:id="1130317560">
      <w:bodyDiv w:val="1"/>
      <w:marLeft w:val="0"/>
      <w:marRight w:val="0"/>
      <w:marTop w:val="0"/>
      <w:marBottom w:val="0"/>
      <w:divBdr>
        <w:top w:val="none" w:sz="0" w:space="0" w:color="auto"/>
        <w:left w:val="none" w:sz="0" w:space="0" w:color="auto"/>
        <w:bottom w:val="none" w:sz="0" w:space="0" w:color="auto"/>
        <w:right w:val="none" w:sz="0" w:space="0" w:color="auto"/>
      </w:divBdr>
    </w:div>
    <w:div w:id="1133792858">
      <w:bodyDiv w:val="1"/>
      <w:marLeft w:val="0"/>
      <w:marRight w:val="0"/>
      <w:marTop w:val="0"/>
      <w:marBottom w:val="0"/>
      <w:divBdr>
        <w:top w:val="none" w:sz="0" w:space="0" w:color="auto"/>
        <w:left w:val="none" w:sz="0" w:space="0" w:color="auto"/>
        <w:bottom w:val="none" w:sz="0" w:space="0" w:color="auto"/>
        <w:right w:val="none" w:sz="0" w:space="0" w:color="auto"/>
      </w:divBdr>
    </w:div>
    <w:div w:id="1139570368">
      <w:bodyDiv w:val="1"/>
      <w:marLeft w:val="0"/>
      <w:marRight w:val="0"/>
      <w:marTop w:val="0"/>
      <w:marBottom w:val="0"/>
      <w:divBdr>
        <w:top w:val="none" w:sz="0" w:space="0" w:color="auto"/>
        <w:left w:val="none" w:sz="0" w:space="0" w:color="auto"/>
        <w:bottom w:val="none" w:sz="0" w:space="0" w:color="auto"/>
        <w:right w:val="none" w:sz="0" w:space="0" w:color="auto"/>
      </w:divBdr>
    </w:div>
    <w:div w:id="1139693283">
      <w:bodyDiv w:val="1"/>
      <w:marLeft w:val="0"/>
      <w:marRight w:val="0"/>
      <w:marTop w:val="0"/>
      <w:marBottom w:val="0"/>
      <w:divBdr>
        <w:top w:val="none" w:sz="0" w:space="0" w:color="auto"/>
        <w:left w:val="none" w:sz="0" w:space="0" w:color="auto"/>
        <w:bottom w:val="none" w:sz="0" w:space="0" w:color="auto"/>
        <w:right w:val="none" w:sz="0" w:space="0" w:color="auto"/>
      </w:divBdr>
    </w:div>
    <w:div w:id="1157842846">
      <w:bodyDiv w:val="1"/>
      <w:marLeft w:val="0"/>
      <w:marRight w:val="0"/>
      <w:marTop w:val="0"/>
      <w:marBottom w:val="0"/>
      <w:divBdr>
        <w:top w:val="none" w:sz="0" w:space="0" w:color="auto"/>
        <w:left w:val="none" w:sz="0" w:space="0" w:color="auto"/>
        <w:bottom w:val="none" w:sz="0" w:space="0" w:color="auto"/>
        <w:right w:val="none" w:sz="0" w:space="0" w:color="auto"/>
      </w:divBdr>
    </w:div>
    <w:div w:id="1168904104">
      <w:bodyDiv w:val="1"/>
      <w:marLeft w:val="0"/>
      <w:marRight w:val="0"/>
      <w:marTop w:val="0"/>
      <w:marBottom w:val="0"/>
      <w:divBdr>
        <w:top w:val="none" w:sz="0" w:space="0" w:color="auto"/>
        <w:left w:val="none" w:sz="0" w:space="0" w:color="auto"/>
        <w:bottom w:val="none" w:sz="0" w:space="0" w:color="auto"/>
        <w:right w:val="none" w:sz="0" w:space="0" w:color="auto"/>
      </w:divBdr>
    </w:div>
    <w:div w:id="1180312524">
      <w:bodyDiv w:val="1"/>
      <w:marLeft w:val="0"/>
      <w:marRight w:val="0"/>
      <w:marTop w:val="0"/>
      <w:marBottom w:val="0"/>
      <w:divBdr>
        <w:top w:val="none" w:sz="0" w:space="0" w:color="auto"/>
        <w:left w:val="none" w:sz="0" w:space="0" w:color="auto"/>
        <w:bottom w:val="none" w:sz="0" w:space="0" w:color="auto"/>
        <w:right w:val="none" w:sz="0" w:space="0" w:color="auto"/>
      </w:divBdr>
    </w:div>
    <w:div w:id="1187449685">
      <w:bodyDiv w:val="1"/>
      <w:marLeft w:val="0"/>
      <w:marRight w:val="0"/>
      <w:marTop w:val="0"/>
      <w:marBottom w:val="0"/>
      <w:divBdr>
        <w:top w:val="none" w:sz="0" w:space="0" w:color="auto"/>
        <w:left w:val="none" w:sz="0" w:space="0" w:color="auto"/>
        <w:bottom w:val="none" w:sz="0" w:space="0" w:color="auto"/>
        <w:right w:val="none" w:sz="0" w:space="0" w:color="auto"/>
      </w:divBdr>
    </w:div>
    <w:div w:id="1189683904">
      <w:bodyDiv w:val="1"/>
      <w:marLeft w:val="0"/>
      <w:marRight w:val="0"/>
      <w:marTop w:val="0"/>
      <w:marBottom w:val="0"/>
      <w:divBdr>
        <w:top w:val="none" w:sz="0" w:space="0" w:color="auto"/>
        <w:left w:val="none" w:sz="0" w:space="0" w:color="auto"/>
        <w:bottom w:val="none" w:sz="0" w:space="0" w:color="auto"/>
        <w:right w:val="none" w:sz="0" w:space="0" w:color="auto"/>
      </w:divBdr>
    </w:div>
    <w:div w:id="1196652137">
      <w:bodyDiv w:val="1"/>
      <w:marLeft w:val="0"/>
      <w:marRight w:val="0"/>
      <w:marTop w:val="0"/>
      <w:marBottom w:val="0"/>
      <w:divBdr>
        <w:top w:val="none" w:sz="0" w:space="0" w:color="auto"/>
        <w:left w:val="none" w:sz="0" w:space="0" w:color="auto"/>
        <w:bottom w:val="none" w:sz="0" w:space="0" w:color="auto"/>
        <w:right w:val="none" w:sz="0" w:space="0" w:color="auto"/>
      </w:divBdr>
    </w:div>
    <w:div w:id="1197700052">
      <w:bodyDiv w:val="1"/>
      <w:marLeft w:val="0"/>
      <w:marRight w:val="0"/>
      <w:marTop w:val="0"/>
      <w:marBottom w:val="0"/>
      <w:divBdr>
        <w:top w:val="none" w:sz="0" w:space="0" w:color="auto"/>
        <w:left w:val="none" w:sz="0" w:space="0" w:color="auto"/>
        <w:bottom w:val="none" w:sz="0" w:space="0" w:color="auto"/>
        <w:right w:val="none" w:sz="0" w:space="0" w:color="auto"/>
      </w:divBdr>
    </w:div>
    <w:div w:id="1199315761">
      <w:bodyDiv w:val="1"/>
      <w:marLeft w:val="0"/>
      <w:marRight w:val="0"/>
      <w:marTop w:val="0"/>
      <w:marBottom w:val="0"/>
      <w:divBdr>
        <w:top w:val="none" w:sz="0" w:space="0" w:color="auto"/>
        <w:left w:val="none" w:sz="0" w:space="0" w:color="auto"/>
        <w:bottom w:val="none" w:sz="0" w:space="0" w:color="auto"/>
        <w:right w:val="none" w:sz="0" w:space="0" w:color="auto"/>
      </w:divBdr>
    </w:div>
    <w:div w:id="1199926442">
      <w:bodyDiv w:val="1"/>
      <w:marLeft w:val="0"/>
      <w:marRight w:val="0"/>
      <w:marTop w:val="0"/>
      <w:marBottom w:val="0"/>
      <w:divBdr>
        <w:top w:val="none" w:sz="0" w:space="0" w:color="auto"/>
        <w:left w:val="none" w:sz="0" w:space="0" w:color="auto"/>
        <w:bottom w:val="none" w:sz="0" w:space="0" w:color="auto"/>
        <w:right w:val="none" w:sz="0" w:space="0" w:color="auto"/>
      </w:divBdr>
    </w:div>
    <w:div w:id="1201238928">
      <w:bodyDiv w:val="1"/>
      <w:marLeft w:val="0"/>
      <w:marRight w:val="0"/>
      <w:marTop w:val="0"/>
      <w:marBottom w:val="0"/>
      <w:divBdr>
        <w:top w:val="none" w:sz="0" w:space="0" w:color="auto"/>
        <w:left w:val="none" w:sz="0" w:space="0" w:color="auto"/>
        <w:bottom w:val="none" w:sz="0" w:space="0" w:color="auto"/>
        <w:right w:val="none" w:sz="0" w:space="0" w:color="auto"/>
      </w:divBdr>
    </w:div>
    <w:div w:id="1207990554">
      <w:bodyDiv w:val="1"/>
      <w:marLeft w:val="0"/>
      <w:marRight w:val="0"/>
      <w:marTop w:val="0"/>
      <w:marBottom w:val="0"/>
      <w:divBdr>
        <w:top w:val="none" w:sz="0" w:space="0" w:color="auto"/>
        <w:left w:val="none" w:sz="0" w:space="0" w:color="auto"/>
        <w:bottom w:val="none" w:sz="0" w:space="0" w:color="auto"/>
        <w:right w:val="none" w:sz="0" w:space="0" w:color="auto"/>
      </w:divBdr>
    </w:div>
    <w:div w:id="1210462089">
      <w:bodyDiv w:val="1"/>
      <w:marLeft w:val="0"/>
      <w:marRight w:val="0"/>
      <w:marTop w:val="0"/>
      <w:marBottom w:val="0"/>
      <w:divBdr>
        <w:top w:val="none" w:sz="0" w:space="0" w:color="auto"/>
        <w:left w:val="none" w:sz="0" w:space="0" w:color="auto"/>
        <w:bottom w:val="none" w:sz="0" w:space="0" w:color="auto"/>
        <w:right w:val="none" w:sz="0" w:space="0" w:color="auto"/>
      </w:divBdr>
    </w:div>
    <w:div w:id="1212694634">
      <w:bodyDiv w:val="1"/>
      <w:marLeft w:val="0"/>
      <w:marRight w:val="0"/>
      <w:marTop w:val="0"/>
      <w:marBottom w:val="0"/>
      <w:divBdr>
        <w:top w:val="none" w:sz="0" w:space="0" w:color="auto"/>
        <w:left w:val="none" w:sz="0" w:space="0" w:color="auto"/>
        <w:bottom w:val="none" w:sz="0" w:space="0" w:color="auto"/>
        <w:right w:val="none" w:sz="0" w:space="0" w:color="auto"/>
      </w:divBdr>
    </w:div>
    <w:div w:id="1214347980">
      <w:bodyDiv w:val="1"/>
      <w:marLeft w:val="0"/>
      <w:marRight w:val="0"/>
      <w:marTop w:val="0"/>
      <w:marBottom w:val="0"/>
      <w:divBdr>
        <w:top w:val="none" w:sz="0" w:space="0" w:color="auto"/>
        <w:left w:val="none" w:sz="0" w:space="0" w:color="auto"/>
        <w:bottom w:val="none" w:sz="0" w:space="0" w:color="auto"/>
        <w:right w:val="none" w:sz="0" w:space="0" w:color="auto"/>
      </w:divBdr>
    </w:div>
    <w:div w:id="1228496294">
      <w:bodyDiv w:val="1"/>
      <w:marLeft w:val="0"/>
      <w:marRight w:val="0"/>
      <w:marTop w:val="0"/>
      <w:marBottom w:val="0"/>
      <w:divBdr>
        <w:top w:val="none" w:sz="0" w:space="0" w:color="auto"/>
        <w:left w:val="none" w:sz="0" w:space="0" w:color="auto"/>
        <w:bottom w:val="none" w:sz="0" w:space="0" w:color="auto"/>
        <w:right w:val="none" w:sz="0" w:space="0" w:color="auto"/>
      </w:divBdr>
    </w:div>
    <w:div w:id="1230650253">
      <w:bodyDiv w:val="1"/>
      <w:marLeft w:val="0"/>
      <w:marRight w:val="0"/>
      <w:marTop w:val="0"/>
      <w:marBottom w:val="0"/>
      <w:divBdr>
        <w:top w:val="none" w:sz="0" w:space="0" w:color="auto"/>
        <w:left w:val="none" w:sz="0" w:space="0" w:color="auto"/>
        <w:bottom w:val="none" w:sz="0" w:space="0" w:color="auto"/>
        <w:right w:val="none" w:sz="0" w:space="0" w:color="auto"/>
      </w:divBdr>
    </w:div>
    <w:div w:id="1236823124">
      <w:bodyDiv w:val="1"/>
      <w:marLeft w:val="0"/>
      <w:marRight w:val="0"/>
      <w:marTop w:val="0"/>
      <w:marBottom w:val="0"/>
      <w:divBdr>
        <w:top w:val="none" w:sz="0" w:space="0" w:color="auto"/>
        <w:left w:val="none" w:sz="0" w:space="0" w:color="auto"/>
        <w:bottom w:val="none" w:sz="0" w:space="0" w:color="auto"/>
        <w:right w:val="none" w:sz="0" w:space="0" w:color="auto"/>
      </w:divBdr>
    </w:div>
    <w:div w:id="1238325499">
      <w:bodyDiv w:val="1"/>
      <w:marLeft w:val="0"/>
      <w:marRight w:val="0"/>
      <w:marTop w:val="0"/>
      <w:marBottom w:val="0"/>
      <w:divBdr>
        <w:top w:val="none" w:sz="0" w:space="0" w:color="auto"/>
        <w:left w:val="none" w:sz="0" w:space="0" w:color="auto"/>
        <w:bottom w:val="none" w:sz="0" w:space="0" w:color="auto"/>
        <w:right w:val="none" w:sz="0" w:space="0" w:color="auto"/>
      </w:divBdr>
    </w:div>
    <w:div w:id="1239052477">
      <w:bodyDiv w:val="1"/>
      <w:marLeft w:val="0"/>
      <w:marRight w:val="0"/>
      <w:marTop w:val="0"/>
      <w:marBottom w:val="0"/>
      <w:divBdr>
        <w:top w:val="none" w:sz="0" w:space="0" w:color="auto"/>
        <w:left w:val="none" w:sz="0" w:space="0" w:color="auto"/>
        <w:bottom w:val="none" w:sz="0" w:space="0" w:color="auto"/>
        <w:right w:val="none" w:sz="0" w:space="0" w:color="auto"/>
      </w:divBdr>
    </w:div>
    <w:div w:id="1240628361">
      <w:bodyDiv w:val="1"/>
      <w:marLeft w:val="0"/>
      <w:marRight w:val="0"/>
      <w:marTop w:val="0"/>
      <w:marBottom w:val="0"/>
      <w:divBdr>
        <w:top w:val="none" w:sz="0" w:space="0" w:color="auto"/>
        <w:left w:val="none" w:sz="0" w:space="0" w:color="auto"/>
        <w:bottom w:val="none" w:sz="0" w:space="0" w:color="auto"/>
        <w:right w:val="none" w:sz="0" w:space="0" w:color="auto"/>
      </w:divBdr>
    </w:div>
    <w:div w:id="1242253580">
      <w:bodyDiv w:val="1"/>
      <w:marLeft w:val="0"/>
      <w:marRight w:val="0"/>
      <w:marTop w:val="0"/>
      <w:marBottom w:val="0"/>
      <w:divBdr>
        <w:top w:val="none" w:sz="0" w:space="0" w:color="auto"/>
        <w:left w:val="none" w:sz="0" w:space="0" w:color="auto"/>
        <w:bottom w:val="none" w:sz="0" w:space="0" w:color="auto"/>
        <w:right w:val="none" w:sz="0" w:space="0" w:color="auto"/>
      </w:divBdr>
    </w:div>
    <w:div w:id="1249467253">
      <w:bodyDiv w:val="1"/>
      <w:marLeft w:val="0"/>
      <w:marRight w:val="0"/>
      <w:marTop w:val="0"/>
      <w:marBottom w:val="0"/>
      <w:divBdr>
        <w:top w:val="none" w:sz="0" w:space="0" w:color="auto"/>
        <w:left w:val="none" w:sz="0" w:space="0" w:color="auto"/>
        <w:bottom w:val="none" w:sz="0" w:space="0" w:color="auto"/>
        <w:right w:val="none" w:sz="0" w:space="0" w:color="auto"/>
      </w:divBdr>
    </w:div>
    <w:div w:id="1252276274">
      <w:bodyDiv w:val="1"/>
      <w:marLeft w:val="0"/>
      <w:marRight w:val="0"/>
      <w:marTop w:val="0"/>
      <w:marBottom w:val="0"/>
      <w:divBdr>
        <w:top w:val="none" w:sz="0" w:space="0" w:color="auto"/>
        <w:left w:val="none" w:sz="0" w:space="0" w:color="auto"/>
        <w:bottom w:val="none" w:sz="0" w:space="0" w:color="auto"/>
        <w:right w:val="none" w:sz="0" w:space="0" w:color="auto"/>
      </w:divBdr>
    </w:div>
    <w:div w:id="1315331345">
      <w:bodyDiv w:val="1"/>
      <w:marLeft w:val="0"/>
      <w:marRight w:val="0"/>
      <w:marTop w:val="0"/>
      <w:marBottom w:val="0"/>
      <w:divBdr>
        <w:top w:val="none" w:sz="0" w:space="0" w:color="auto"/>
        <w:left w:val="none" w:sz="0" w:space="0" w:color="auto"/>
        <w:bottom w:val="none" w:sz="0" w:space="0" w:color="auto"/>
        <w:right w:val="none" w:sz="0" w:space="0" w:color="auto"/>
      </w:divBdr>
    </w:div>
    <w:div w:id="1316031218">
      <w:bodyDiv w:val="1"/>
      <w:marLeft w:val="0"/>
      <w:marRight w:val="0"/>
      <w:marTop w:val="0"/>
      <w:marBottom w:val="0"/>
      <w:divBdr>
        <w:top w:val="none" w:sz="0" w:space="0" w:color="auto"/>
        <w:left w:val="none" w:sz="0" w:space="0" w:color="auto"/>
        <w:bottom w:val="none" w:sz="0" w:space="0" w:color="auto"/>
        <w:right w:val="none" w:sz="0" w:space="0" w:color="auto"/>
      </w:divBdr>
    </w:div>
    <w:div w:id="1342930434">
      <w:bodyDiv w:val="1"/>
      <w:marLeft w:val="0"/>
      <w:marRight w:val="0"/>
      <w:marTop w:val="0"/>
      <w:marBottom w:val="0"/>
      <w:divBdr>
        <w:top w:val="none" w:sz="0" w:space="0" w:color="auto"/>
        <w:left w:val="none" w:sz="0" w:space="0" w:color="auto"/>
        <w:bottom w:val="none" w:sz="0" w:space="0" w:color="auto"/>
        <w:right w:val="none" w:sz="0" w:space="0" w:color="auto"/>
      </w:divBdr>
    </w:div>
    <w:div w:id="1368137274">
      <w:bodyDiv w:val="1"/>
      <w:marLeft w:val="0"/>
      <w:marRight w:val="0"/>
      <w:marTop w:val="0"/>
      <w:marBottom w:val="0"/>
      <w:divBdr>
        <w:top w:val="none" w:sz="0" w:space="0" w:color="auto"/>
        <w:left w:val="none" w:sz="0" w:space="0" w:color="auto"/>
        <w:bottom w:val="none" w:sz="0" w:space="0" w:color="auto"/>
        <w:right w:val="none" w:sz="0" w:space="0" w:color="auto"/>
      </w:divBdr>
    </w:div>
    <w:div w:id="1368919293">
      <w:bodyDiv w:val="1"/>
      <w:marLeft w:val="0"/>
      <w:marRight w:val="0"/>
      <w:marTop w:val="0"/>
      <w:marBottom w:val="0"/>
      <w:divBdr>
        <w:top w:val="none" w:sz="0" w:space="0" w:color="auto"/>
        <w:left w:val="none" w:sz="0" w:space="0" w:color="auto"/>
        <w:bottom w:val="none" w:sz="0" w:space="0" w:color="auto"/>
        <w:right w:val="none" w:sz="0" w:space="0" w:color="auto"/>
      </w:divBdr>
    </w:div>
    <w:div w:id="1384013709">
      <w:bodyDiv w:val="1"/>
      <w:marLeft w:val="0"/>
      <w:marRight w:val="0"/>
      <w:marTop w:val="0"/>
      <w:marBottom w:val="0"/>
      <w:divBdr>
        <w:top w:val="none" w:sz="0" w:space="0" w:color="auto"/>
        <w:left w:val="none" w:sz="0" w:space="0" w:color="auto"/>
        <w:bottom w:val="none" w:sz="0" w:space="0" w:color="auto"/>
        <w:right w:val="none" w:sz="0" w:space="0" w:color="auto"/>
      </w:divBdr>
    </w:div>
    <w:div w:id="1401515749">
      <w:bodyDiv w:val="1"/>
      <w:marLeft w:val="0"/>
      <w:marRight w:val="0"/>
      <w:marTop w:val="0"/>
      <w:marBottom w:val="0"/>
      <w:divBdr>
        <w:top w:val="none" w:sz="0" w:space="0" w:color="auto"/>
        <w:left w:val="none" w:sz="0" w:space="0" w:color="auto"/>
        <w:bottom w:val="none" w:sz="0" w:space="0" w:color="auto"/>
        <w:right w:val="none" w:sz="0" w:space="0" w:color="auto"/>
      </w:divBdr>
    </w:div>
    <w:div w:id="1405026901">
      <w:bodyDiv w:val="1"/>
      <w:marLeft w:val="0"/>
      <w:marRight w:val="0"/>
      <w:marTop w:val="0"/>
      <w:marBottom w:val="0"/>
      <w:divBdr>
        <w:top w:val="none" w:sz="0" w:space="0" w:color="auto"/>
        <w:left w:val="none" w:sz="0" w:space="0" w:color="auto"/>
        <w:bottom w:val="none" w:sz="0" w:space="0" w:color="auto"/>
        <w:right w:val="none" w:sz="0" w:space="0" w:color="auto"/>
      </w:divBdr>
    </w:div>
    <w:div w:id="1421491452">
      <w:bodyDiv w:val="1"/>
      <w:marLeft w:val="0"/>
      <w:marRight w:val="0"/>
      <w:marTop w:val="0"/>
      <w:marBottom w:val="0"/>
      <w:divBdr>
        <w:top w:val="none" w:sz="0" w:space="0" w:color="auto"/>
        <w:left w:val="none" w:sz="0" w:space="0" w:color="auto"/>
        <w:bottom w:val="none" w:sz="0" w:space="0" w:color="auto"/>
        <w:right w:val="none" w:sz="0" w:space="0" w:color="auto"/>
      </w:divBdr>
    </w:div>
    <w:div w:id="1450734948">
      <w:bodyDiv w:val="1"/>
      <w:marLeft w:val="0"/>
      <w:marRight w:val="0"/>
      <w:marTop w:val="0"/>
      <w:marBottom w:val="0"/>
      <w:divBdr>
        <w:top w:val="none" w:sz="0" w:space="0" w:color="auto"/>
        <w:left w:val="none" w:sz="0" w:space="0" w:color="auto"/>
        <w:bottom w:val="none" w:sz="0" w:space="0" w:color="auto"/>
        <w:right w:val="none" w:sz="0" w:space="0" w:color="auto"/>
      </w:divBdr>
    </w:div>
    <w:div w:id="1460419458">
      <w:bodyDiv w:val="1"/>
      <w:marLeft w:val="0"/>
      <w:marRight w:val="0"/>
      <w:marTop w:val="0"/>
      <w:marBottom w:val="0"/>
      <w:divBdr>
        <w:top w:val="none" w:sz="0" w:space="0" w:color="auto"/>
        <w:left w:val="none" w:sz="0" w:space="0" w:color="auto"/>
        <w:bottom w:val="none" w:sz="0" w:space="0" w:color="auto"/>
        <w:right w:val="none" w:sz="0" w:space="0" w:color="auto"/>
      </w:divBdr>
    </w:div>
    <w:div w:id="1466580848">
      <w:bodyDiv w:val="1"/>
      <w:marLeft w:val="0"/>
      <w:marRight w:val="0"/>
      <w:marTop w:val="0"/>
      <w:marBottom w:val="0"/>
      <w:divBdr>
        <w:top w:val="none" w:sz="0" w:space="0" w:color="auto"/>
        <w:left w:val="none" w:sz="0" w:space="0" w:color="auto"/>
        <w:bottom w:val="none" w:sz="0" w:space="0" w:color="auto"/>
        <w:right w:val="none" w:sz="0" w:space="0" w:color="auto"/>
      </w:divBdr>
    </w:div>
    <w:div w:id="1475367352">
      <w:bodyDiv w:val="1"/>
      <w:marLeft w:val="0"/>
      <w:marRight w:val="0"/>
      <w:marTop w:val="0"/>
      <w:marBottom w:val="0"/>
      <w:divBdr>
        <w:top w:val="none" w:sz="0" w:space="0" w:color="auto"/>
        <w:left w:val="none" w:sz="0" w:space="0" w:color="auto"/>
        <w:bottom w:val="none" w:sz="0" w:space="0" w:color="auto"/>
        <w:right w:val="none" w:sz="0" w:space="0" w:color="auto"/>
      </w:divBdr>
    </w:div>
    <w:div w:id="1488010990">
      <w:bodyDiv w:val="1"/>
      <w:marLeft w:val="0"/>
      <w:marRight w:val="0"/>
      <w:marTop w:val="0"/>
      <w:marBottom w:val="0"/>
      <w:divBdr>
        <w:top w:val="none" w:sz="0" w:space="0" w:color="auto"/>
        <w:left w:val="none" w:sz="0" w:space="0" w:color="auto"/>
        <w:bottom w:val="none" w:sz="0" w:space="0" w:color="auto"/>
        <w:right w:val="none" w:sz="0" w:space="0" w:color="auto"/>
      </w:divBdr>
    </w:div>
    <w:div w:id="1499298486">
      <w:bodyDiv w:val="1"/>
      <w:marLeft w:val="0"/>
      <w:marRight w:val="0"/>
      <w:marTop w:val="0"/>
      <w:marBottom w:val="0"/>
      <w:divBdr>
        <w:top w:val="none" w:sz="0" w:space="0" w:color="auto"/>
        <w:left w:val="none" w:sz="0" w:space="0" w:color="auto"/>
        <w:bottom w:val="none" w:sz="0" w:space="0" w:color="auto"/>
        <w:right w:val="none" w:sz="0" w:space="0" w:color="auto"/>
      </w:divBdr>
    </w:div>
    <w:div w:id="1504005986">
      <w:bodyDiv w:val="1"/>
      <w:marLeft w:val="0"/>
      <w:marRight w:val="0"/>
      <w:marTop w:val="0"/>
      <w:marBottom w:val="0"/>
      <w:divBdr>
        <w:top w:val="none" w:sz="0" w:space="0" w:color="auto"/>
        <w:left w:val="none" w:sz="0" w:space="0" w:color="auto"/>
        <w:bottom w:val="none" w:sz="0" w:space="0" w:color="auto"/>
        <w:right w:val="none" w:sz="0" w:space="0" w:color="auto"/>
      </w:divBdr>
    </w:div>
    <w:div w:id="1520702968">
      <w:bodyDiv w:val="1"/>
      <w:marLeft w:val="0"/>
      <w:marRight w:val="0"/>
      <w:marTop w:val="0"/>
      <w:marBottom w:val="0"/>
      <w:divBdr>
        <w:top w:val="none" w:sz="0" w:space="0" w:color="auto"/>
        <w:left w:val="none" w:sz="0" w:space="0" w:color="auto"/>
        <w:bottom w:val="none" w:sz="0" w:space="0" w:color="auto"/>
        <w:right w:val="none" w:sz="0" w:space="0" w:color="auto"/>
      </w:divBdr>
    </w:div>
    <w:div w:id="1527792725">
      <w:bodyDiv w:val="1"/>
      <w:marLeft w:val="0"/>
      <w:marRight w:val="0"/>
      <w:marTop w:val="0"/>
      <w:marBottom w:val="0"/>
      <w:divBdr>
        <w:top w:val="none" w:sz="0" w:space="0" w:color="auto"/>
        <w:left w:val="none" w:sz="0" w:space="0" w:color="auto"/>
        <w:bottom w:val="none" w:sz="0" w:space="0" w:color="auto"/>
        <w:right w:val="none" w:sz="0" w:space="0" w:color="auto"/>
      </w:divBdr>
    </w:div>
    <w:div w:id="1531920440">
      <w:bodyDiv w:val="1"/>
      <w:marLeft w:val="0"/>
      <w:marRight w:val="0"/>
      <w:marTop w:val="0"/>
      <w:marBottom w:val="0"/>
      <w:divBdr>
        <w:top w:val="none" w:sz="0" w:space="0" w:color="auto"/>
        <w:left w:val="none" w:sz="0" w:space="0" w:color="auto"/>
        <w:bottom w:val="none" w:sz="0" w:space="0" w:color="auto"/>
        <w:right w:val="none" w:sz="0" w:space="0" w:color="auto"/>
      </w:divBdr>
    </w:div>
    <w:div w:id="1540046701">
      <w:bodyDiv w:val="1"/>
      <w:marLeft w:val="0"/>
      <w:marRight w:val="0"/>
      <w:marTop w:val="0"/>
      <w:marBottom w:val="0"/>
      <w:divBdr>
        <w:top w:val="none" w:sz="0" w:space="0" w:color="auto"/>
        <w:left w:val="none" w:sz="0" w:space="0" w:color="auto"/>
        <w:bottom w:val="none" w:sz="0" w:space="0" w:color="auto"/>
        <w:right w:val="none" w:sz="0" w:space="0" w:color="auto"/>
      </w:divBdr>
    </w:div>
    <w:div w:id="1546335120">
      <w:bodyDiv w:val="1"/>
      <w:marLeft w:val="0"/>
      <w:marRight w:val="0"/>
      <w:marTop w:val="0"/>
      <w:marBottom w:val="0"/>
      <w:divBdr>
        <w:top w:val="none" w:sz="0" w:space="0" w:color="auto"/>
        <w:left w:val="none" w:sz="0" w:space="0" w:color="auto"/>
        <w:bottom w:val="none" w:sz="0" w:space="0" w:color="auto"/>
        <w:right w:val="none" w:sz="0" w:space="0" w:color="auto"/>
      </w:divBdr>
    </w:div>
    <w:div w:id="1556576379">
      <w:bodyDiv w:val="1"/>
      <w:marLeft w:val="0"/>
      <w:marRight w:val="0"/>
      <w:marTop w:val="0"/>
      <w:marBottom w:val="0"/>
      <w:divBdr>
        <w:top w:val="none" w:sz="0" w:space="0" w:color="auto"/>
        <w:left w:val="none" w:sz="0" w:space="0" w:color="auto"/>
        <w:bottom w:val="none" w:sz="0" w:space="0" w:color="auto"/>
        <w:right w:val="none" w:sz="0" w:space="0" w:color="auto"/>
      </w:divBdr>
    </w:div>
    <w:div w:id="1567960761">
      <w:bodyDiv w:val="1"/>
      <w:marLeft w:val="0"/>
      <w:marRight w:val="0"/>
      <w:marTop w:val="0"/>
      <w:marBottom w:val="0"/>
      <w:divBdr>
        <w:top w:val="none" w:sz="0" w:space="0" w:color="auto"/>
        <w:left w:val="none" w:sz="0" w:space="0" w:color="auto"/>
        <w:bottom w:val="none" w:sz="0" w:space="0" w:color="auto"/>
        <w:right w:val="none" w:sz="0" w:space="0" w:color="auto"/>
      </w:divBdr>
    </w:div>
    <w:div w:id="1575510360">
      <w:bodyDiv w:val="1"/>
      <w:marLeft w:val="0"/>
      <w:marRight w:val="0"/>
      <w:marTop w:val="0"/>
      <w:marBottom w:val="0"/>
      <w:divBdr>
        <w:top w:val="none" w:sz="0" w:space="0" w:color="auto"/>
        <w:left w:val="none" w:sz="0" w:space="0" w:color="auto"/>
        <w:bottom w:val="none" w:sz="0" w:space="0" w:color="auto"/>
        <w:right w:val="none" w:sz="0" w:space="0" w:color="auto"/>
      </w:divBdr>
    </w:div>
    <w:div w:id="1587495099">
      <w:bodyDiv w:val="1"/>
      <w:marLeft w:val="0"/>
      <w:marRight w:val="0"/>
      <w:marTop w:val="0"/>
      <w:marBottom w:val="0"/>
      <w:divBdr>
        <w:top w:val="none" w:sz="0" w:space="0" w:color="auto"/>
        <w:left w:val="none" w:sz="0" w:space="0" w:color="auto"/>
        <w:bottom w:val="none" w:sz="0" w:space="0" w:color="auto"/>
        <w:right w:val="none" w:sz="0" w:space="0" w:color="auto"/>
      </w:divBdr>
    </w:div>
    <w:div w:id="1592228957">
      <w:bodyDiv w:val="1"/>
      <w:marLeft w:val="0"/>
      <w:marRight w:val="0"/>
      <w:marTop w:val="0"/>
      <w:marBottom w:val="0"/>
      <w:divBdr>
        <w:top w:val="none" w:sz="0" w:space="0" w:color="auto"/>
        <w:left w:val="none" w:sz="0" w:space="0" w:color="auto"/>
        <w:bottom w:val="none" w:sz="0" w:space="0" w:color="auto"/>
        <w:right w:val="none" w:sz="0" w:space="0" w:color="auto"/>
      </w:divBdr>
    </w:div>
    <w:div w:id="1604068914">
      <w:bodyDiv w:val="1"/>
      <w:marLeft w:val="0"/>
      <w:marRight w:val="0"/>
      <w:marTop w:val="0"/>
      <w:marBottom w:val="0"/>
      <w:divBdr>
        <w:top w:val="none" w:sz="0" w:space="0" w:color="auto"/>
        <w:left w:val="none" w:sz="0" w:space="0" w:color="auto"/>
        <w:bottom w:val="none" w:sz="0" w:space="0" w:color="auto"/>
        <w:right w:val="none" w:sz="0" w:space="0" w:color="auto"/>
      </w:divBdr>
    </w:div>
    <w:div w:id="1607344039">
      <w:bodyDiv w:val="1"/>
      <w:marLeft w:val="0"/>
      <w:marRight w:val="0"/>
      <w:marTop w:val="0"/>
      <w:marBottom w:val="0"/>
      <w:divBdr>
        <w:top w:val="none" w:sz="0" w:space="0" w:color="auto"/>
        <w:left w:val="none" w:sz="0" w:space="0" w:color="auto"/>
        <w:bottom w:val="none" w:sz="0" w:space="0" w:color="auto"/>
        <w:right w:val="none" w:sz="0" w:space="0" w:color="auto"/>
      </w:divBdr>
    </w:div>
    <w:div w:id="1610552514">
      <w:bodyDiv w:val="1"/>
      <w:marLeft w:val="0"/>
      <w:marRight w:val="0"/>
      <w:marTop w:val="0"/>
      <w:marBottom w:val="0"/>
      <w:divBdr>
        <w:top w:val="none" w:sz="0" w:space="0" w:color="auto"/>
        <w:left w:val="none" w:sz="0" w:space="0" w:color="auto"/>
        <w:bottom w:val="none" w:sz="0" w:space="0" w:color="auto"/>
        <w:right w:val="none" w:sz="0" w:space="0" w:color="auto"/>
      </w:divBdr>
    </w:div>
    <w:div w:id="1674720148">
      <w:bodyDiv w:val="1"/>
      <w:marLeft w:val="0"/>
      <w:marRight w:val="0"/>
      <w:marTop w:val="0"/>
      <w:marBottom w:val="0"/>
      <w:divBdr>
        <w:top w:val="none" w:sz="0" w:space="0" w:color="auto"/>
        <w:left w:val="none" w:sz="0" w:space="0" w:color="auto"/>
        <w:bottom w:val="none" w:sz="0" w:space="0" w:color="auto"/>
        <w:right w:val="none" w:sz="0" w:space="0" w:color="auto"/>
      </w:divBdr>
    </w:div>
    <w:div w:id="1677688569">
      <w:bodyDiv w:val="1"/>
      <w:marLeft w:val="0"/>
      <w:marRight w:val="0"/>
      <w:marTop w:val="0"/>
      <w:marBottom w:val="0"/>
      <w:divBdr>
        <w:top w:val="none" w:sz="0" w:space="0" w:color="auto"/>
        <w:left w:val="none" w:sz="0" w:space="0" w:color="auto"/>
        <w:bottom w:val="none" w:sz="0" w:space="0" w:color="auto"/>
        <w:right w:val="none" w:sz="0" w:space="0" w:color="auto"/>
      </w:divBdr>
    </w:div>
    <w:div w:id="1679697860">
      <w:bodyDiv w:val="1"/>
      <w:marLeft w:val="0"/>
      <w:marRight w:val="0"/>
      <w:marTop w:val="0"/>
      <w:marBottom w:val="0"/>
      <w:divBdr>
        <w:top w:val="none" w:sz="0" w:space="0" w:color="auto"/>
        <w:left w:val="none" w:sz="0" w:space="0" w:color="auto"/>
        <w:bottom w:val="none" w:sz="0" w:space="0" w:color="auto"/>
        <w:right w:val="none" w:sz="0" w:space="0" w:color="auto"/>
      </w:divBdr>
    </w:div>
    <w:div w:id="1684939596">
      <w:bodyDiv w:val="1"/>
      <w:marLeft w:val="0"/>
      <w:marRight w:val="0"/>
      <w:marTop w:val="0"/>
      <w:marBottom w:val="0"/>
      <w:divBdr>
        <w:top w:val="none" w:sz="0" w:space="0" w:color="auto"/>
        <w:left w:val="none" w:sz="0" w:space="0" w:color="auto"/>
        <w:bottom w:val="none" w:sz="0" w:space="0" w:color="auto"/>
        <w:right w:val="none" w:sz="0" w:space="0" w:color="auto"/>
      </w:divBdr>
    </w:div>
    <w:div w:id="1685323798">
      <w:bodyDiv w:val="1"/>
      <w:marLeft w:val="0"/>
      <w:marRight w:val="0"/>
      <w:marTop w:val="0"/>
      <w:marBottom w:val="0"/>
      <w:divBdr>
        <w:top w:val="none" w:sz="0" w:space="0" w:color="auto"/>
        <w:left w:val="none" w:sz="0" w:space="0" w:color="auto"/>
        <w:bottom w:val="none" w:sz="0" w:space="0" w:color="auto"/>
        <w:right w:val="none" w:sz="0" w:space="0" w:color="auto"/>
      </w:divBdr>
    </w:div>
    <w:div w:id="1691450066">
      <w:bodyDiv w:val="1"/>
      <w:marLeft w:val="0"/>
      <w:marRight w:val="0"/>
      <w:marTop w:val="0"/>
      <w:marBottom w:val="0"/>
      <w:divBdr>
        <w:top w:val="none" w:sz="0" w:space="0" w:color="auto"/>
        <w:left w:val="none" w:sz="0" w:space="0" w:color="auto"/>
        <w:bottom w:val="none" w:sz="0" w:space="0" w:color="auto"/>
        <w:right w:val="none" w:sz="0" w:space="0" w:color="auto"/>
      </w:divBdr>
    </w:div>
    <w:div w:id="1691833771">
      <w:bodyDiv w:val="1"/>
      <w:marLeft w:val="0"/>
      <w:marRight w:val="0"/>
      <w:marTop w:val="0"/>
      <w:marBottom w:val="0"/>
      <w:divBdr>
        <w:top w:val="none" w:sz="0" w:space="0" w:color="auto"/>
        <w:left w:val="none" w:sz="0" w:space="0" w:color="auto"/>
        <w:bottom w:val="none" w:sz="0" w:space="0" w:color="auto"/>
        <w:right w:val="none" w:sz="0" w:space="0" w:color="auto"/>
      </w:divBdr>
    </w:div>
    <w:div w:id="1693148414">
      <w:bodyDiv w:val="1"/>
      <w:marLeft w:val="0"/>
      <w:marRight w:val="0"/>
      <w:marTop w:val="0"/>
      <w:marBottom w:val="0"/>
      <w:divBdr>
        <w:top w:val="none" w:sz="0" w:space="0" w:color="auto"/>
        <w:left w:val="none" w:sz="0" w:space="0" w:color="auto"/>
        <w:bottom w:val="none" w:sz="0" w:space="0" w:color="auto"/>
        <w:right w:val="none" w:sz="0" w:space="0" w:color="auto"/>
      </w:divBdr>
    </w:div>
    <w:div w:id="1701590097">
      <w:bodyDiv w:val="1"/>
      <w:marLeft w:val="0"/>
      <w:marRight w:val="0"/>
      <w:marTop w:val="0"/>
      <w:marBottom w:val="0"/>
      <w:divBdr>
        <w:top w:val="none" w:sz="0" w:space="0" w:color="auto"/>
        <w:left w:val="none" w:sz="0" w:space="0" w:color="auto"/>
        <w:bottom w:val="none" w:sz="0" w:space="0" w:color="auto"/>
        <w:right w:val="none" w:sz="0" w:space="0" w:color="auto"/>
      </w:divBdr>
    </w:div>
    <w:div w:id="1705594278">
      <w:bodyDiv w:val="1"/>
      <w:marLeft w:val="0"/>
      <w:marRight w:val="0"/>
      <w:marTop w:val="0"/>
      <w:marBottom w:val="0"/>
      <w:divBdr>
        <w:top w:val="none" w:sz="0" w:space="0" w:color="auto"/>
        <w:left w:val="none" w:sz="0" w:space="0" w:color="auto"/>
        <w:bottom w:val="none" w:sz="0" w:space="0" w:color="auto"/>
        <w:right w:val="none" w:sz="0" w:space="0" w:color="auto"/>
      </w:divBdr>
    </w:div>
    <w:div w:id="1706364636">
      <w:bodyDiv w:val="1"/>
      <w:marLeft w:val="0"/>
      <w:marRight w:val="0"/>
      <w:marTop w:val="0"/>
      <w:marBottom w:val="0"/>
      <w:divBdr>
        <w:top w:val="none" w:sz="0" w:space="0" w:color="auto"/>
        <w:left w:val="none" w:sz="0" w:space="0" w:color="auto"/>
        <w:bottom w:val="none" w:sz="0" w:space="0" w:color="auto"/>
        <w:right w:val="none" w:sz="0" w:space="0" w:color="auto"/>
      </w:divBdr>
    </w:div>
    <w:div w:id="1706909979">
      <w:bodyDiv w:val="1"/>
      <w:marLeft w:val="0"/>
      <w:marRight w:val="0"/>
      <w:marTop w:val="0"/>
      <w:marBottom w:val="0"/>
      <w:divBdr>
        <w:top w:val="none" w:sz="0" w:space="0" w:color="auto"/>
        <w:left w:val="none" w:sz="0" w:space="0" w:color="auto"/>
        <w:bottom w:val="none" w:sz="0" w:space="0" w:color="auto"/>
        <w:right w:val="none" w:sz="0" w:space="0" w:color="auto"/>
      </w:divBdr>
    </w:div>
    <w:div w:id="1708869218">
      <w:bodyDiv w:val="1"/>
      <w:marLeft w:val="0"/>
      <w:marRight w:val="0"/>
      <w:marTop w:val="0"/>
      <w:marBottom w:val="0"/>
      <w:divBdr>
        <w:top w:val="none" w:sz="0" w:space="0" w:color="auto"/>
        <w:left w:val="none" w:sz="0" w:space="0" w:color="auto"/>
        <w:bottom w:val="none" w:sz="0" w:space="0" w:color="auto"/>
        <w:right w:val="none" w:sz="0" w:space="0" w:color="auto"/>
      </w:divBdr>
    </w:div>
    <w:div w:id="1718779481">
      <w:bodyDiv w:val="1"/>
      <w:marLeft w:val="0"/>
      <w:marRight w:val="0"/>
      <w:marTop w:val="0"/>
      <w:marBottom w:val="0"/>
      <w:divBdr>
        <w:top w:val="none" w:sz="0" w:space="0" w:color="auto"/>
        <w:left w:val="none" w:sz="0" w:space="0" w:color="auto"/>
        <w:bottom w:val="none" w:sz="0" w:space="0" w:color="auto"/>
        <w:right w:val="none" w:sz="0" w:space="0" w:color="auto"/>
      </w:divBdr>
    </w:div>
    <w:div w:id="1730957897">
      <w:bodyDiv w:val="1"/>
      <w:marLeft w:val="0"/>
      <w:marRight w:val="0"/>
      <w:marTop w:val="0"/>
      <w:marBottom w:val="0"/>
      <w:divBdr>
        <w:top w:val="none" w:sz="0" w:space="0" w:color="auto"/>
        <w:left w:val="none" w:sz="0" w:space="0" w:color="auto"/>
        <w:bottom w:val="none" w:sz="0" w:space="0" w:color="auto"/>
        <w:right w:val="none" w:sz="0" w:space="0" w:color="auto"/>
      </w:divBdr>
    </w:div>
    <w:div w:id="1746418892">
      <w:bodyDiv w:val="1"/>
      <w:marLeft w:val="0"/>
      <w:marRight w:val="0"/>
      <w:marTop w:val="0"/>
      <w:marBottom w:val="0"/>
      <w:divBdr>
        <w:top w:val="none" w:sz="0" w:space="0" w:color="auto"/>
        <w:left w:val="none" w:sz="0" w:space="0" w:color="auto"/>
        <w:bottom w:val="none" w:sz="0" w:space="0" w:color="auto"/>
        <w:right w:val="none" w:sz="0" w:space="0" w:color="auto"/>
      </w:divBdr>
    </w:div>
    <w:div w:id="1750540420">
      <w:bodyDiv w:val="1"/>
      <w:marLeft w:val="0"/>
      <w:marRight w:val="0"/>
      <w:marTop w:val="0"/>
      <w:marBottom w:val="0"/>
      <w:divBdr>
        <w:top w:val="none" w:sz="0" w:space="0" w:color="auto"/>
        <w:left w:val="none" w:sz="0" w:space="0" w:color="auto"/>
        <w:bottom w:val="none" w:sz="0" w:space="0" w:color="auto"/>
        <w:right w:val="none" w:sz="0" w:space="0" w:color="auto"/>
      </w:divBdr>
    </w:div>
    <w:div w:id="1755590404">
      <w:bodyDiv w:val="1"/>
      <w:marLeft w:val="0"/>
      <w:marRight w:val="0"/>
      <w:marTop w:val="0"/>
      <w:marBottom w:val="0"/>
      <w:divBdr>
        <w:top w:val="none" w:sz="0" w:space="0" w:color="auto"/>
        <w:left w:val="none" w:sz="0" w:space="0" w:color="auto"/>
        <w:bottom w:val="none" w:sz="0" w:space="0" w:color="auto"/>
        <w:right w:val="none" w:sz="0" w:space="0" w:color="auto"/>
      </w:divBdr>
    </w:div>
    <w:div w:id="1755665753">
      <w:bodyDiv w:val="1"/>
      <w:marLeft w:val="0"/>
      <w:marRight w:val="0"/>
      <w:marTop w:val="0"/>
      <w:marBottom w:val="0"/>
      <w:divBdr>
        <w:top w:val="none" w:sz="0" w:space="0" w:color="auto"/>
        <w:left w:val="none" w:sz="0" w:space="0" w:color="auto"/>
        <w:bottom w:val="none" w:sz="0" w:space="0" w:color="auto"/>
        <w:right w:val="none" w:sz="0" w:space="0" w:color="auto"/>
      </w:divBdr>
    </w:div>
    <w:div w:id="1758205187">
      <w:bodyDiv w:val="1"/>
      <w:marLeft w:val="0"/>
      <w:marRight w:val="0"/>
      <w:marTop w:val="0"/>
      <w:marBottom w:val="0"/>
      <w:divBdr>
        <w:top w:val="none" w:sz="0" w:space="0" w:color="auto"/>
        <w:left w:val="none" w:sz="0" w:space="0" w:color="auto"/>
        <w:bottom w:val="none" w:sz="0" w:space="0" w:color="auto"/>
        <w:right w:val="none" w:sz="0" w:space="0" w:color="auto"/>
      </w:divBdr>
    </w:div>
    <w:div w:id="1773284482">
      <w:bodyDiv w:val="1"/>
      <w:marLeft w:val="0"/>
      <w:marRight w:val="0"/>
      <w:marTop w:val="0"/>
      <w:marBottom w:val="0"/>
      <w:divBdr>
        <w:top w:val="none" w:sz="0" w:space="0" w:color="auto"/>
        <w:left w:val="none" w:sz="0" w:space="0" w:color="auto"/>
        <w:bottom w:val="none" w:sz="0" w:space="0" w:color="auto"/>
        <w:right w:val="none" w:sz="0" w:space="0" w:color="auto"/>
      </w:divBdr>
    </w:div>
    <w:div w:id="1780904222">
      <w:bodyDiv w:val="1"/>
      <w:marLeft w:val="0"/>
      <w:marRight w:val="0"/>
      <w:marTop w:val="0"/>
      <w:marBottom w:val="0"/>
      <w:divBdr>
        <w:top w:val="none" w:sz="0" w:space="0" w:color="auto"/>
        <w:left w:val="none" w:sz="0" w:space="0" w:color="auto"/>
        <w:bottom w:val="none" w:sz="0" w:space="0" w:color="auto"/>
        <w:right w:val="none" w:sz="0" w:space="0" w:color="auto"/>
      </w:divBdr>
    </w:div>
    <w:div w:id="1812865693">
      <w:bodyDiv w:val="1"/>
      <w:marLeft w:val="0"/>
      <w:marRight w:val="0"/>
      <w:marTop w:val="0"/>
      <w:marBottom w:val="0"/>
      <w:divBdr>
        <w:top w:val="none" w:sz="0" w:space="0" w:color="auto"/>
        <w:left w:val="none" w:sz="0" w:space="0" w:color="auto"/>
        <w:bottom w:val="none" w:sz="0" w:space="0" w:color="auto"/>
        <w:right w:val="none" w:sz="0" w:space="0" w:color="auto"/>
      </w:divBdr>
    </w:div>
    <w:div w:id="1815679126">
      <w:bodyDiv w:val="1"/>
      <w:marLeft w:val="0"/>
      <w:marRight w:val="0"/>
      <w:marTop w:val="0"/>
      <w:marBottom w:val="0"/>
      <w:divBdr>
        <w:top w:val="none" w:sz="0" w:space="0" w:color="auto"/>
        <w:left w:val="none" w:sz="0" w:space="0" w:color="auto"/>
        <w:bottom w:val="none" w:sz="0" w:space="0" w:color="auto"/>
        <w:right w:val="none" w:sz="0" w:space="0" w:color="auto"/>
      </w:divBdr>
    </w:div>
    <w:div w:id="1818720337">
      <w:bodyDiv w:val="1"/>
      <w:marLeft w:val="0"/>
      <w:marRight w:val="0"/>
      <w:marTop w:val="0"/>
      <w:marBottom w:val="0"/>
      <w:divBdr>
        <w:top w:val="none" w:sz="0" w:space="0" w:color="auto"/>
        <w:left w:val="none" w:sz="0" w:space="0" w:color="auto"/>
        <w:bottom w:val="none" w:sz="0" w:space="0" w:color="auto"/>
        <w:right w:val="none" w:sz="0" w:space="0" w:color="auto"/>
      </w:divBdr>
    </w:div>
    <w:div w:id="1820070303">
      <w:bodyDiv w:val="1"/>
      <w:marLeft w:val="0"/>
      <w:marRight w:val="0"/>
      <w:marTop w:val="0"/>
      <w:marBottom w:val="0"/>
      <w:divBdr>
        <w:top w:val="none" w:sz="0" w:space="0" w:color="auto"/>
        <w:left w:val="none" w:sz="0" w:space="0" w:color="auto"/>
        <w:bottom w:val="none" w:sz="0" w:space="0" w:color="auto"/>
        <w:right w:val="none" w:sz="0" w:space="0" w:color="auto"/>
      </w:divBdr>
    </w:div>
    <w:div w:id="1871335718">
      <w:bodyDiv w:val="1"/>
      <w:marLeft w:val="0"/>
      <w:marRight w:val="0"/>
      <w:marTop w:val="0"/>
      <w:marBottom w:val="0"/>
      <w:divBdr>
        <w:top w:val="none" w:sz="0" w:space="0" w:color="auto"/>
        <w:left w:val="none" w:sz="0" w:space="0" w:color="auto"/>
        <w:bottom w:val="none" w:sz="0" w:space="0" w:color="auto"/>
        <w:right w:val="none" w:sz="0" w:space="0" w:color="auto"/>
      </w:divBdr>
    </w:div>
    <w:div w:id="1878157404">
      <w:bodyDiv w:val="1"/>
      <w:marLeft w:val="0"/>
      <w:marRight w:val="0"/>
      <w:marTop w:val="0"/>
      <w:marBottom w:val="0"/>
      <w:divBdr>
        <w:top w:val="none" w:sz="0" w:space="0" w:color="auto"/>
        <w:left w:val="none" w:sz="0" w:space="0" w:color="auto"/>
        <w:bottom w:val="none" w:sz="0" w:space="0" w:color="auto"/>
        <w:right w:val="none" w:sz="0" w:space="0" w:color="auto"/>
      </w:divBdr>
    </w:div>
    <w:div w:id="1892497872">
      <w:bodyDiv w:val="1"/>
      <w:marLeft w:val="0"/>
      <w:marRight w:val="0"/>
      <w:marTop w:val="0"/>
      <w:marBottom w:val="0"/>
      <w:divBdr>
        <w:top w:val="none" w:sz="0" w:space="0" w:color="auto"/>
        <w:left w:val="none" w:sz="0" w:space="0" w:color="auto"/>
        <w:bottom w:val="none" w:sz="0" w:space="0" w:color="auto"/>
        <w:right w:val="none" w:sz="0" w:space="0" w:color="auto"/>
      </w:divBdr>
    </w:div>
    <w:div w:id="1897089021">
      <w:bodyDiv w:val="1"/>
      <w:marLeft w:val="0"/>
      <w:marRight w:val="0"/>
      <w:marTop w:val="0"/>
      <w:marBottom w:val="0"/>
      <w:divBdr>
        <w:top w:val="none" w:sz="0" w:space="0" w:color="auto"/>
        <w:left w:val="none" w:sz="0" w:space="0" w:color="auto"/>
        <w:bottom w:val="none" w:sz="0" w:space="0" w:color="auto"/>
        <w:right w:val="none" w:sz="0" w:space="0" w:color="auto"/>
      </w:divBdr>
    </w:div>
    <w:div w:id="1905721570">
      <w:bodyDiv w:val="1"/>
      <w:marLeft w:val="0"/>
      <w:marRight w:val="0"/>
      <w:marTop w:val="0"/>
      <w:marBottom w:val="0"/>
      <w:divBdr>
        <w:top w:val="none" w:sz="0" w:space="0" w:color="auto"/>
        <w:left w:val="none" w:sz="0" w:space="0" w:color="auto"/>
        <w:bottom w:val="none" w:sz="0" w:space="0" w:color="auto"/>
        <w:right w:val="none" w:sz="0" w:space="0" w:color="auto"/>
      </w:divBdr>
    </w:div>
    <w:div w:id="1909149902">
      <w:bodyDiv w:val="1"/>
      <w:marLeft w:val="0"/>
      <w:marRight w:val="0"/>
      <w:marTop w:val="0"/>
      <w:marBottom w:val="0"/>
      <w:divBdr>
        <w:top w:val="none" w:sz="0" w:space="0" w:color="auto"/>
        <w:left w:val="none" w:sz="0" w:space="0" w:color="auto"/>
        <w:bottom w:val="none" w:sz="0" w:space="0" w:color="auto"/>
        <w:right w:val="none" w:sz="0" w:space="0" w:color="auto"/>
      </w:divBdr>
    </w:div>
    <w:div w:id="1948078399">
      <w:bodyDiv w:val="1"/>
      <w:marLeft w:val="0"/>
      <w:marRight w:val="0"/>
      <w:marTop w:val="0"/>
      <w:marBottom w:val="0"/>
      <w:divBdr>
        <w:top w:val="none" w:sz="0" w:space="0" w:color="auto"/>
        <w:left w:val="none" w:sz="0" w:space="0" w:color="auto"/>
        <w:bottom w:val="none" w:sz="0" w:space="0" w:color="auto"/>
        <w:right w:val="none" w:sz="0" w:space="0" w:color="auto"/>
      </w:divBdr>
    </w:div>
    <w:div w:id="1965425462">
      <w:bodyDiv w:val="1"/>
      <w:marLeft w:val="0"/>
      <w:marRight w:val="0"/>
      <w:marTop w:val="0"/>
      <w:marBottom w:val="0"/>
      <w:divBdr>
        <w:top w:val="none" w:sz="0" w:space="0" w:color="auto"/>
        <w:left w:val="none" w:sz="0" w:space="0" w:color="auto"/>
        <w:bottom w:val="none" w:sz="0" w:space="0" w:color="auto"/>
        <w:right w:val="none" w:sz="0" w:space="0" w:color="auto"/>
      </w:divBdr>
    </w:div>
    <w:div w:id="1966814974">
      <w:bodyDiv w:val="1"/>
      <w:marLeft w:val="0"/>
      <w:marRight w:val="0"/>
      <w:marTop w:val="0"/>
      <w:marBottom w:val="0"/>
      <w:divBdr>
        <w:top w:val="none" w:sz="0" w:space="0" w:color="auto"/>
        <w:left w:val="none" w:sz="0" w:space="0" w:color="auto"/>
        <w:bottom w:val="none" w:sz="0" w:space="0" w:color="auto"/>
        <w:right w:val="none" w:sz="0" w:space="0" w:color="auto"/>
      </w:divBdr>
    </w:div>
    <w:div w:id="1970476179">
      <w:bodyDiv w:val="1"/>
      <w:marLeft w:val="0"/>
      <w:marRight w:val="0"/>
      <w:marTop w:val="0"/>
      <w:marBottom w:val="0"/>
      <w:divBdr>
        <w:top w:val="none" w:sz="0" w:space="0" w:color="auto"/>
        <w:left w:val="none" w:sz="0" w:space="0" w:color="auto"/>
        <w:bottom w:val="none" w:sz="0" w:space="0" w:color="auto"/>
        <w:right w:val="none" w:sz="0" w:space="0" w:color="auto"/>
      </w:divBdr>
    </w:div>
    <w:div w:id="1975869047">
      <w:bodyDiv w:val="1"/>
      <w:marLeft w:val="0"/>
      <w:marRight w:val="0"/>
      <w:marTop w:val="0"/>
      <w:marBottom w:val="0"/>
      <w:divBdr>
        <w:top w:val="none" w:sz="0" w:space="0" w:color="auto"/>
        <w:left w:val="none" w:sz="0" w:space="0" w:color="auto"/>
        <w:bottom w:val="none" w:sz="0" w:space="0" w:color="auto"/>
        <w:right w:val="none" w:sz="0" w:space="0" w:color="auto"/>
      </w:divBdr>
    </w:div>
    <w:div w:id="1978757843">
      <w:bodyDiv w:val="1"/>
      <w:marLeft w:val="0"/>
      <w:marRight w:val="0"/>
      <w:marTop w:val="0"/>
      <w:marBottom w:val="0"/>
      <w:divBdr>
        <w:top w:val="none" w:sz="0" w:space="0" w:color="auto"/>
        <w:left w:val="none" w:sz="0" w:space="0" w:color="auto"/>
        <w:bottom w:val="none" w:sz="0" w:space="0" w:color="auto"/>
        <w:right w:val="none" w:sz="0" w:space="0" w:color="auto"/>
      </w:divBdr>
    </w:div>
    <w:div w:id="1980189685">
      <w:bodyDiv w:val="1"/>
      <w:marLeft w:val="0"/>
      <w:marRight w:val="0"/>
      <w:marTop w:val="0"/>
      <w:marBottom w:val="0"/>
      <w:divBdr>
        <w:top w:val="none" w:sz="0" w:space="0" w:color="auto"/>
        <w:left w:val="none" w:sz="0" w:space="0" w:color="auto"/>
        <w:bottom w:val="none" w:sz="0" w:space="0" w:color="auto"/>
        <w:right w:val="none" w:sz="0" w:space="0" w:color="auto"/>
      </w:divBdr>
    </w:div>
    <w:div w:id="1987857947">
      <w:bodyDiv w:val="1"/>
      <w:marLeft w:val="0"/>
      <w:marRight w:val="0"/>
      <w:marTop w:val="0"/>
      <w:marBottom w:val="0"/>
      <w:divBdr>
        <w:top w:val="none" w:sz="0" w:space="0" w:color="auto"/>
        <w:left w:val="none" w:sz="0" w:space="0" w:color="auto"/>
        <w:bottom w:val="none" w:sz="0" w:space="0" w:color="auto"/>
        <w:right w:val="none" w:sz="0" w:space="0" w:color="auto"/>
      </w:divBdr>
    </w:div>
    <w:div w:id="2018464547">
      <w:bodyDiv w:val="1"/>
      <w:marLeft w:val="0"/>
      <w:marRight w:val="0"/>
      <w:marTop w:val="0"/>
      <w:marBottom w:val="0"/>
      <w:divBdr>
        <w:top w:val="none" w:sz="0" w:space="0" w:color="auto"/>
        <w:left w:val="none" w:sz="0" w:space="0" w:color="auto"/>
        <w:bottom w:val="none" w:sz="0" w:space="0" w:color="auto"/>
        <w:right w:val="none" w:sz="0" w:space="0" w:color="auto"/>
      </w:divBdr>
    </w:div>
    <w:div w:id="2033996570">
      <w:bodyDiv w:val="1"/>
      <w:marLeft w:val="0"/>
      <w:marRight w:val="0"/>
      <w:marTop w:val="0"/>
      <w:marBottom w:val="0"/>
      <w:divBdr>
        <w:top w:val="none" w:sz="0" w:space="0" w:color="auto"/>
        <w:left w:val="none" w:sz="0" w:space="0" w:color="auto"/>
        <w:bottom w:val="none" w:sz="0" w:space="0" w:color="auto"/>
        <w:right w:val="none" w:sz="0" w:space="0" w:color="auto"/>
      </w:divBdr>
    </w:div>
    <w:div w:id="2037845686">
      <w:bodyDiv w:val="1"/>
      <w:marLeft w:val="0"/>
      <w:marRight w:val="0"/>
      <w:marTop w:val="0"/>
      <w:marBottom w:val="0"/>
      <w:divBdr>
        <w:top w:val="none" w:sz="0" w:space="0" w:color="auto"/>
        <w:left w:val="none" w:sz="0" w:space="0" w:color="auto"/>
        <w:bottom w:val="none" w:sz="0" w:space="0" w:color="auto"/>
        <w:right w:val="none" w:sz="0" w:space="0" w:color="auto"/>
      </w:divBdr>
    </w:div>
    <w:div w:id="2050758758">
      <w:bodyDiv w:val="1"/>
      <w:marLeft w:val="0"/>
      <w:marRight w:val="0"/>
      <w:marTop w:val="0"/>
      <w:marBottom w:val="0"/>
      <w:divBdr>
        <w:top w:val="none" w:sz="0" w:space="0" w:color="auto"/>
        <w:left w:val="none" w:sz="0" w:space="0" w:color="auto"/>
        <w:bottom w:val="none" w:sz="0" w:space="0" w:color="auto"/>
        <w:right w:val="none" w:sz="0" w:space="0" w:color="auto"/>
      </w:divBdr>
    </w:div>
    <w:div w:id="2051418372">
      <w:bodyDiv w:val="1"/>
      <w:marLeft w:val="0"/>
      <w:marRight w:val="0"/>
      <w:marTop w:val="0"/>
      <w:marBottom w:val="0"/>
      <w:divBdr>
        <w:top w:val="none" w:sz="0" w:space="0" w:color="auto"/>
        <w:left w:val="none" w:sz="0" w:space="0" w:color="auto"/>
        <w:bottom w:val="none" w:sz="0" w:space="0" w:color="auto"/>
        <w:right w:val="none" w:sz="0" w:space="0" w:color="auto"/>
      </w:divBdr>
    </w:div>
    <w:div w:id="2063091473">
      <w:bodyDiv w:val="1"/>
      <w:marLeft w:val="0"/>
      <w:marRight w:val="0"/>
      <w:marTop w:val="0"/>
      <w:marBottom w:val="0"/>
      <w:divBdr>
        <w:top w:val="none" w:sz="0" w:space="0" w:color="auto"/>
        <w:left w:val="none" w:sz="0" w:space="0" w:color="auto"/>
        <w:bottom w:val="none" w:sz="0" w:space="0" w:color="auto"/>
        <w:right w:val="none" w:sz="0" w:space="0" w:color="auto"/>
      </w:divBdr>
    </w:div>
    <w:div w:id="2065565133">
      <w:bodyDiv w:val="1"/>
      <w:marLeft w:val="0"/>
      <w:marRight w:val="0"/>
      <w:marTop w:val="0"/>
      <w:marBottom w:val="0"/>
      <w:divBdr>
        <w:top w:val="none" w:sz="0" w:space="0" w:color="auto"/>
        <w:left w:val="none" w:sz="0" w:space="0" w:color="auto"/>
        <w:bottom w:val="none" w:sz="0" w:space="0" w:color="auto"/>
        <w:right w:val="none" w:sz="0" w:space="0" w:color="auto"/>
      </w:divBdr>
    </w:div>
    <w:div w:id="2093115739">
      <w:bodyDiv w:val="1"/>
      <w:marLeft w:val="0"/>
      <w:marRight w:val="0"/>
      <w:marTop w:val="0"/>
      <w:marBottom w:val="0"/>
      <w:divBdr>
        <w:top w:val="none" w:sz="0" w:space="0" w:color="auto"/>
        <w:left w:val="none" w:sz="0" w:space="0" w:color="auto"/>
        <w:bottom w:val="none" w:sz="0" w:space="0" w:color="auto"/>
        <w:right w:val="none" w:sz="0" w:space="0" w:color="auto"/>
      </w:divBdr>
    </w:div>
    <w:div w:id="2096972454">
      <w:bodyDiv w:val="1"/>
      <w:marLeft w:val="0"/>
      <w:marRight w:val="0"/>
      <w:marTop w:val="0"/>
      <w:marBottom w:val="0"/>
      <w:divBdr>
        <w:top w:val="none" w:sz="0" w:space="0" w:color="auto"/>
        <w:left w:val="none" w:sz="0" w:space="0" w:color="auto"/>
        <w:bottom w:val="none" w:sz="0" w:space="0" w:color="auto"/>
        <w:right w:val="none" w:sz="0" w:space="0" w:color="auto"/>
      </w:divBdr>
    </w:div>
    <w:div w:id="2100369905">
      <w:bodyDiv w:val="1"/>
      <w:marLeft w:val="0"/>
      <w:marRight w:val="0"/>
      <w:marTop w:val="0"/>
      <w:marBottom w:val="0"/>
      <w:divBdr>
        <w:top w:val="none" w:sz="0" w:space="0" w:color="auto"/>
        <w:left w:val="none" w:sz="0" w:space="0" w:color="auto"/>
        <w:bottom w:val="none" w:sz="0" w:space="0" w:color="auto"/>
        <w:right w:val="none" w:sz="0" w:space="0" w:color="auto"/>
      </w:divBdr>
    </w:div>
    <w:div w:id="2126846047">
      <w:bodyDiv w:val="1"/>
      <w:marLeft w:val="0"/>
      <w:marRight w:val="0"/>
      <w:marTop w:val="0"/>
      <w:marBottom w:val="0"/>
      <w:divBdr>
        <w:top w:val="none" w:sz="0" w:space="0" w:color="auto"/>
        <w:left w:val="none" w:sz="0" w:space="0" w:color="auto"/>
        <w:bottom w:val="none" w:sz="0" w:space="0" w:color="auto"/>
        <w:right w:val="none" w:sz="0" w:space="0" w:color="auto"/>
      </w:divBdr>
    </w:div>
    <w:div w:id="21424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fo.mfcr.cz/ares/ares.html.cz"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F7A625AE9F5AB4A939F92BCAA7FEC02" ma:contentTypeVersion="1" ma:contentTypeDescription="Vytvoří nový dokument" ma:contentTypeScope="" ma:versionID="09736fd4d2dc7a7ec8b641ae14df0e5a">
  <xsd:schema xmlns:xsd="http://www.w3.org/2001/XMLSchema" xmlns:xs="http://www.w3.org/2001/XMLSchema" xmlns:p="http://schemas.microsoft.com/office/2006/metadata/properties" xmlns:ns1="http://schemas.microsoft.com/sharepoint/v3" targetNamespace="http://schemas.microsoft.com/office/2006/metadata/properties" ma:root="true" ma:fieldsID="c91a41dfb025b41eb9943aabee43187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Datum zahájení plánování je sloupec webu, který vytvořila funkce Publikování. Používá se k zadání data a času, od kterého se tato stránka začne návštěvníkům webu zobrazovat." ma:internalName="PublishingStartDate">
      <xsd:simpleType>
        <xsd:restriction base="dms:Unknown"/>
      </xsd:simpleType>
    </xsd:element>
    <xsd:element name="PublishingExpirationDate" ma:index="9" nillable="true" ma:displayName="Datum ukončení plánování" ma:description="Datum ukončení plánování je sloupec webu, který vytvořila funkce Publikování. Používá se k zadání data a času, od kterého se tato stránka už nebude návštěvníkům webu zobrazovat."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FC2BA-E8C4-433A-B8B0-B0D70A5C74CC}"/>
</file>

<file path=customXml/itemProps2.xml><?xml version="1.0" encoding="utf-8"?>
<ds:datastoreItem xmlns:ds="http://schemas.openxmlformats.org/officeDocument/2006/customXml" ds:itemID="{DB997A88-C224-4955-A3B3-3D36E0F386FA}"/>
</file>

<file path=customXml/itemProps3.xml><?xml version="1.0" encoding="utf-8"?>
<ds:datastoreItem xmlns:ds="http://schemas.openxmlformats.org/officeDocument/2006/customXml" ds:itemID="{2BF9B2FC-8DB8-41CB-9E4D-A918892ED06B}"/>
</file>

<file path=customXml/itemProps4.xml><?xml version="1.0" encoding="utf-8"?>
<ds:datastoreItem xmlns:ds="http://schemas.openxmlformats.org/officeDocument/2006/customXml" ds:itemID="{14D087E5-F6AC-4A00-A4C1-2E524D3FF9E6}"/>
</file>

<file path=docProps/app.xml><?xml version="1.0" encoding="utf-8"?>
<Properties xmlns="http://schemas.openxmlformats.org/officeDocument/2006/extended-properties" xmlns:vt="http://schemas.openxmlformats.org/officeDocument/2006/docPropsVTypes">
  <Template>Normal</Template>
  <TotalTime>0</TotalTime>
  <Pages>1</Pages>
  <Words>5553</Words>
  <Characters>32768</Characters>
  <Application>Microsoft Office Word</Application>
  <DocSecurity>0</DocSecurity>
  <Lines>273</Lines>
  <Paragraphs>76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odboru</vt:lpstr>
      <vt:lpstr>Název odboru</vt:lpstr>
    </vt:vector>
  </TitlesOfParts>
  <Company>NKU</Company>
  <LinksUpToDate>false</LinksUpToDate>
  <CharactersWithSpaces>38245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11/26</dc:title>
  <dc:creator>SEDLÁŘOVÁ Halka</dc:creator>
  <cp:lastModifiedBy>KOKRDA Daniel</cp:lastModifiedBy>
  <cp:revision>51</cp:revision>
  <cp:lastPrinted>2012-08-15T07:00:00Z</cp:lastPrinted>
  <dcterms:created xsi:type="dcterms:W3CDTF">2012-08-06T14:40:00Z</dcterms:created>
  <dcterms:modified xsi:type="dcterms:W3CDTF">2012-08-23T08:39:00Z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11/26-NKU460/105/12</vt:lpwstr>
  </property>
  <property fmtid="{D5CDD505-2E9C-101B-9397-08002B2CF9AE}" pid="3" name="SZ_Spis_Pisemnost">
    <vt:lpwstr>11/26</vt:lpwstr>
  </property>
  <property fmtid="{D5CDD505-2E9C-101B-9397-08002B2CF9AE}" pid="4" name="DisplayName_SpisovyUzel_PoziceZodpo_Pisemnost">
    <vt:lpwstr>Odbor VI.</vt:lpwstr>
  </property>
  <property fmtid="{D5CDD505-2E9C-101B-9397-08002B2CF9AE}" pid="5" name="Zkratka_SpisovyUzel_PoziceZodpo_Pisemnost">
    <vt:lpwstr>460</vt:lpwstr>
  </property>
  <property fmtid="{D5CDD505-2E9C-101B-9397-08002B2CF9AE}" pid="6" name="Key_BarCode_Pisemnost">
    <vt:lpwstr>*B000153788*</vt:lpwstr>
  </property>
  <property fmtid="{D5CDD505-2E9C-101B-9397-08002B2CF9AE}" pid="7" name="DisplayName_CisloObalky_PostaOdes">
    <vt:lpwstr>{DisplayName_CisloObalky_PostaOdes}</vt:lpwstr>
  </property>
  <property fmtid="{D5CDD505-2E9C-101B-9397-08002B2CF9AE}" pid="8" name="EC_Pisemnost">
    <vt:lpwstr>12-5987</vt:lpwstr>
  </property>
  <property fmtid="{D5CDD505-2E9C-101B-9397-08002B2CF9AE}" pid="9" name="Odkaz">
    <vt:lpwstr>odkaz</vt:lpwstr>
  </property>
  <property fmtid="{D5CDD505-2E9C-101B-9397-08002B2CF9AE}" pid="10" name="SkartacniZnakLhuta_PisemnostZnak">
    <vt:lpwstr>/0</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
  </property>
  <property fmtid="{D5CDD505-2E9C-101B-9397-08002B2CF9AE}" pid="17" name="Vec_Pisemnost">
    <vt:lpwstr>Kontrolní protokol 11-26 ČSSZ</vt:lpwstr>
  </property>
  <property fmtid="{D5CDD505-2E9C-101B-9397-08002B2CF9AE}" pid="18" name="DatumPoriz_Pisemnost">
    <vt:lpwstr>25.4.2012</vt:lpwstr>
  </property>
  <property fmtid="{D5CDD505-2E9C-101B-9397-08002B2CF9AE}" pid="19" name="Contact_PostaOdes_All">
    <vt:lpwstr/>
  </property>
  <property fmtid="{D5CDD505-2E9C-101B-9397-08002B2CF9AE}" pid="20" name="ContentTypeId">
    <vt:lpwstr>0x0101002F7A625AE9F5AB4A939F92BCAA7FEC02</vt:lpwstr>
  </property>
</Properties>
</file>